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64202">
      <w:pPr>
        <w:jc w:val="center"/>
        <w:rPr>
          <w:rFonts w:hint="eastAsia"/>
          <w:b/>
          <w:bCs/>
          <w:sz w:val="52"/>
          <w:szCs w:val="52"/>
          <w:lang w:eastAsia="zh-CN"/>
        </w:rPr>
      </w:pPr>
    </w:p>
    <w:p w14:paraId="64423E64">
      <w:pPr>
        <w:jc w:val="center"/>
        <w:rPr>
          <w:rFonts w:hint="eastAsia"/>
          <w:b/>
          <w:bCs/>
          <w:sz w:val="52"/>
          <w:szCs w:val="52"/>
          <w:lang w:eastAsia="zh-CN"/>
        </w:rPr>
      </w:pPr>
    </w:p>
    <w:p w14:paraId="7D4867D7">
      <w:pPr>
        <w:jc w:val="center"/>
        <w:rPr>
          <w:rFonts w:hint="eastAsia"/>
          <w:b/>
          <w:bCs/>
          <w:sz w:val="72"/>
          <w:szCs w:val="72"/>
          <w:lang w:eastAsia="zh-CN"/>
        </w:rPr>
      </w:pPr>
      <w:r>
        <w:rPr>
          <w:rFonts w:hint="eastAsia"/>
          <w:b/>
          <w:bCs/>
          <w:sz w:val="72"/>
          <w:szCs w:val="72"/>
          <w:lang w:eastAsia="zh-CN"/>
        </w:rPr>
        <w:t>建设项目环境影响报告表</w:t>
      </w:r>
    </w:p>
    <w:p w14:paraId="6D98FA43">
      <w:pPr>
        <w:jc w:val="center"/>
        <w:rPr>
          <w:rFonts w:hint="eastAsia"/>
          <w:b/>
          <w:bCs/>
          <w:sz w:val="44"/>
          <w:szCs w:val="44"/>
          <w:lang w:eastAsia="zh-CN"/>
        </w:rPr>
      </w:pPr>
    </w:p>
    <w:p w14:paraId="731B561B">
      <w:pPr>
        <w:jc w:val="center"/>
        <w:rPr>
          <w:rFonts w:hint="eastAsia" w:ascii="仿宋" w:hAnsi="仿宋" w:eastAsia="仿宋" w:cs="仿宋"/>
          <w:b w:val="0"/>
          <w:bCs w:val="0"/>
          <w:sz w:val="44"/>
          <w:szCs w:val="44"/>
          <w:lang w:eastAsia="zh-CN"/>
        </w:rPr>
      </w:pPr>
      <w:r>
        <w:rPr>
          <w:rFonts w:hint="eastAsia" w:ascii="仿宋" w:hAnsi="仿宋" w:eastAsia="仿宋" w:cs="仿宋"/>
          <w:b w:val="0"/>
          <w:bCs w:val="0"/>
          <w:sz w:val="44"/>
          <w:szCs w:val="44"/>
          <w:lang w:eastAsia="zh-CN"/>
        </w:rPr>
        <w:t>（生态影响类）</w:t>
      </w:r>
    </w:p>
    <w:p w14:paraId="08322CF5">
      <w:pPr>
        <w:jc w:val="center"/>
        <w:rPr>
          <w:rFonts w:hint="eastAsia"/>
          <w:b/>
          <w:bCs/>
          <w:sz w:val="44"/>
          <w:szCs w:val="44"/>
          <w:lang w:eastAsia="zh-CN"/>
        </w:rPr>
      </w:pPr>
    </w:p>
    <w:p w14:paraId="647BA5BE">
      <w:pPr>
        <w:jc w:val="center"/>
        <w:rPr>
          <w:rFonts w:hint="eastAsia"/>
          <w:b/>
          <w:bCs/>
          <w:sz w:val="44"/>
          <w:szCs w:val="44"/>
          <w:lang w:eastAsia="zh-CN"/>
        </w:rPr>
      </w:pPr>
    </w:p>
    <w:p w14:paraId="7523DA0F">
      <w:pPr>
        <w:jc w:val="center"/>
        <w:rPr>
          <w:rFonts w:hint="eastAsia"/>
          <w:b/>
          <w:bCs/>
          <w:sz w:val="44"/>
          <w:szCs w:val="44"/>
          <w:lang w:eastAsia="zh-CN"/>
        </w:rPr>
      </w:pPr>
    </w:p>
    <w:p w14:paraId="7DF3C435">
      <w:pPr>
        <w:jc w:val="center"/>
        <w:rPr>
          <w:rFonts w:hint="eastAsia"/>
          <w:b/>
          <w:bCs/>
          <w:sz w:val="44"/>
          <w:szCs w:val="44"/>
          <w:lang w:eastAsia="zh-CN"/>
        </w:rPr>
      </w:pPr>
    </w:p>
    <w:p w14:paraId="6EEF9B0A">
      <w:pPr>
        <w:jc w:val="center"/>
        <w:rPr>
          <w:rFonts w:hint="eastAsia"/>
          <w:b w:val="0"/>
          <w:bCs w:val="0"/>
          <w:sz w:val="44"/>
          <w:szCs w:val="44"/>
          <w:lang w:eastAsia="zh-CN"/>
        </w:rPr>
      </w:pPr>
    </w:p>
    <w:p w14:paraId="3A261DBF">
      <w:pPr>
        <w:jc w:val="center"/>
        <w:rPr>
          <w:rFonts w:hint="eastAsia"/>
          <w:b/>
          <w:bCs/>
          <w:sz w:val="44"/>
          <w:szCs w:val="44"/>
          <w:lang w:eastAsia="zh-CN"/>
        </w:rPr>
      </w:pPr>
    </w:p>
    <w:p w14:paraId="72185306">
      <w:pPr>
        <w:jc w:val="center"/>
        <w:rPr>
          <w:rFonts w:hint="eastAsia"/>
          <w:b/>
          <w:bCs/>
          <w:sz w:val="44"/>
          <w:szCs w:val="44"/>
          <w:lang w:eastAsia="zh-CN"/>
        </w:rPr>
      </w:pPr>
    </w:p>
    <w:p w14:paraId="6A163E6E">
      <w:pPr>
        <w:jc w:val="center"/>
        <w:rPr>
          <w:rFonts w:hint="eastAsia"/>
          <w:b/>
          <w:bCs/>
          <w:sz w:val="44"/>
          <w:szCs w:val="44"/>
          <w:lang w:eastAsia="zh-CN"/>
        </w:rPr>
      </w:pPr>
    </w:p>
    <w:p w14:paraId="068E5333">
      <w:pPr>
        <w:spacing w:line="360" w:lineRule="auto"/>
        <w:ind w:firstLine="1084" w:firstLineChars="300"/>
        <w:jc w:val="both"/>
        <w:rPr>
          <w:rFonts w:hint="eastAsia" w:ascii="仿宋" w:hAnsi="仿宋" w:eastAsia="仿宋" w:cs="仿宋"/>
          <w:b/>
          <w:bCs/>
          <w:sz w:val="36"/>
          <w:szCs w:val="36"/>
          <w:u w:val="single"/>
          <w:lang w:eastAsia="zh-CN"/>
        </w:rPr>
      </w:pPr>
      <w:r>
        <w:rPr>
          <w:rFonts w:hint="eastAsia" w:ascii="仿宋" w:hAnsi="仿宋" w:eastAsia="仿宋" w:cs="仿宋"/>
          <w:b/>
          <w:bCs/>
          <w:sz w:val="36"/>
          <w:szCs w:val="36"/>
          <w:lang w:eastAsia="zh-CN"/>
        </w:rPr>
        <w:t>项目名称：</w:t>
      </w:r>
      <w:r>
        <w:rPr>
          <w:rFonts w:hint="eastAsia" w:ascii="仿宋" w:hAnsi="仿宋" w:eastAsia="仿宋" w:cs="仿宋"/>
          <w:b/>
          <w:bCs/>
          <w:sz w:val="36"/>
          <w:szCs w:val="36"/>
          <w:u w:val="single"/>
          <w:lang w:eastAsia="zh-CN"/>
        </w:rPr>
        <w:t>芒市江东光伏发电项目</w:t>
      </w:r>
    </w:p>
    <w:p w14:paraId="3C8EF2CC">
      <w:pPr>
        <w:spacing w:line="360" w:lineRule="auto"/>
        <w:ind w:firstLine="1084" w:firstLineChars="300"/>
        <w:jc w:val="both"/>
        <w:rPr>
          <w:rFonts w:hint="eastAsia" w:ascii="仿宋" w:hAnsi="仿宋" w:eastAsia="仿宋" w:cs="仿宋"/>
          <w:b/>
          <w:bCs/>
          <w:sz w:val="36"/>
          <w:szCs w:val="36"/>
          <w:u w:val="single"/>
          <w:lang w:eastAsia="zh-CN"/>
        </w:rPr>
      </w:pPr>
      <w:r>
        <w:rPr>
          <w:rFonts w:hint="eastAsia" w:ascii="仿宋" w:hAnsi="仿宋" w:eastAsia="仿宋" w:cs="仿宋"/>
          <w:b/>
          <w:bCs/>
          <w:sz w:val="36"/>
          <w:szCs w:val="36"/>
          <w:lang w:eastAsia="zh-CN"/>
        </w:rPr>
        <w:t>建设单位（盖章）：</w:t>
      </w:r>
      <w:r>
        <w:rPr>
          <w:rFonts w:hint="eastAsia" w:ascii="仿宋" w:hAnsi="仿宋" w:eastAsia="仿宋" w:cs="仿宋"/>
          <w:b/>
          <w:bCs/>
          <w:sz w:val="36"/>
          <w:szCs w:val="36"/>
          <w:u w:val="single"/>
          <w:lang w:eastAsia="zh-CN"/>
        </w:rPr>
        <w:t>芒市德天新能源有限公司</w:t>
      </w:r>
    </w:p>
    <w:p w14:paraId="1377F69F">
      <w:pPr>
        <w:spacing w:line="360" w:lineRule="auto"/>
        <w:ind w:firstLine="1084" w:firstLineChars="300"/>
        <w:jc w:val="both"/>
        <w:rPr>
          <w:rFonts w:hint="eastAsia" w:ascii="仿宋" w:hAnsi="仿宋" w:eastAsia="仿宋" w:cs="仿宋"/>
          <w:b/>
          <w:bCs/>
          <w:sz w:val="36"/>
          <w:szCs w:val="36"/>
          <w:u w:val="single"/>
          <w:lang w:val="en-US" w:eastAsia="zh-CN"/>
        </w:rPr>
      </w:pPr>
      <w:r>
        <w:rPr>
          <w:rFonts w:hint="eastAsia" w:ascii="仿宋" w:hAnsi="仿宋" w:eastAsia="仿宋" w:cs="仿宋"/>
          <w:b/>
          <w:bCs/>
          <w:sz w:val="36"/>
          <w:szCs w:val="36"/>
          <w:lang w:eastAsia="zh-CN"/>
        </w:rPr>
        <w:t>编制日期：</w:t>
      </w:r>
      <w:r>
        <w:rPr>
          <w:rFonts w:hint="eastAsia" w:ascii="仿宋" w:hAnsi="仿宋" w:eastAsia="仿宋" w:cs="仿宋"/>
          <w:b/>
          <w:bCs/>
          <w:sz w:val="36"/>
          <w:szCs w:val="36"/>
          <w:u w:val="single"/>
          <w:lang w:val="en-US" w:eastAsia="zh-CN"/>
        </w:rPr>
        <w:t>2023年2月</w:t>
      </w:r>
    </w:p>
    <w:p w14:paraId="15010BF1">
      <w:pPr>
        <w:spacing w:line="360" w:lineRule="auto"/>
        <w:jc w:val="center"/>
        <w:rPr>
          <w:rFonts w:hint="eastAsia" w:ascii="仿宋" w:hAnsi="仿宋" w:eastAsia="仿宋" w:cs="仿宋"/>
          <w:b/>
          <w:bCs/>
          <w:sz w:val="36"/>
          <w:szCs w:val="36"/>
          <w:lang w:eastAsia="zh-CN"/>
        </w:rPr>
      </w:pPr>
    </w:p>
    <w:p w14:paraId="4E1CEDCE">
      <w:pPr>
        <w:spacing w:line="360" w:lineRule="auto"/>
        <w:jc w:val="center"/>
        <w:rPr>
          <w:rFonts w:hint="eastAsia" w:ascii="仿宋" w:hAnsi="仿宋" w:eastAsia="仿宋" w:cs="仿宋"/>
          <w:b/>
          <w:bCs/>
          <w:sz w:val="36"/>
          <w:szCs w:val="36"/>
          <w:lang w:eastAsia="zh-CN"/>
        </w:rPr>
      </w:pPr>
    </w:p>
    <w:p w14:paraId="440C2718">
      <w:pPr>
        <w:spacing w:line="360" w:lineRule="auto"/>
        <w:jc w:val="center"/>
        <w:rPr>
          <w:rFonts w:hint="eastAsia" w:ascii="仿宋" w:hAnsi="仿宋" w:eastAsia="仿宋" w:cs="仿宋"/>
          <w:b/>
          <w:bCs/>
          <w:sz w:val="36"/>
          <w:szCs w:val="36"/>
          <w:lang w:eastAsia="zh-CN"/>
        </w:rPr>
      </w:pPr>
      <w:r>
        <w:rPr>
          <w:rFonts w:hint="eastAsia" w:ascii="仿宋" w:hAnsi="仿宋" w:eastAsia="仿宋" w:cs="仿宋"/>
          <w:b/>
          <w:bCs/>
          <w:sz w:val="36"/>
          <w:szCs w:val="36"/>
          <w:lang w:eastAsia="zh-CN"/>
        </w:rPr>
        <w:t>中华人民共和国生态环境部制</w:t>
      </w:r>
    </w:p>
    <w:p w14:paraId="19B300C7">
      <w:pPr>
        <w:spacing w:line="360" w:lineRule="auto"/>
        <w:jc w:val="center"/>
        <w:rPr>
          <w:rFonts w:hint="eastAsia" w:ascii="仿宋" w:hAnsi="仿宋" w:eastAsia="仿宋" w:cs="仿宋"/>
          <w:b/>
          <w:bCs/>
          <w:sz w:val="36"/>
          <w:szCs w:val="36"/>
          <w:lang w:eastAsia="zh-CN"/>
        </w:rPr>
      </w:pPr>
    </w:p>
    <w:p w14:paraId="7095646D">
      <w:pPr>
        <w:jc w:val="center"/>
        <w:rPr>
          <w:rFonts w:hint="eastAsia"/>
          <w:b/>
          <w:bCs/>
          <w:sz w:val="28"/>
          <w:szCs w:val="28"/>
          <w:lang w:eastAsia="zh-CN"/>
        </w:rPr>
      </w:pPr>
    </w:p>
    <w:p w14:paraId="67175947">
      <w:pPr>
        <w:jc w:val="center"/>
        <w:rPr>
          <w:rFonts w:hint="eastAsia"/>
          <w:b/>
          <w:bCs/>
          <w:sz w:val="28"/>
          <w:szCs w:val="28"/>
          <w:lang w:eastAsia="zh-CN"/>
        </w:rPr>
      </w:pPr>
      <w:r>
        <w:rPr>
          <w:rFonts w:hint="eastAsia"/>
          <w:b/>
          <w:bCs/>
          <w:sz w:val="28"/>
          <w:szCs w:val="28"/>
          <w:lang w:eastAsia="zh-CN"/>
        </w:rPr>
        <w:t>现场照片</w:t>
      </w:r>
    </w:p>
    <w:tbl>
      <w:tblPr>
        <w:tblStyle w:val="21"/>
        <w:tblW w:w="88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36"/>
        <w:gridCol w:w="4017"/>
      </w:tblGrid>
      <w:tr w14:paraId="50FD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5" w:hRule="atLeast"/>
        </w:trPr>
        <w:tc>
          <w:tcPr>
            <w:tcW w:w="8853" w:type="dxa"/>
            <w:gridSpan w:val="2"/>
            <w:shd w:val="clear" w:color="auto" w:fill="auto"/>
          </w:tcPr>
          <w:p w14:paraId="4B486063">
            <w:pPr>
              <w:pStyle w:val="51"/>
              <w:spacing w:line="240" w:lineRule="auto"/>
              <w:ind w:firstLine="0" w:firstLineChars="0"/>
              <w:jc w:val="center"/>
              <w:rPr>
                <w:rFonts w:eastAsia="仿宋_GB2312"/>
                <w:b/>
                <w:bCs/>
                <w:sz w:val="21"/>
                <w:szCs w:val="21"/>
              </w:rPr>
            </w:pPr>
            <w:r>
              <w:rPr>
                <w:rFonts w:eastAsia="仿宋_GB2312"/>
                <w:sz w:val="21"/>
                <w:szCs w:val="21"/>
              </w:rPr>
              <mc:AlternateContent>
                <mc:Choice Requires="wps">
                  <w:drawing>
                    <wp:anchor distT="0" distB="0" distL="114300" distR="114300" simplePos="0" relativeHeight="251662336" behindDoc="0" locked="0" layoutInCell="1" allowOverlap="1">
                      <wp:simplePos x="0" y="0"/>
                      <wp:positionH relativeFrom="column">
                        <wp:posOffset>556895</wp:posOffset>
                      </wp:positionH>
                      <wp:positionV relativeFrom="paragraph">
                        <wp:posOffset>683895</wp:posOffset>
                      </wp:positionV>
                      <wp:extent cx="4509135" cy="1650365"/>
                      <wp:effectExtent l="13970" t="13970" r="23495" b="24765"/>
                      <wp:wrapNone/>
                      <wp:docPr id="13268" name="任意多边形: 形状 13268"/>
                      <wp:cNvGraphicFramePr/>
                      <a:graphic xmlns:a="http://schemas.openxmlformats.org/drawingml/2006/main">
                        <a:graphicData uri="http://schemas.microsoft.com/office/word/2010/wordprocessingShape">
                          <wps:wsp>
                            <wps:cNvSpPr/>
                            <wps:spPr bwMode="auto">
                              <a:xfrm>
                                <a:off x="0" y="0"/>
                                <a:ext cx="4509135" cy="1650365"/>
                              </a:xfrm>
                              <a:custGeom>
                                <a:avLst/>
                                <a:gdLst>
                                  <a:gd name="T0" fmla="*/ 328 w 7101"/>
                                  <a:gd name="T1" fmla="*/ 1721 h 2599"/>
                                  <a:gd name="T2" fmla="*/ 1586 w 7101"/>
                                  <a:gd name="T3" fmla="*/ 960 h 2599"/>
                                  <a:gd name="T4" fmla="*/ 2695 w 7101"/>
                                  <a:gd name="T5" fmla="*/ 430 h 2599"/>
                                  <a:gd name="T6" fmla="*/ 4052 w 7101"/>
                                  <a:gd name="T7" fmla="*/ 0 h 2599"/>
                                  <a:gd name="T8" fmla="*/ 5128 w 7101"/>
                                  <a:gd name="T9" fmla="*/ 16 h 2599"/>
                                  <a:gd name="T10" fmla="*/ 5773 w 7101"/>
                                  <a:gd name="T11" fmla="*/ 331 h 2599"/>
                                  <a:gd name="T12" fmla="*/ 6439 w 7101"/>
                                  <a:gd name="T13" fmla="*/ 335 h 2599"/>
                                  <a:gd name="T14" fmla="*/ 7101 w 7101"/>
                                  <a:gd name="T15" fmla="*/ 319 h 2599"/>
                                  <a:gd name="T16" fmla="*/ 7101 w 7101"/>
                                  <a:gd name="T17" fmla="*/ 931 h 2599"/>
                                  <a:gd name="T18" fmla="*/ 6720 w 7101"/>
                                  <a:gd name="T19" fmla="*/ 948 h 2599"/>
                                  <a:gd name="T20" fmla="*/ 5793 w 7101"/>
                                  <a:gd name="T21" fmla="*/ 997 h 2599"/>
                                  <a:gd name="T22" fmla="*/ 5542 w 7101"/>
                                  <a:gd name="T23" fmla="*/ 1423 h 2599"/>
                                  <a:gd name="T24" fmla="*/ 5111 w 7101"/>
                                  <a:gd name="T25" fmla="*/ 1870 h 2599"/>
                                  <a:gd name="T26" fmla="*/ 4552 w 7101"/>
                                  <a:gd name="T27" fmla="*/ 2206 h 2599"/>
                                  <a:gd name="T28" fmla="*/ 3857 w 7101"/>
                                  <a:gd name="T29" fmla="*/ 2355 h 2599"/>
                                  <a:gd name="T30" fmla="*/ 2963 w 7101"/>
                                  <a:gd name="T31" fmla="*/ 2140 h 2599"/>
                                  <a:gd name="T32" fmla="*/ 3489 w 7101"/>
                                  <a:gd name="T33" fmla="*/ 1556 h 2599"/>
                                  <a:gd name="T34" fmla="*/ 3569 w 7101"/>
                                  <a:gd name="T35" fmla="*/ 1010 h 2599"/>
                                  <a:gd name="T36" fmla="*/ 3413 w 7101"/>
                                  <a:gd name="T37" fmla="*/ 844 h 2599"/>
                                  <a:gd name="T38" fmla="*/ 2744 w 7101"/>
                                  <a:gd name="T39" fmla="*/ 1192 h 2599"/>
                                  <a:gd name="T40" fmla="*/ 1669 w 7101"/>
                                  <a:gd name="T41" fmla="*/ 1903 h 2599"/>
                                  <a:gd name="T42" fmla="*/ 1304 w 7101"/>
                                  <a:gd name="T43" fmla="*/ 2416 h 2599"/>
                                  <a:gd name="T44" fmla="*/ 1023 w 7101"/>
                                  <a:gd name="T45" fmla="*/ 2599 h 2599"/>
                                  <a:gd name="T46" fmla="*/ 268 w 7101"/>
                                  <a:gd name="T47" fmla="*/ 2416 h 2599"/>
                                  <a:gd name="T48" fmla="*/ 0 w 7101"/>
                                  <a:gd name="T49" fmla="*/ 2024 h 2599"/>
                                  <a:gd name="T50" fmla="*/ 381 w 7101"/>
                                  <a:gd name="T51" fmla="*/ 1693 h 2599"/>
                                  <a:gd name="T52" fmla="*/ 1089 w 7101"/>
                                  <a:gd name="T53" fmla="*/ 1192 h 2599"/>
                                  <a:gd name="connsiteX0" fmla="*/ 462 w 10000"/>
                                  <a:gd name="connsiteY0" fmla="*/ 6622 h 10000"/>
                                  <a:gd name="connsiteX1" fmla="*/ 2233 w 10000"/>
                                  <a:gd name="connsiteY1" fmla="*/ 3694 h 10000"/>
                                  <a:gd name="connsiteX2" fmla="*/ 3795 w 10000"/>
                                  <a:gd name="connsiteY2" fmla="*/ 1654 h 10000"/>
                                  <a:gd name="connsiteX3" fmla="*/ 5706 w 10000"/>
                                  <a:gd name="connsiteY3" fmla="*/ 0 h 10000"/>
                                  <a:gd name="connsiteX4" fmla="*/ 7222 w 10000"/>
                                  <a:gd name="connsiteY4" fmla="*/ 62 h 10000"/>
                                  <a:gd name="connsiteX5" fmla="*/ 8130 w 10000"/>
                                  <a:gd name="connsiteY5" fmla="*/ 1274 h 10000"/>
                                  <a:gd name="connsiteX6" fmla="*/ 9068 w 10000"/>
                                  <a:gd name="connsiteY6" fmla="*/ 1289 h 10000"/>
                                  <a:gd name="connsiteX7" fmla="*/ 10000 w 10000"/>
                                  <a:gd name="connsiteY7" fmla="*/ 1227 h 10000"/>
                                  <a:gd name="connsiteX8" fmla="*/ 10000 w 10000"/>
                                  <a:gd name="connsiteY8" fmla="*/ 3582 h 10000"/>
                                  <a:gd name="connsiteX9" fmla="*/ 9463 w 10000"/>
                                  <a:gd name="connsiteY9" fmla="*/ 3648 h 10000"/>
                                  <a:gd name="connsiteX10" fmla="*/ 8158 w 10000"/>
                                  <a:gd name="connsiteY10" fmla="*/ 3836 h 10000"/>
                                  <a:gd name="connsiteX11" fmla="*/ 7805 w 10000"/>
                                  <a:gd name="connsiteY11" fmla="*/ 5475 h 10000"/>
                                  <a:gd name="connsiteX12" fmla="*/ 7198 w 10000"/>
                                  <a:gd name="connsiteY12" fmla="*/ 7195 h 10000"/>
                                  <a:gd name="connsiteX13" fmla="*/ 6410 w 10000"/>
                                  <a:gd name="connsiteY13" fmla="*/ 8488 h 10000"/>
                                  <a:gd name="connsiteX14" fmla="*/ 5432 w 10000"/>
                                  <a:gd name="connsiteY14" fmla="*/ 9061 h 10000"/>
                                  <a:gd name="connsiteX15" fmla="*/ 4173 w 10000"/>
                                  <a:gd name="connsiteY15" fmla="*/ 8234 h 10000"/>
                                  <a:gd name="connsiteX16" fmla="*/ 4913 w 10000"/>
                                  <a:gd name="connsiteY16" fmla="*/ 5987 h 10000"/>
                                  <a:gd name="connsiteX17" fmla="*/ 5026 w 10000"/>
                                  <a:gd name="connsiteY17" fmla="*/ 3886 h 10000"/>
                                  <a:gd name="connsiteX18" fmla="*/ 4806 w 10000"/>
                                  <a:gd name="connsiteY18" fmla="*/ 3247 h 10000"/>
                                  <a:gd name="connsiteX19" fmla="*/ 3864 w 10000"/>
                                  <a:gd name="connsiteY19" fmla="*/ 4586 h 10000"/>
                                  <a:gd name="connsiteX20" fmla="*/ 2350 w 10000"/>
                                  <a:gd name="connsiteY20" fmla="*/ 7322 h 10000"/>
                                  <a:gd name="connsiteX21" fmla="*/ 1836 w 10000"/>
                                  <a:gd name="connsiteY21" fmla="*/ 9296 h 10000"/>
                                  <a:gd name="connsiteX22" fmla="*/ 1441 w 10000"/>
                                  <a:gd name="connsiteY22" fmla="*/ 10000 h 10000"/>
                                  <a:gd name="connsiteX23" fmla="*/ 377 w 10000"/>
                                  <a:gd name="connsiteY23" fmla="*/ 9296 h 10000"/>
                                  <a:gd name="connsiteX24" fmla="*/ 0 w 10000"/>
                                  <a:gd name="connsiteY24" fmla="*/ 7788 h 10000"/>
                                  <a:gd name="connsiteX25" fmla="*/ 537 w 10000"/>
                                  <a:gd name="connsiteY25" fmla="*/ 6514 h 10000"/>
                                  <a:gd name="connsiteX26" fmla="*/ 850 w 10000"/>
                                  <a:gd name="connsiteY26" fmla="*/ 581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000" h="10000">
                                    <a:moveTo>
                                      <a:pt x="462" y="6622"/>
                                    </a:moveTo>
                                    <a:lnTo>
                                      <a:pt x="2233" y="3694"/>
                                    </a:lnTo>
                                    <a:lnTo>
                                      <a:pt x="3795" y="1654"/>
                                    </a:lnTo>
                                    <a:lnTo>
                                      <a:pt x="5706" y="0"/>
                                    </a:lnTo>
                                    <a:lnTo>
                                      <a:pt x="7222" y="62"/>
                                    </a:lnTo>
                                    <a:lnTo>
                                      <a:pt x="8130" y="1274"/>
                                    </a:lnTo>
                                    <a:lnTo>
                                      <a:pt x="9068" y="1289"/>
                                    </a:lnTo>
                                    <a:lnTo>
                                      <a:pt x="10000" y="1227"/>
                                    </a:lnTo>
                                    <a:lnTo>
                                      <a:pt x="10000" y="3582"/>
                                    </a:lnTo>
                                    <a:lnTo>
                                      <a:pt x="9463" y="3648"/>
                                    </a:lnTo>
                                    <a:lnTo>
                                      <a:pt x="8158" y="3836"/>
                                    </a:lnTo>
                                    <a:cubicBezTo>
                                      <a:pt x="8040" y="4382"/>
                                      <a:pt x="7923" y="4929"/>
                                      <a:pt x="7805" y="5475"/>
                                    </a:cubicBezTo>
                                    <a:lnTo>
                                      <a:pt x="7198" y="7195"/>
                                    </a:lnTo>
                                    <a:lnTo>
                                      <a:pt x="6410" y="8488"/>
                                    </a:lnTo>
                                    <a:lnTo>
                                      <a:pt x="5432" y="9061"/>
                                    </a:lnTo>
                                    <a:lnTo>
                                      <a:pt x="4173" y="8234"/>
                                    </a:lnTo>
                                    <a:lnTo>
                                      <a:pt x="4913" y="5987"/>
                                    </a:lnTo>
                                    <a:cubicBezTo>
                                      <a:pt x="4951" y="5287"/>
                                      <a:pt x="4988" y="4586"/>
                                      <a:pt x="5026" y="3886"/>
                                    </a:cubicBezTo>
                                    <a:cubicBezTo>
                                      <a:pt x="4953" y="3673"/>
                                      <a:pt x="4879" y="3460"/>
                                      <a:pt x="4806" y="3247"/>
                                    </a:cubicBezTo>
                                    <a:lnTo>
                                      <a:pt x="3864" y="4586"/>
                                    </a:lnTo>
                                    <a:lnTo>
                                      <a:pt x="2350" y="7322"/>
                                    </a:lnTo>
                                    <a:lnTo>
                                      <a:pt x="1836" y="9296"/>
                                    </a:lnTo>
                                    <a:lnTo>
                                      <a:pt x="1441" y="10000"/>
                                    </a:lnTo>
                                    <a:lnTo>
                                      <a:pt x="377" y="9296"/>
                                    </a:lnTo>
                                    <a:lnTo>
                                      <a:pt x="0" y="7788"/>
                                    </a:lnTo>
                                    <a:lnTo>
                                      <a:pt x="537" y="6514"/>
                                    </a:lnTo>
                                    <a:cubicBezTo>
                                      <a:pt x="869" y="5871"/>
                                      <a:pt x="518" y="6453"/>
                                      <a:pt x="850" y="5810"/>
                                    </a:cubicBez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68" o:spid="_x0000_s1026" o:spt="100" style="position:absolute;left:0pt;margin-left:43.85pt;margin-top:53.85pt;height:129.95pt;width:355.05pt;z-index:251662336;mso-width-relative:page;mso-height-relative:page;" filled="f" stroked="t" coordsize="10000,10000" o:gfxdata="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AanuNN2AAAAAoBAAAP&#10;AAAAAAAAAAEAIAAAACIAAABkcnMvZG93bnJldi54bWxQSwECFAAUAAAACACHTuJAN7GkGBsIAAAt&#10;IwAADgAAAAAAAAABACAAAAAnAQAAZHJzL2Uyb0RvYy54bWxQSwUGAAAAAAYABgBZAQAAtAsAAAAA&#10;" path="m462,6622l2233,3694,3795,1654,5706,0,7222,62,8130,1274,9068,1289,10000,1227,10000,3582,9463,3648,8158,3836c8040,4382,7923,4929,7805,5475l7198,7195,6410,8488,5432,9061,4173,8234,4913,5987c4951,5287,4988,4586,5026,3886c4953,3673,4879,3460,4806,3247l3864,4586,2350,7322,1836,9296,1441,10000,377,9296,0,7788,537,6514c869,5871,518,6453,850,5810e">
                      <v:path o:connectlocs="208322,1092871;1006889,609644;1711216,272970;2572912,0;3256497,10232;3665926,210256;4088883,212732;4509135,202499;4509135,591160;4266994,602053;3678552,633080;3519379,903574;3245675,1187437;2890355,1400829;2449362,1495395;1881662,1358910;2215338,988073;2266291,641331;2167090,535873;1742329,756857;1059646,1208397;827877,1534179;649766,1650365;169994,1534179;0,1285304;242140,1075047;383276,958862" o:connectangles="0,0,0,0,0,0,0,0,0,0,0,0,0,0,0,0,0,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139690" cy="2722245"/>
                  <wp:effectExtent l="0" t="0" r="3810" b="8255"/>
                  <wp:docPr id="13267" name="图片 1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 name="图片 13267"/>
                          <pic:cNvPicPr>
                            <a:picLocks noChangeAspect="1" noChangeArrowheads="1"/>
                          </pic:cNvPicPr>
                        </pic:nvPicPr>
                        <pic:blipFill>
                          <a:blip r:embed="rId5" cstate="print">
                            <a:extLst>
                              <a:ext uri="{28A0092B-C50C-407E-A947-70E740481C1C}">
                                <a14:useLocalDpi xmlns:a14="http://schemas.microsoft.com/office/drawing/2010/main" val="0"/>
                              </a:ext>
                            </a:extLst>
                          </a:blip>
                          <a:srcRect t="11656" b="8896"/>
                          <a:stretch>
                            <a:fillRect/>
                          </a:stretch>
                        </pic:blipFill>
                        <pic:spPr>
                          <a:xfrm>
                            <a:off x="0" y="0"/>
                            <a:ext cx="5139690" cy="2722245"/>
                          </a:xfrm>
                          <a:prstGeom prst="rect">
                            <a:avLst/>
                          </a:prstGeom>
                          <a:noFill/>
                          <a:ln>
                            <a:noFill/>
                          </a:ln>
                        </pic:spPr>
                      </pic:pic>
                    </a:graphicData>
                  </a:graphic>
                </wp:inline>
              </w:drawing>
            </w:r>
          </w:p>
        </w:tc>
      </w:tr>
      <w:tr w14:paraId="1A057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75808A8A">
            <w:pPr>
              <w:pStyle w:val="51"/>
              <w:spacing w:line="240" w:lineRule="auto"/>
              <w:ind w:firstLine="0" w:firstLineChars="0"/>
              <w:jc w:val="center"/>
              <w:rPr>
                <w:rFonts w:eastAsia="仿宋_GB2312"/>
                <w:bCs/>
                <w:sz w:val="21"/>
                <w:szCs w:val="21"/>
              </w:rPr>
            </w:pPr>
            <w:r>
              <w:rPr>
                <w:rFonts w:eastAsia="仿宋_GB2312"/>
                <w:sz w:val="21"/>
                <w:szCs w:val="21"/>
              </w:rPr>
              <w:t>光伏方阵区现状</w:t>
            </w:r>
            <w:r>
              <w:rPr>
                <w:rFonts w:hint="eastAsia" w:eastAsia="仿宋_GB2312"/>
                <w:sz w:val="21"/>
                <w:szCs w:val="21"/>
              </w:rPr>
              <w:t>（北片区）</w:t>
            </w:r>
          </w:p>
        </w:tc>
      </w:tr>
      <w:tr w14:paraId="5F4C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19BD6E4D">
            <w:pPr>
              <w:pStyle w:val="51"/>
              <w:spacing w:line="240" w:lineRule="auto"/>
              <w:ind w:firstLine="0" w:firstLineChars="0"/>
              <w:jc w:val="center"/>
              <w:rPr>
                <w:rFonts w:eastAsia="仿宋_GB2312"/>
                <w:b/>
                <w:bCs/>
                <w:sz w:val="21"/>
                <w:szCs w:val="21"/>
              </w:rPr>
            </w:pPr>
            <w:r>
              <w:rPr>
                <w:rFonts w:eastAsia="仿宋_GB2312"/>
                <w:sz w:val="21"/>
                <w:szCs w:val="21"/>
              </w:rPr>
              <mc:AlternateContent>
                <mc:Choice Requires="wps">
                  <w:drawing>
                    <wp:anchor distT="0" distB="0" distL="114300" distR="114300" simplePos="0" relativeHeight="251663360" behindDoc="0" locked="0" layoutInCell="1" allowOverlap="1">
                      <wp:simplePos x="0" y="0"/>
                      <wp:positionH relativeFrom="column">
                        <wp:posOffset>424180</wp:posOffset>
                      </wp:positionH>
                      <wp:positionV relativeFrom="paragraph">
                        <wp:posOffset>52705</wp:posOffset>
                      </wp:positionV>
                      <wp:extent cx="4161790" cy="3352800"/>
                      <wp:effectExtent l="13970" t="13970" r="15240" b="24130"/>
                      <wp:wrapNone/>
                      <wp:docPr id="13271" name="任意多边形: 形状 13271"/>
                      <wp:cNvGraphicFramePr/>
                      <a:graphic xmlns:a="http://schemas.openxmlformats.org/drawingml/2006/main">
                        <a:graphicData uri="http://schemas.microsoft.com/office/word/2010/wordprocessingShape">
                          <wps:wsp>
                            <wps:cNvSpPr/>
                            <wps:spPr bwMode="auto">
                              <a:xfrm>
                                <a:off x="0" y="0"/>
                                <a:ext cx="4161790" cy="3352800"/>
                              </a:xfrm>
                              <a:custGeom>
                                <a:avLst/>
                                <a:gdLst>
                                  <a:gd name="T0" fmla="*/ 3389 w 6554"/>
                                  <a:gd name="T1" fmla="*/ 0 h 5330"/>
                                  <a:gd name="T2" fmla="*/ 890 w 6554"/>
                                  <a:gd name="T3" fmla="*/ 199 h 5330"/>
                                  <a:gd name="T4" fmla="*/ 0 w 6554"/>
                                  <a:gd name="T5" fmla="*/ 660 h 5330"/>
                                  <a:gd name="T6" fmla="*/ 13 w 6554"/>
                                  <a:gd name="T7" fmla="*/ 3046 h 5330"/>
                                  <a:gd name="T8" fmla="*/ 149 w 6554"/>
                                  <a:gd name="T9" fmla="*/ 5278 h 5330"/>
                                  <a:gd name="T10" fmla="*/ 2251 w 6554"/>
                                  <a:gd name="T11" fmla="*/ 4102 h 5330"/>
                                  <a:gd name="T12" fmla="*/ 2830 w 6554"/>
                                  <a:gd name="T13" fmla="*/ 5029 h 5330"/>
                                  <a:gd name="T14" fmla="*/ 4531 w 6554"/>
                                  <a:gd name="T15" fmla="*/ 5330 h 5330"/>
                                  <a:gd name="T16" fmla="*/ 4283 w 6554"/>
                                  <a:gd name="T17" fmla="*/ 4221 h 5330"/>
                                  <a:gd name="T18" fmla="*/ 3902 w 6554"/>
                                  <a:gd name="T19" fmla="*/ 3012 h 5330"/>
                                  <a:gd name="T20" fmla="*/ 4416 w 6554"/>
                                  <a:gd name="T21" fmla="*/ 2301 h 5330"/>
                                  <a:gd name="T22" fmla="*/ 4565 w 6554"/>
                                  <a:gd name="T23" fmla="*/ 1904 h 5330"/>
                                  <a:gd name="T24" fmla="*/ 4879 w 6554"/>
                                  <a:gd name="T25" fmla="*/ 1672 h 5330"/>
                                  <a:gd name="T26" fmla="*/ 5475 w 6554"/>
                                  <a:gd name="T27" fmla="*/ 1639 h 5330"/>
                                  <a:gd name="T28" fmla="*/ 6058 w 6554"/>
                                  <a:gd name="T29" fmla="*/ 1702 h 5330"/>
                                  <a:gd name="T30" fmla="*/ 6289 w 6554"/>
                                  <a:gd name="T31" fmla="*/ 1636 h 5330"/>
                                  <a:gd name="T32" fmla="*/ 6554 w 6554"/>
                                  <a:gd name="T33" fmla="*/ 1603 h 5330"/>
                                  <a:gd name="T34" fmla="*/ 6488 w 6554"/>
                                  <a:gd name="T35" fmla="*/ 1338 h 5330"/>
                                  <a:gd name="T36" fmla="*/ 6124 w 6554"/>
                                  <a:gd name="T37" fmla="*/ 1040 h 5330"/>
                                  <a:gd name="T38" fmla="*/ 5442 w 6554"/>
                                  <a:gd name="T39" fmla="*/ 927 h 5330"/>
                                  <a:gd name="T40" fmla="*/ 5210 w 6554"/>
                                  <a:gd name="T41" fmla="*/ 381 h 5330"/>
                                  <a:gd name="T42" fmla="*/ 4713 w 6554"/>
                                  <a:gd name="T43" fmla="*/ 149 h 5330"/>
                                  <a:gd name="T44" fmla="*/ 4432 w 6554"/>
                                  <a:gd name="T45" fmla="*/ 0 h 5330"/>
                                  <a:gd name="T46" fmla="*/ 3538 w 6554"/>
                                  <a:gd name="T47" fmla="*/ 0 h 5330"/>
                                  <a:gd name="connsiteX0" fmla="*/ 5348 w 10000"/>
                                  <a:gd name="connsiteY0" fmla="*/ 0 h 10000"/>
                                  <a:gd name="connsiteX1" fmla="*/ 1358 w 10000"/>
                                  <a:gd name="connsiteY1" fmla="*/ 373 h 10000"/>
                                  <a:gd name="connsiteX2" fmla="*/ 0 w 10000"/>
                                  <a:gd name="connsiteY2" fmla="*/ 1238 h 10000"/>
                                  <a:gd name="connsiteX3" fmla="*/ 20 w 10000"/>
                                  <a:gd name="connsiteY3" fmla="*/ 5715 h 10000"/>
                                  <a:gd name="connsiteX4" fmla="*/ 227 w 10000"/>
                                  <a:gd name="connsiteY4" fmla="*/ 9902 h 10000"/>
                                  <a:gd name="connsiteX5" fmla="*/ 3435 w 10000"/>
                                  <a:gd name="connsiteY5" fmla="*/ 7696 h 10000"/>
                                  <a:gd name="connsiteX6" fmla="*/ 4318 w 10000"/>
                                  <a:gd name="connsiteY6" fmla="*/ 9435 h 10000"/>
                                  <a:gd name="connsiteX7" fmla="*/ 6913 w 10000"/>
                                  <a:gd name="connsiteY7" fmla="*/ 10000 h 10000"/>
                                  <a:gd name="connsiteX8" fmla="*/ 6535 w 10000"/>
                                  <a:gd name="connsiteY8" fmla="*/ 7919 h 10000"/>
                                  <a:gd name="connsiteX9" fmla="*/ 5954 w 10000"/>
                                  <a:gd name="connsiteY9" fmla="*/ 5651 h 10000"/>
                                  <a:gd name="connsiteX10" fmla="*/ 6738 w 10000"/>
                                  <a:gd name="connsiteY10" fmla="*/ 4317 h 10000"/>
                                  <a:gd name="connsiteX11" fmla="*/ 6965 w 10000"/>
                                  <a:gd name="connsiteY11" fmla="*/ 3572 h 10000"/>
                                  <a:gd name="connsiteX12" fmla="*/ 7444 w 10000"/>
                                  <a:gd name="connsiteY12" fmla="*/ 3137 h 10000"/>
                                  <a:gd name="connsiteX13" fmla="*/ 8354 w 10000"/>
                                  <a:gd name="connsiteY13" fmla="*/ 3075 h 10000"/>
                                  <a:gd name="connsiteX14" fmla="*/ 9243 w 10000"/>
                                  <a:gd name="connsiteY14" fmla="*/ 3193 h 10000"/>
                                  <a:gd name="connsiteX15" fmla="*/ 9596 w 10000"/>
                                  <a:gd name="connsiteY15" fmla="*/ 3069 h 10000"/>
                                  <a:gd name="connsiteX16" fmla="*/ 10000 w 10000"/>
                                  <a:gd name="connsiteY16" fmla="*/ 3008 h 10000"/>
                                  <a:gd name="connsiteX17" fmla="*/ 9899 w 10000"/>
                                  <a:gd name="connsiteY17" fmla="*/ 2510 h 10000"/>
                                  <a:gd name="connsiteX18" fmla="*/ 9344 w 10000"/>
                                  <a:gd name="connsiteY18" fmla="*/ 1951 h 10000"/>
                                  <a:gd name="connsiteX19" fmla="*/ 8303 w 10000"/>
                                  <a:gd name="connsiteY19" fmla="*/ 1739 h 10000"/>
                                  <a:gd name="connsiteX20" fmla="*/ 7949 w 10000"/>
                                  <a:gd name="connsiteY20" fmla="*/ 715 h 10000"/>
                                  <a:gd name="connsiteX21" fmla="*/ 7191 w 10000"/>
                                  <a:gd name="connsiteY21" fmla="*/ 280 h 10000"/>
                                  <a:gd name="connsiteX22" fmla="*/ 6762 w 10000"/>
                                  <a:gd name="connsiteY22" fmla="*/ 0 h 10000"/>
                                  <a:gd name="connsiteX23" fmla="*/ 5398 w 10000"/>
                                  <a:gd name="connsiteY23"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000" h="10000">
                                    <a:moveTo>
                                      <a:pt x="5348" y="0"/>
                                    </a:moveTo>
                                    <a:lnTo>
                                      <a:pt x="1358" y="373"/>
                                    </a:lnTo>
                                    <a:lnTo>
                                      <a:pt x="0" y="1238"/>
                                    </a:lnTo>
                                    <a:cubicBezTo>
                                      <a:pt x="7" y="2730"/>
                                      <a:pt x="13" y="4223"/>
                                      <a:pt x="20" y="5715"/>
                                    </a:cubicBezTo>
                                    <a:lnTo>
                                      <a:pt x="227" y="9902"/>
                                    </a:lnTo>
                                    <a:lnTo>
                                      <a:pt x="3435" y="7696"/>
                                    </a:lnTo>
                                    <a:lnTo>
                                      <a:pt x="4318" y="9435"/>
                                    </a:lnTo>
                                    <a:lnTo>
                                      <a:pt x="6913" y="10000"/>
                                    </a:lnTo>
                                    <a:lnTo>
                                      <a:pt x="6535" y="7919"/>
                                    </a:lnTo>
                                    <a:lnTo>
                                      <a:pt x="5954" y="5651"/>
                                    </a:lnTo>
                                    <a:lnTo>
                                      <a:pt x="6738" y="4317"/>
                                    </a:lnTo>
                                    <a:cubicBezTo>
                                      <a:pt x="6814" y="4069"/>
                                      <a:pt x="6889" y="3820"/>
                                      <a:pt x="6965" y="3572"/>
                                    </a:cubicBezTo>
                                    <a:lnTo>
                                      <a:pt x="7444" y="3137"/>
                                    </a:lnTo>
                                    <a:lnTo>
                                      <a:pt x="8354" y="3075"/>
                                    </a:lnTo>
                                    <a:lnTo>
                                      <a:pt x="9243" y="3193"/>
                                    </a:lnTo>
                                    <a:lnTo>
                                      <a:pt x="9596" y="3069"/>
                                    </a:lnTo>
                                    <a:lnTo>
                                      <a:pt x="10000" y="3008"/>
                                    </a:lnTo>
                                    <a:cubicBezTo>
                                      <a:pt x="9966" y="2842"/>
                                      <a:pt x="9933" y="2676"/>
                                      <a:pt x="9899" y="2510"/>
                                    </a:cubicBezTo>
                                    <a:lnTo>
                                      <a:pt x="9344" y="1951"/>
                                    </a:lnTo>
                                    <a:lnTo>
                                      <a:pt x="8303" y="1739"/>
                                    </a:lnTo>
                                    <a:lnTo>
                                      <a:pt x="7949" y="715"/>
                                    </a:lnTo>
                                    <a:lnTo>
                                      <a:pt x="7191" y="280"/>
                                    </a:lnTo>
                                    <a:lnTo>
                                      <a:pt x="6762" y="0"/>
                                    </a:lnTo>
                                    <a:lnTo>
                                      <a:pt x="5398" y="0"/>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1" o:spid="_x0000_s1026" o:spt="100" style="position:absolute;left:0pt;margin-left:33.4pt;margin-top:4.15pt;height:264pt;width:327.7pt;z-index:251663360;mso-width-relative:page;mso-height-relative:page;" filled="f" stroked="t" coordsize="10000,10000" o:gfxdata="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" path="m5348,0l1358,373,0,1238c7,2730,13,4223,20,5715l227,9902,3435,7696,4318,9435,6913,10000,6535,7919,5954,5651,6738,4317c6814,4069,6889,3820,6965,3572l7444,3137,8354,3075,9243,3193,9596,3069,10000,3008c9966,2842,9933,2676,9899,2510l9344,1951,8303,1739,7949,715,7191,280,6762,0,5398,0e">
                      <v:path o:connectlocs="2225725,0;565171,125059;0,415076;8323,1916125;94472,3319942;1429574,2580314;1797060,3163366;2877045,3352800;2719729,2655082;2477929,1894667;2804214,1447403;2898686,1197620;3098036,1051773;3476759,1030986;3846742,1070549;3993653,1028974;4161790,1008522;4119755,841552;3888776,654131;3455534,583051;3308206,239725;2992743,93878;2814202,0;2246534,0" o:connectangles="0,0,0,0,0,0,0,0,0,0,0,0,0,0,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458210"/>
                  <wp:effectExtent l="0" t="0" r="10795" b="8890"/>
                  <wp:docPr id="13269" name="图片 1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 name="图片 1326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34305" cy="3458210"/>
                          </a:xfrm>
                          <a:prstGeom prst="rect">
                            <a:avLst/>
                          </a:prstGeom>
                          <a:noFill/>
                          <a:ln>
                            <a:noFill/>
                          </a:ln>
                        </pic:spPr>
                      </pic:pic>
                    </a:graphicData>
                  </a:graphic>
                </wp:inline>
              </w:drawing>
            </w:r>
          </w:p>
        </w:tc>
      </w:tr>
      <w:tr w14:paraId="42C0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06395EA7">
            <w:pPr>
              <w:pStyle w:val="51"/>
              <w:spacing w:line="240" w:lineRule="auto"/>
              <w:ind w:firstLine="0" w:firstLineChars="0"/>
              <w:jc w:val="center"/>
              <w:rPr>
                <w:rFonts w:eastAsia="仿宋_GB2312"/>
                <w:b/>
                <w:bCs/>
                <w:sz w:val="21"/>
                <w:szCs w:val="21"/>
              </w:rPr>
            </w:pPr>
            <w:r>
              <w:rPr>
                <w:rFonts w:eastAsia="仿宋_GB2312"/>
                <w:sz w:val="21"/>
                <w:szCs w:val="21"/>
              </w:rPr>
              <w:t>光伏方阵区现状</w:t>
            </w:r>
            <w:r>
              <w:rPr>
                <w:rFonts w:hint="eastAsia" w:eastAsia="仿宋_GB2312"/>
                <w:sz w:val="21"/>
                <w:szCs w:val="21"/>
              </w:rPr>
              <w:t>（南片区）</w:t>
            </w:r>
          </w:p>
        </w:tc>
      </w:tr>
      <w:tr w14:paraId="5710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3A1A9716">
            <w:pPr>
              <w:pStyle w:val="51"/>
              <w:spacing w:line="240" w:lineRule="auto"/>
              <w:ind w:firstLine="0" w:firstLineChars="0"/>
              <w:jc w:val="center"/>
              <w:rPr>
                <w:rFonts w:eastAsia="仿宋_GB2312"/>
                <w:sz w:val="21"/>
                <w:szCs w:val="21"/>
              </w:rPr>
            </w:pPr>
            <w:r>
              <w:rPr>
                <w:rFonts w:eastAsia="仿宋_GB2312"/>
                <w:sz w:val="21"/>
                <w:szCs w:val="21"/>
              </w:rPr>
              <mc:AlternateContent>
                <mc:Choice Requires="wps">
                  <w:drawing>
                    <wp:anchor distT="0" distB="0" distL="114300" distR="114300" simplePos="0" relativeHeight="251664384" behindDoc="0" locked="0" layoutInCell="1" allowOverlap="1">
                      <wp:simplePos x="0" y="0"/>
                      <wp:positionH relativeFrom="column">
                        <wp:posOffset>1963420</wp:posOffset>
                      </wp:positionH>
                      <wp:positionV relativeFrom="paragraph">
                        <wp:posOffset>493395</wp:posOffset>
                      </wp:positionV>
                      <wp:extent cx="2123440" cy="651510"/>
                      <wp:effectExtent l="1270" t="13970" r="21590" b="20320"/>
                      <wp:wrapNone/>
                      <wp:docPr id="13273" name="任意多边形: 形状 13273"/>
                      <wp:cNvGraphicFramePr/>
                      <a:graphic xmlns:a="http://schemas.openxmlformats.org/drawingml/2006/main">
                        <a:graphicData uri="http://schemas.microsoft.com/office/word/2010/wordprocessingShape">
                          <wps:wsp>
                            <wps:cNvSpPr/>
                            <wps:spPr bwMode="auto">
                              <a:xfrm>
                                <a:off x="0" y="0"/>
                                <a:ext cx="2123440" cy="651510"/>
                              </a:xfrm>
                              <a:custGeom>
                                <a:avLst/>
                                <a:gdLst>
                                  <a:gd name="T0" fmla="*/ 33 w 3344"/>
                                  <a:gd name="T1" fmla="*/ 530 h 1026"/>
                                  <a:gd name="T2" fmla="*/ 66 w 3344"/>
                                  <a:gd name="T3" fmla="*/ 116 h 1026"/>
                                  <a:gd name="T4" fmla="*/ 1126 w 3344"/>
                                  <a:gd name="T5" fmla="*/ 166 h 1026"/>
                                  <a:gd name="T6" fmla="*/ 1225 w 3344"/>
                                  <a:gd name="T7" fmla="*/ 0 h 1026"/>
                                  <a:gd name="T8" fmla="*/ 3294 w 3344"/>
                                  <a:gd name="T9" fmla="*/ 166 h 1026"/>
                                  <a:gd name="T10" fmla="*/ 3344 w 3344"/>
                                  <a:gd name="T11" fmla="*/ 811 h 1026"/>
                                  <a:gd name="T12" fmla="*/ 3327 w 3344"/>
                                  <a:gd name="T13" fmla="*/ 1026 h 1026"/>
                                  <a:gd name="T14" fmla="*/ 993 w 3344"/>
                                  <a:gd name="T15" fmla="*/ 911 h 1026"/>
                                  <a:gd name="T16" fmla="*/ 1026 w 3344"/>
                                  <a:gd name="T17" fmla="*/ 613 h 1026"/>
                                  <a:gd name="T18" fmla="*/ 0 w 3344"/>
                                  <a:gd name="T19" fmla="*/ 513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44" h="1026">
                                    <a:moveTo>
                                      <a:pt x="33" y="530"/>
                                    </a:moveTo>
                                    <a:lnTo>
                                      <a:pt x="66" y="116"/>
                                    </a:lnTo>
                                    <a:lnTo>
                                      <a:pt x="1126" y="166"/>
                                    </a:lnTo>
                                    <a:lnTo>
                                      <a:pt x="1225" y="0"/>
                                    </a:lnTo>
                                    <a:lnTo>
                                      <a:pt x="3294" y="166"/>
                                    </a:lnTo>
                                    <a:lnTo>
                                      <a:pt x="3344" y="811"/>
                                    </a:lnTo>
                                    <a:lnTo>
                                      <a:pt x="3327" y="1026"/>
                                    </a:lnTo>
                                    <a:lnTo>
                                      <a:pt x="993" y="911"/>
                                    </a:lnTo>
                                    <a:lnTo>
                                      <a:pt x="1026" y="613"/>
                                    </a:lnTo>
                                    <a:lnTo>
                                      <a:pt x="0" y="513"/>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3" o:spid="_x0000_s1026" o:spt="100" style="position:absolute;left:0pt;margin-left:154.6pt;margin-top:38.85pt;height:51.3pt;width:167.2pt;z-index:251664384;mso-width-relative:page;mso-height-relative:page;" filled="f" stroked="t" coordsize="3344,1026" o:gfxdata="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fQ+W09cAAAAKAQAADwAAAAAAAAABACAAAAAiAAAA&#10;ZHJzL2Rvd25yZXYueG1sUEsBAhQAFAAAAAgAh07iQKi+JrLQAwAAEwsAAA4AAAAAAAAAAQAgAAAA&#10;JgEAAGRycy9lMm9Eb2MueG1sUEsFBgAAAAAGAAYAWQEAAGgHAAAAAA==&#10;" path="m33,530l66,116,1126,166,1225,0,3294,166,3344,811,3327,1026,993,911,1026,613,0,513e">
                      <v:path o:connectlocs="20955,336550;41910,73660;715010,105410;777875,0;2091690,105410;2123440,514985;2112645,651510;630555,578485;651510,389255;0,325755" o:connectangles="0,0,0,0,0,0,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268980"/>
                  <wp:effectExtent l="0" t="0" r="10795" b="7620"/>
                  <wp:docPr id="13272" name="图片 1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 name="图片 13272"/>
                          <pic:cNvPicPr>
                            <a:picLocks noChangeAspect="1" noChangeArrowheads="1"/>
                          </pic:cNvPicPr>
                        </pic:nvPicPr>
                        <pic:blipFill>
                          <a:blip r:embed="rId7" cstate="print">
                            <a:extLst>
                              <a:ext uri="{28A0092B-C50C-407E-A947-70E740481C1C}">
                                <a14:useLocalDpi xmlns:a14="http://schemas.microsoft.com/office/drawing/2010/main" val="0"/>
                              </a:ext>
                            </a:extLst>
                          </a:blip>
                          <a:srcRect r="36615" b="40530"/>
                          <a:stretch>
                            <a:fillRect/>
                          </a:stretch>
                        </pic:blipFill>
                        <pic:spPr>
                          <a:xfrm>
                            <a:off x="0" y="0"/>
                            <a:ext cx="5234305" cy="3268980"/>
                          </a:xfrm>
                          <a:prstGeom prst="rect">
                            <a:avLst/>
                          </a:prstGeom>
                          <a:noFill/>
                          <a:ln>
                            <a:noFill/>
                          </a:ln>
                        </pic:spPr>
                      </pic:pic>
                    </a:graphicData>
                  </a:graphic>
                </wp:inline>
              </w:drawing>
            </w:r>
          </w:p>
        </w:tc>
      </w:tr>
      <w:tr w14:paraId="131B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5BD81F80">
            <w:pPr>
              <w:pStyle w:val="51"/>
              <w:spacing w:line="240" w:lineRule="auto"/>
              <w:ind w:firstLine="0" w:firstLineChars="0"/>
              <w:jc w:val="center"/>
              <w:rPr>
                <w:rFonts w:eastAsia="仿宋_GB2312"/>
                <w:sz w:val="21"/>
                <w:szCs w:val="21"/>
              </w:rPr>
            </w:pPr>
            <w:r>
              <w:rPr>
                <w:rFonts w:eastAsia="仿宋_GB2312"/>
                <w:sz w:val="21"/>
                <w:szCs w:val="21"/>
              </w:rPr>
              <w:t>升压站场址现状</w:t>
            </w:r>
          </w:p>
        </w:tc>
      </w:tr>
      <w:tr w14:paraId="579C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6" w:hRule="atLeast"/>
        </w:trPr>
        <w:tc>
          <w:tcPr>
            <w:tcW w:w="8853" w:type="dxa"/>
            <w:gridSpan w:val="2"/>
            <w:shd w:val="clear" w:color="auto" w:fill="auto"/>
          </w:tcPr>
          <w:p w14:paraId="72DD1DBF">
            <w:pPr>
              <w:pStyle w:val="51"/>
              <w:spacing w:line="240" w:lineRule="auto"/>
              <w:ind w:firstLine="0" w:firstLineChars="0"/>
              <w:jc w:val="center"/>
              <w:rPr>
                <w:rFonts w:eastAsia="仿宋_GB2312"/>
                <w:sz w:val="21"/>
                <w:szCs w:val="21"/>
              </w:rPr>
            </w:pPr>
            <w:r>
              <w:rPr>
                <w:rFonts w:eastAsia="仿宋_GB2312"/>
                <w:color w:val="FF0000"/>
                <w:sz w:val="21"/>
                <w:szCs w:val="21"/>
              </w:rPr>
              <mc:AlternateContent>
                <mc:Choice Requires="wps">
                  <w:drawing>
                    <wp:anchor distT="0" distB="0" distL="114300" distR="114300" simplePos="0" relativeHeight="251665408" behindDoc="0" locked="0" layoutInCell="1" allowOverlap="1">
                      <wp:simplePos x="0" y="0"/>
                      <wp:positionH relativeFrom="column">
                        <wp:posOffset>2687320</wp:posOffset>
                      </wp:positionH>
                      <wp:positionV relativeFrom="paragraph">
                        <wp:posOffset>115570</wp:posOffset>
                      </wp:positionV>
                      <wp:extent cx="683260" cy="3583940"/>
                      <wp:effectExtent l="13970" t="3810" r="13970" b="6350"/>
                      <wp:wrapNone/>
                      <wp:docPr id="13276" name="任意多边形: 形状 13276"/>
                      <wp:cNvGraphicFramePr/>
                      <a:graphic xmlns:a="http://schemas.openxmlformats.org/drawingml/2006/main">
                        <a:graphicData uri="http://schemas.microsoft.com/office/word/2010/wordprocessingShape">
                          <wps:wsp>
                            <wps:cNvSpPr/>
                            <wps:spPr bwMode="auto">
                              <a:xfrm>
                                <a:off x="0" y="0"/>
                                <a:ext cx="683260" cy="3583940"/>
                              </a:xfrm>
                              <a:custGeom>
                                <a:avLst/>
                                <a:gdLst>
                                  <a:gd name="T0" fmla="*/ 1076 w 1076"/>
                                  <a:gd name="T1" fmla="*/ 5644 h 5644"/>
                                  <a:gd name="T2" fmla="*/ 0 w 1076"/>
                                  <a:gd name="T3" fmla="*/ 2433 h 5644"/>
                                  <a:gd name="T4" fmla="*/ 282 w 1076"/>
                                  <a:gd name="T5" fmla="*/ 1953 h 5644"/>
                                  <a:gd name="T6" fmla="*/ 845 w 1076"/>
                                  <a:gd name="T7" fmla="*/ 0 h 5644"/>
                                </a:gdLst>
                                <a:ahLst/>
                                <a:cxnLst>
                                  <a:cxn ang="0">
                                    <a:pos x="T0" y="T1"/>
                                  </a:cxn>
                                  <a:cxn ang="0">
                                    <a:pos x="T2" y="T3"/>
                                  </a:cxn>
                                  <a:cxn ang="0">
                                    <a:pos x="T4" y="T5"/>
                                  </a:cxn>
                                  <a:cxn ang="0">
                                    <a:pos x="T6" y="T7"/>
                                  </a:cxn>
                                </a:cxnLst>
                                <a:rect l="0" t="0" r="r" b="b"/>
                                <a:pathLst>
                                  <a:path w="1076" h="5644">
                                    <a:moveTo>
                                      <a:pt x="1076" y="5644"/>
                                    </a:moveTo>
                                    <a:lnTo>
                                      <a:pt x="0" y="2433"/>
                                    </a:lnTo>
                                    <a:lnTo>
                                      <a:pt x="282" y="1953"/>
                                    </a:lnTo>
                                    <a:lnTo>
                                      <a:pt x="845" y="0"/>
                                    </a:lnTo>
                                  </a:path>
                                </a:pathLst>
                              </a:custGeom>
                              <a:noFill/>
                              <a:ln w="28575" cmpd="sng">
                                <a:solidFill>
                                  <a:srgbClr val="FF0000"/>
                                </a:solidFill>
                                <a:round/>
                              </a:ln>
                            </wps:spPr>
                            <wps:bodyPr rot="0" vert="horz" wrap="square" lIns="91440" tIns="45720" rIns="91440" bIns="45720" anchor="t" anchorCtr="0" upright="1">
                              <a:noAutofit/>
                            </wps:bodyPr>
                          </wps:wsp>
                        </a:graphicData>
                      </a:graphic>
                    </wp:anchor>
                  </w:drawing>
                </mc:Choice>
                <mc:Fallback>
                  <w:pict>
                    <v:shape id="任意多边形: 形状 13276" o:spid="_x0000_s1026" o:spt="100" style="position:absolute;left:0pt;margin-left:211.6pt;margin-top:9.1pt;height:282.2pt;width:53.8pt;z-index:251665408;mso-width-relative:page;mso-height-relative:page;" filled="f" stroked="t" coordsize="1076,5644" o:gfxdata="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1RbyNtkAAAAKAQAADwAAAAAAAAABACAAAAAiAAAAZHJzL2Rvd25y&#10;ZXYueG1sUEsBAhQAFAAAAAgAh07iQKO8LiIaAwAANwcAAA4AAAAAAAAAAQAgAAAAKAEAAGRycy9l&#10;Mm9Eb2MueG1sUEsFBgAAAAAGAAYAWQEAALQGAAAAAA==&#10;" path="m1076,5644l0,2433,282,1953,845,0e">
                      <v:path o:connectlocs="683260,3583940;0,1544955;179070,1240155;536575,0" o:connectangles="0,0,0,0"/>
                      <v:fill on="f" focussize="0,0"/>
                      <v:stroke weight="2.25pt" color="#FF0000" joinstyle="round"/>
                      <v:imagedata o:title=""/>
                      <o:lock v:ext="edit" aspectratio="f"/>
                    </v:shape>
                  </w:pict>
                </mc:Fallback>
              </mc:AlternateContent>
            </w:r>
            <w:r>
              <w:rPr>
                <w:rFonts w:eastAsia="仿宋_GB2312"/>
                <w:sz w:val="21"/>
                <w:szCs w:val="21"/>
              </w:rPr>
              <w:drawing>
                <wp:inline distT="0" distB="0" distL="0" distR="0">
                  <wp:extent cx="5234305" cy="3594735"/>
                  <wp:effectExtent l="0" t="0" r="10795" b="12065"/>
                  <wp:docPr id="13274" name="图片 1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 name="图片 13274"/>
                          <pic:cNvPicPr>
                            <a:picLocks noChangeAspect="1" noChangeArrowheads="1"/>
                          </pic:cNvPicPr>
                        </pic:nvPicPr>
                        <pic:blipFill>
                          <a:blip r:embed="rId8">
                            <a:extLst>
                              <a:ext uri="{28A0092B-C50C-407E-A947-70E740481C1C}">
                                <a14:useLocalDpi xmlns:a14="http://schemas.microsoft.com/office/drawing/2010/main" val="0"/>
                              </a:ext>
                            </a:extLst>
                          </a:blip>
                          <a:srcRect l="24706" t="11697" r="12991" b="12064"/>
                          <a:stretch>
                            <a:fillRect/>
                          </a:stretch>
                        </pic:blipFill>
                        <pic:spPr>
                          <a:xfrm>
                            <a:off x="0" y="0"/>
                            <a:ext cx="5234305" cy="3594735"/>
                          </a:xfrm>
                          <a:prstGeom prst="rect">
                            <a:avLst/>
                          </a:prstGeom>
                          <a:noFill/>
                          <a:ln>
                            <a:noFill/>
                          </a:ln>
                        </pic:spPr>
                      </pic:pic>
                    </a:graphicData>
                  </a:graphic>
                </wp:inline>
              </w:drawing>
            </w:r>
          </w:p>
        </w:tc>
      </w:tr>
      <w:tr w14:paraId="3B6E8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3C947A13">
            <w:pPr>
              <w:pStyle w:val="51"/>
              <w:spacing w:line="240" w:lineRule="auto"/>
              <w:ind w:firstLine="0" w:firstLineChars="0"/>
              <w:jc w:val="center"/>
              <w:rPr>
                <w:rFonts w:eastAsia="仿宋_GB2312"/>
                <w:sz w:val="21"/>
                <w:szCs w:val="21"/>
              </w:rPr>
            </w:pPr>
            <w:r>
              <w:rPr>
                <w:rFonts w:eastAsia="仿宋_GB2312"/>
                <w:sz w:val="21"/>
                <w:szCs w:val="21"/>
              </w:rPr>
              <w:t>架空集电线路沿线现状</w:t>
            </w:r>
          </w:p>
        </w:tc>
      </w:tr>
      <w:tr w14:paraId="728F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9" w:hRule="atLeast"/>
        </w:trPr>
        <w:tc>
          <w:tcPr>
            <w:tcW w:w="4836" w:type="dxa"/>
            <w:shd w:val="clear" w:color="auto" w:fill="auto"/>
          </w:tcPr>
          <w:p w14:paraId="428E33B5">
            <w:pPr>
              <w:pStyle w:val="51"/>
              <w:spacing w:line="240" w:lineRule="auto"/>
              <w:ind w:firstLine="0" w:firstLineChars="0"/>
              <w:jc w:val="center"/>
              <w:rPr>
                <w:rFonts w:eastAsia="仿宋_GB2312"/>
                <w:b/>
                <w:bCs/>
                <w:sz w:val="21"/>
                <w:szCs w:val="21"/>
              </w:rPr>
            </w:pPr>
            <w:r>
              <w:rPr>
                <w:sz w:val="21"/>
                <w:szCs w:val="21"/>
              </w:rPr>
              <w:drawing>
                <wp:inline distT="0" distB="0" distL="0" distR="0">
                  <wp:extent cx="2920365" cy="1947545"/>
                  <wp:effectExtent l="0" t="0" r="635" b="8255"/>
                  <wp:docPr id="13279" name="图片 1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 name="图片 132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920422" cy="1947600"/>
                          </a:xfrm>
                          <a:prstGeom prst="rect">
                            <a:avLst/>
                          </a:prstGeom>
                          <a:noFill/>
                          <a:ln>
                            <a:noFill/>
                          </a:ln>
                        </pic:spPr>
                      </pic:pic>
                    </a:graphicData>
                  </a:graphic>
                </wp:inline>
              </w:drawing>
            </w:r>
          </w:p>
        </w:tc>
        <w:tc>
          <w:tcPr>
            <w:tcW w:w="4017" w:type="dxa"/>
            <w:shd w:val="clear" w:color="auto" w:fill="auto"/>
          </w:tcPr>
          <w:p w14:paraId="3BA717D2">
            <w:pPr>
              <w:pStyle w:val="51"/>
              <w:spacing w:line="240" w:lineRule="auto"/>
              <w:ind w:firstLine="0" w:firstLineChars="0"/>
              <w:jc w:val="center"/>
              <w:rPr>
                <w:rFonts w:eastAsia="仿宋_GB2312"/>
                <w:b/>
                <w:bCs/>
                <w:sz w:val="21"/>
                <w:szCs w:val="21"/>
              </w:rPr>
            </w:pPr>
            <w:r>
              <w:rPr>
                <w:sz w:val="21"/>
                <w:szCs w:val="21"/>
              </w:rPr>
              <w:drawing>
                <wp:inline distT="0" distB="0" distL="0" distR="0">
                  <wp:extent cx="2920365" cy="1947545"/>
                  <wp:effectExtent l="0" t="0" r="635" b="825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920422" cy="1947600"/>
                          </a:xfrm>
                          <a:prstGeom prst="rect">
                            <a:avLst/>
                          </a:prstGeom>
                          <a:noFill/>
                          <a:ln>
                            <a:noFill/>
                          </a:ln>
                        </pic:spPr>
                      </pic:pic>
                    </a:graphicData>
                  </a:graphic>
                </wp:inline>
              </w:drawing>
            </w:r>
          </w:p>
        </w:tc>
      </w:tr>
      <w:tr w14:paraId="2C13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853" w:type="dxa"/>
            <w:gridSpan w:val="2"/>
            <w:shd w:val="clear" w:color="auto" w:fill="auto"/>
          </w:tcPr>
          <w:p w14:paraId="273FEA5E">
            <w:pPr>
              <w:pStyle w:val="51"/>
              <w:spacing w:line="240" w:lineRule="auto"/>
              <w:ind w:firstLine="0" w:firstLineChars="0"/>
              <w:jc w:val="center"/>
              <w:rPr>
                <w:rFonts w:hint="default" w:eastAsia="仿宋_GB2312"/>
                <w:sz w:val="21"/>
                <w:szCs w:val="21"/>
                <w:lang w:val="en-US" w:eastAsia="zh-CN"/>
              </w:rPr>
            </w:pPr>
            <w:r>
              <w:rPr>
                <w:rFonts w:hint="eastAsia" w:eastAsia="仿宋_GB2312"/>
                <w:sz w:val="21"/>
                <w:szCs w:val="21"/>
              </w:rPr>
              <w:t>场址内</w:t>
            </w:r>
            <w:r>
              <w:rPr>
                <w:rFonts w:hint="eastAsia" w:eastAsia="仿宋_GB2312"/>
                <w:sz w:val="21"/>
                <w:szCs w:val="21"/>
                <w:lang w:eastAsia="zh-CN"/>
              </w:rPr>
              <w:t>植被现状</w:t>
            </w:r>
          </w:p>
        </w:tc>
      </w:tr>
      <w:tr w14:paraId="2437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4836" w:type="dxa"/>
            <w:shd w:val="clear" w:color="auto" w:fill="auto"/>
          </w:tcPr>
          <w:p w14:paraId="05718CF6">
            <w:pPr>
              <w:pStyle w:val="51"/>
              <w:spacing w:line="240" w:lineRule="auto"/>
              <w:ind w:firstLine="0" w:firstLineChars="0"/>
              <w:jc w:val="center"/>
              <w:rPr>
                <w:rFonts w:eastAsia="仿宋_GB2312"/>
                <w:sz w:val="21"/>
                <w:szCs w:val="21"/>
              </w:rPr>
            </w:pPr>
            <w:r>
              <w:rPr>
                <w:rFonts w:eastAsia="仿宋_GB2312"/>
                <w:sz w:val="21"/>
                <w:szCs w:val="21"/>
              </w:rPr>
              <w:drawing>
                <wp:inline distT="0" distB="0" distL="0" distR="0">
                  <wp:extent cx="2849245" cy="2004695"/>
                  <wp:effectExtent l="0" t="0" r="8255" b="1905"/>
                  <wp:docPr id="13277" name="图片 1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7" name="图片 13277"/>
                          <pic:cNvPicPr>
                            <a:picLocks noChangeAspect="1" noChangeArrowheads="1"/>
                          </pic:cNvPicPr>
                        </pic:nvPicPr>
                        <pic:blipFill>
                          <a:blip r:embed="rId11" cstate="print">
                            <a:extLst>
                              <a:ext uri="{28A0092B-C50C-407E-A947-70E740481C1C}">
                                <a14:useLocalDpi xmlns:a14="http://schemas.microsoft.com/office/drawing/2010/main" val="0"/>
                              </a:ext>
                            </a:extLst>
                          </a:blip>
                          <a:srcRect r="5453"/>
                          <a:stretch>
                            <a:fillRect/>
                          </a:stretch>
                        </pic:blipFill>
                        <pic:spPr>
                          <a:xfrm>
                            <a:off x="0" y="0"/>
                            <a:ext cx="2857310" cy="2010488"/>
                          </a:xfrm>
                          <a:prstGeom prst="rect">
                            <a:avLst/>
                          </a:prstGeom>
                          <a:noFill/>
                          <a:ln>
                            <a:noFill/>
                          </a:ln>
                        </pic:spPr>
                      </pic:pic>
                    </a:graphicData>
                  </a:graphic>
                </wp:inline>
              </w:drawing>
            </w:r>
          </w:p>
        </w:tc>
        <w:tc>
          <w:tcPr>
            <w:tcW w:w="4017" w:type="dxa"/>
            <w:shd w:val="clear" w:color="auto" w:fill="auto"/>
          </w:tcPr>
          <w:p w14:paraId="139DE6C0">
            <w:pPr>
              <w:pStyle w:val="51"/>
              <w:spacing w:line="240" w:lineRule="auto"/>
              <w:ind w:firstLine="0" w:firstLineChars="0"/>
              <w:jc w:val="center"/>
              <w:rPr>
                <w:rFonts w:eastAsia="仿宋_GB2312"/>
                <w:sz w:val="21"/>
                <w:szCs w:val="21"/>
              </w:rPr>
            </w:pPr>
            <w:r>
              <w:rPr>
                <w:rFonts w:eastAsia="仿宋_GB2312"/>
                <w:sz w:val="21"/>
                <w:szCs w:val="21"/>
              </w:rPr>
              <w:drawing>
                <wp:inline distT="0" distB="0" distL="0" distR="0">
                  <wp:extent cx="2787650" cy="2004695"/>
                  <wp:effectExtent l="0" t="0" r="6350" b="1905"/>
                  <wp:docPr id="13278" name="图片 1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 name="图片 13278"/>
                          <pic:cNvPicPr>
                            <a:picLocks noChangeAspect="1" noChangeArrowheads="1"/>
                          </pic:cNvPicPr>
                        </pic:nvPicPr>
                        <pic:blipFill>
                          <a:blip r:embed="rId12" cstate="print">
                            <a:extLst>
                              <a:ext uri="{28A0092B-C50C-407E-A947-70E740481C1C}">
                                <a14:useLocalDpi xmlns:a14="http://schemas.microsoft.com/office/drawing/2010/main" val="0"/>
                              </a:ext>
                            </a:extLst>
                          </a:blip>
                          <a:srcRect r="5054"/>
                          <a:stretch>
                            <a:fillRect/>
                          </a:stretch>
                        </pic:blipFill>
                        <pic:spPr>
                          <a:xfrm>
                            <a:off x="0" y="0"/>
                            <a:ext cx="2791206" cy="2007252"/>
                          </a:xfrm>
                          <a:prstGeom prst="rect">
                            <a:avLst/>
                          </a:prstGeom>
                          <a:noFill/>
                          <a:ln>
                            <a:noFill/>
                          </a:ln>
                        </pic:spPr>
                      </pic:pic>
                    </a:graphicData>
                  </a:graphic>
                </wp:inline>
              </w:drawing>
            </w:r>
          </w:p>
        </w:tc>
      </w:tr>
      <w:tr w14:paraId="1E770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3" w:type="dxa"/>
            <w:gridSpan w:val="2"/>
            <w:shd w:val="clear" w:color="auto" w:fill="auto"/>
          </w:tcPr>
          <w:p w14:paraId="2E0C638A">
            <w:pPr>
              <w:pStyle w:val="51"/>
              <w:spacing w:line="240" w:lineRule="auto"/>
              <w:ind w:firstLine="0" w:firstLineChars="0"/>
              <w:jc w:val="center"/>
              <w:rPr>
                <w:rFonts w:hint="default" w:eastAsia="仿宋_GB2312"/>
                <w:b/>
                <w:bCs/>
                <w:sz w:val="21"/>
                <w:szCs w:val="21"/>
                <w:lang w:val="en-US" w:eastAsia="zh-CN"/>
              </w:rPr>
            </w:pPr>
            <w:r>
              <w:rPr>
                <w:rFonts w:hint="eastAsia" w:eastAsia="仿宋_GB2312"/>
                <w:sz w:val="21"/>
                <w:szCs w:val="21"/>
                <w:lang w:val="en-US" w:eastAsia="zh-CN"/>
              </w:rPr>
              <w:t>进场道路</w:t>
            </w:r>
          </w:p>
        </w:tc>
      </w:tr>
    </w:tbl>
    <w:p w14:paraId="6AFD9AD7">
      <w:pPr>
        <w:jc w:val="left"/>
        <w:rPr>
          <w:rFonts w:hint="eastAsia"/>
          <w:b/>
          <w:bCs/>
          <w:sz w:val="28"/>
          <w:szCs w:val="28"/>
          <w:lang w:eastAsia="zh-CN"/>
        </w:rPr>
      </w:pPr>
    </w:p>
    <w:p w14:paraId="63C90393">
      <w:pPr>
        <w:spacing w:line="360" w:lineRule="auto"/>
        <w:jc w:val="center"/>
        <w:rPr>
          <w:rFonts w:hint="eastAsia" w:ascii="仿宋" w:hAnsi="仿宋" w:eastAsia="仿宋" w:cs="仿宋"/>
          <w:b/>
          <w:bCs/>
          <w:sz w:val="24"/>
          <w:szCs w:val="24"/>
          <w:lang w:eastAsia="zh-CN"/>
        </w:rPr>
      </w:pPr>
    </w:p>
    <w:p w14:paraId="08FEA2E6">
      <w:pPr>
        <w:rPr>
          <w:rFonts w:hint="eastAsia" w:ascii="仿宋" w:hAnsi="仿宋" w:eastAsia="仿宋" w:cs="仿宋"/>
          <w:b/>
          <w:bCs/>
          <w:sz w:val="24"/>
          <w:szCs w:val="24"/>
          <w:lang w:eastAsia="zh-CN"/>
        </w:rPr>
      </w:pPr>
    </w:p>
    <w:p w14:paraId="3F2B5878">
      <w:pPr>
        <w:pStyle w:val="10"/>
        <w:jc w:val="center"/>
        <w:rPr>
          <w:rFonts w:hint="eastAsia" w:ascii="仿宋" w:hAnsi="仿宋" w:eastAsia="仿宋" w:cs="仿宋"/>
          <w:b/>
          <w:bCs/>
          <w:color w:val="auto"/>
          <w:sz w:val="30"/>
          <w:szCs w:val="30"/>
          <w:lang w:val="en-US" w:eastAsia="zh-CN"/>
        </w:rPr>
      </w:pPr>
    </w:p>
    <w:p w14:paraId="2B104662">
      <w:pPr>
        <w:pStyle w:val="10"/>
        <w:jc w:val="center"/>
        <w:rPr>
          <w:rFonts w:hint="eastAsia" w:ascii="仿宋" w:hAnsi="仿宋" w:eastAsia="仿宋" w:cs="仿宋"/>
          <w:b/>
          <w:bCs/>
          <w:color w:val="auto"/>
          <w:sz w:val="30"/>
          <w:szCs w:val="30"/>
          <w:lang w:val="en-US" w:eastAsia="zh-CN"/>
        </w:rPr>
      </w:pPr>
    </w:p>
    <w:p w14:paraId="320A1912">
      <w:pPr>
        <w:pStyle w:val="10"/>
        <w:jc w:val="center"/>
        <w:rPr>
          <w:rFonts w:hint="eastAsia" w:ascii="仿宋" w:hAnsi="仿宋" w:eastAsia="仿宋" w:cs="仿宋"/>
          <w:b/>
          <w:bCs/>
          <w:color w:val="auto"/>
          <w:sz w:val="30"/>
          <w:szCs w:val="30"/>
          <w:lang w:val="en-US" w:eastAsia="zh-CN"/>
        </w:rPr>
      </w:pPr>
    </w:p>
    <w:p w14:paraId="2B72F110">
      <w:pPr>
        <w:pStyle w:val="10"/>
        <w:jc w:val="center"/>
        <w:rPr>
          <w:rFonts w:hint="eastAsia" w:ascii="仿宋" w:hAnsi="仿宋" w:eastAsia="仿宋" w:cs="仿宋"/>
          <w:b/>
          <w:bCs/>
          <w:color w:val="auto"/>
          <w:sz w:val="30"/>
          <w:szCs w:val="30"/>
          <w:lang w:val="en-US" w:eastAsia="zh-CN"/>
        </w:rPr>
      </w:pPr>
    </w:p>
    <w:p w14:paraId="2ED06969">
      <w:pPr>
        <w:pStyle w:val="10"/>
        <w:jc w:val="center"/>
        <w:rPr>
          <w:rFonts w:hint="eastAsia" w:ascii="仿宋" w:hAnsi="仿宋" w:eastAsia="仿宋" w:cs="仿宋"/>
          <w:b/>
          <w:bCs/>
          <w:color w:val="auto"/>
          <w:sz w:val="30"/>
          <w:szCs w:val="30"/>
          <w:lang w:val="en-US" w:eastAsia="zh-CN"/>
        </w:rPr>
      </w:pPr>
    </w:p>
    <w:p w14:paraId="1C229751">
      <w:pPr>
        <w:pStyle w:val="10"/>
        <w:jc w:val="center"/>
        <w:rPr>
          <w:rFonts w:hint="eastAsia" w:ascii="仿宋" w:hAnsi="仿宋" w:eastAsia="仿宋" w:cs="仿宋"/>
          <w:b/>
          <w:bCs/>
          <w:color w:val="auto"/>
          <w:sz w:val="30"/>
          <w:szCs w:val="30"/>
          <w:lang w:val="en-US" w:eastAsia="zh-CN"/>
        </w:rPr>
      </w:pPr>
    </w:p>
    <w:p w14:paraId="46563C3A">
      <w:pPr>
        <w:pStyle w:val="10"/>
        <w:jc w:val="center"/>
        <w:rPr>
          <w:rFonts w:hint="eastAsia" w:ascii="仿宋" w:hAnsi="仿宋" w:eastAsia="仿宋" w:cs="仿宋"/>
          <w:b/>
          <w:bCs/>
          <w:color w:val="auto"/>
          <w:sz w:val="30"/>
          <w:szCs w:val="30"/>
          <w:lang w:val="en-US" w:eastAsia="zh-CN"/>
        </w:rPr>
      </w:pPr>
    </w:p>
    <w:p w14:paraId="022C0BB7">
      <w:pPr>
        <w:pStyle w:val="10"/>
        <w:jc w:val="center"/>
        <w:rPr>
          <w:rFonts w:hint="eastAsia" w:ascii="仿宋" w:hAnsi="仿宋" w:eastAsia="仿宋" w:cs="仿宋"/>
          <w:b/>
          <w:bCs/>
          <w:color w:val="auto"/>
          <w:sz w:val="30"/>
          <w:szCs w:val="30"/>
          <w:lang w:val="en-US" w:eastAsia="zh-CN"/>
        </w:rPr>
      </w:pPr>
    </w:p>
    <w:p w14:paraId="330E0316">
      <w:pPr>
        <w:pStyle w:val="10"/>
        <w:jc w:val="center"/>
        <w:rPr>
          <w:rFonts w:hint="eastAsia" w:ascii="仿宋" w:hAnsi="仿宋" w:eastAsia="仿宋" w:cs="仿宋"/>
          <w:b/>
          <w:bCs/>
          <w:color w:val="auto"/>
          <w:sz w:val="30"/>
          <w:szCs w:val="30"/>
          <w:lang w:val="en-US" w:eastAsia="zh-CN"/>
        </w:rPr>
      </w:pPr>
    </w:p>
    <w:p w14:paraId="56B6F0E5">
      <w:pPr>
        <w:pStyle w:val="10"/>
        <w:jc w:val="cente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前言</w:t>
      </w:r>
    </w:p>
    <w:p w14:paraId="3A29DC17">
      <w:pPr>
        <w:spacing w:line="360" w:lineRule="auto"/>
        <w:ind w:firstLine="480" w:firstLineChars="200"/>
        <w:jc w:val="left"/>
        <w:rPr>
          <w:rFonts w:hint="default" w:ascii="Times New Roman" w:hAnsi="Times New Roman" w:eastAsia="宋体" w:cs="Times New Roman"/>
          <w:b w:val="0"/>
          <w:bCs w:val="0"/>
          <w:color w:val="FF0000"/>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江东乡道坡茶厂、轩岗乡上邦瓦</w:t>
      </w:r>
      <w:r>
        <w:rPr>
          <w:rFonts w:hint="default" w:ascii="Times New Roman" w:hAnsi="Times New Roman" w:eastAsia="宋体" w:cs="Times New Roman"/>
          <w:b w:val="0"/>
          <w:bCs w:val="0"/>
          <w:color w:val="auto"/>
          <w:kern w:val="2"/>
          <w:sz w:val="24"/>
          <w:szCs w:val="24"/>
          <w:lang w:val="en-US" w:eastAsia="zh-CN" w:bidi="ar-SA"/>
        </w:rPr>
        <w:t>，场址中心距离芒市直线距离约18km。场址附近有数条道路通过，交通运输条件较为便利。场址地理坐标介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98°23'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39.17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"～98°25'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25.30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34.15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"～24°29'</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20.32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"之间，海拔在1100m～1500m之间。项目用地总规模为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场址西北部平缓山包上建设110kV升压站一座，占地面积约（含边坡）</w:t>
      </w:r>
      <w:r>
        <w:rPr>
          <w:rFonts w:hint="eastAsia" w:ascii="Times New Roman" w:hAnsi="Times New Roman" w:eastAsia="宋体" w:cs="Times New Roman"/>
          <w:color w:val="auto"/>
          <w:sz w:val="21"/>
          <w:szCs w:val="21"/>
          <w:lang w:val="en-US" w:eastAsia="zh-CN"/>
        </w:rPr>
        <w:t>8970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，项目设置26个光伏方阵，根据布置情况分为北片区及南片区，占地面积约1032255</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27AF6440">
      <w:p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集中式大型并网光伏电站工程，主要由光伏阵列、箱逆变单元、升压系统等部分组成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本项目安装容量 88MWp，额定容量69MW。共计分成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全部采用650Wp双面双玻电池组件。每个3.2MW、2MW、1.6MW、1MW 光伏方阵电力经箱变升压至35kV后，通过35kV电缆分接箱并联至35kV集电线路，集电线路汇集电力后输送至110kV升压站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6A016028">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本工程拟在光伏电站内建设110kV 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座，</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升压站中心地理坐标为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东经98°2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36.999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"、北纬 24°2</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24.021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电站以1回110kV 线路接入110kV 轩岗变。升压站总布置将场地划分为生产区和生活区两部分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。生活区设有生活楼、回车平台、危废暂存间及场内绿化。生产区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布置户外GIS、SVG无功补偿装置和配电装置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生产预制舱、主变、事故油池、电池储能仓</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及附属用房。</w:t>
      </w:r>
    </w:p>
    <w:p w14:paraId="467288A0">
      <w:pPr>
        <w:spacing w:line="360" w:lineRule="auto"/>
        <w:ind w:firstLine="480" w:firstLineChars="200"/>
        <w:jc w:val="both"/>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由于送出线路及接入方案目前尚未确定，故本次评价仅对光伏发电场区、集电线路及升压站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的建设</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开展评价；送出线路部分待方案确定后，建设单位应依据《建设项目环境影响评价分类管理名录》的规定，另行开展环评工作。不包括在本次评价范围内</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14:paraId="47FAA39D">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根据《中华人民共和国环境影响评价法》、《建设项目环境保护管理条例》等有关法律和规定，本次江东光伏发电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应开展环境影响评价。依据《建设项目环境影响评价分类管理名录》，项目光伏电站属</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四十一、电力、热力生产和供应业90 太阳能发电</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地面集中光伏电站</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总容量大于6000千瓦，且接入电压等级不小于10千伏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类别应编制环境影响报告表。</w:t>
      </w:r>
    </w:p>
    <w:p w14:paraId="26AC3336">
      <w:pPr>
        <w:spacing w:line="360" w:lineRule="auto"/>
        <w:ind w:firstLine="480" w:firstLineChars="200"/>
        <w:jc w:val="both"/>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2022年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月，受</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芒市德天新能源有限公司</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委托，我公司承担了</w:t>
      </w:r>
      <w:r>
        <w:rPr>
          <w:rFonts w:hint="default" w:ascii="Times New Roman" w:hAnsi="Times New Roman" w:eastAsia="宋体" w:cs="Times New Roman"/>
          <w:b w:val="0"/>
          <w:bCs w:val="0"/>
          <w:color w:val="auto"/>
          <w:kern w:val="2"/>
          <w:sz w:val="24"/>
          <w:szCs w:val="24"/>
          <w:lang w:val="en-US" w:eastAsia="zh-CN" w:bidi="ar-SA"/>
        </w:rPr>
        <w:t>江东光伏发电</w:t>
      </w:r>
      <w:r>
        <w:rPr>
          <w:rFonts w:hint="eastAsia"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环境影响评价工作。接受委托后，我公司立即成立了项目组，对项目现场进行了详细踏勘调研，收集核实相关资料，并委托云南晟蔚环保科技有限公司于2022年</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月</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日对项目区</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升压站及环境敏感目标</w:t>
      </w:r>
      <w:r>
        <w:rPr>
          <w:rFonts w:hint="eastAsia" w:ascii="Times New Roman" w:hAnsi="Times New Roman"/>
          <w:szCs w:val="21"/>
          <w:lang w:val="en-US" w:eastAsia="zh-CN"/>
        </w:rPr>
        <w:t>道坡村进行环</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境</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质量</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现状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监测</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在此基础上，按照相关法律、法规、部门规章、技术导则要求，依据项目可研设计，编制完成《</w:t>
      </w:r>
      <w:r>
        <w:rPr>
          <w:rFonts w:hint="default" w:ascii="Times New Roman" w:hAnsi="Times New Roman" w:eastAsia="宋体" w:cs="Times New Roman"/>
          <w:b w:val="0"/>
          <w:bCs w:val="0"/>
          <w:color w:val="auto"/>
          <w:kern w:val="2"/>
          <w:sz w:val="24"/>
          <w:szCs w:val="24"/>
          <w:lang w:val="en-US" w:eastAsia="zh-CN" w:bidi="ar-SA"/>
        </w:rPr>
        <w:t>江东光伏发电</w:t>
      </w:r>
      <w:r>
        <w:rPr>
          <w:rFonts w:hint="eastAsia" w:ascii="Times New Roman" w:hAnsi="Times New Roman" w:eastAsia="宋体" w:cs="Times New Roman"/>
          <w:b w:val="0"/>
          <w:bCs w:val="0"/>
          <w:color w:val="auto"/>
          <w:kern w:val="2"/>
          <w:sz w:val="24"/>
          <w:szCs w:val="24"/>
          <w:lang w:val="en-US" w:eastAsia="zh-CN" w:bidi="ar-SA"/>
        </w:rPr>
        <w:t>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环境影响报告表》，供建设单位上报生态环境主管部门审批。</w:t>
      </w:r>
    </w:p>
    <w:p w14:paraId="18F5296B">
      <w:pPr>
        <w:numPr>
          <w:ilvl w:val="0"/>
          <w:numId w:val="0"/>
        </w:numPr>
        <w:spacing w:line="360" w:lineRule="auto"/>
        <w:jc w:val="both"/>
        <w:rPr>
          <w:rFonts w:hint="eastAsia" w:ascii="宋体" w:hAnsi="宋体" w:eastAsia="宋体" w:cs="宋体"/>
          <w:b/>
          <w:bCs/>
          <w:color w:val="000000" w:themeColor="text1"/>
          <w:sz w:val="28"/>
          <w:szCs w:val="28"/>
          <w:lang w:eastAsia="zh-CN"/>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1A683EA">
      <w:pPr>
        <w:numPr>
          <w:ilvl w:val="0"/>
          <w:numId w:val="2"/>
        </w:numPr>
        <w:spacing w:line="360" w:lineRule="auto"/>
        <w:jc w:val="center"/>
        <w:outlineLvl w:val="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建设项目基本情况</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3"/>
        <w:gridCol w:w="2113"/>
        <w:gridCol w:w="2250"/>
        <w:gridCol w:w="2386"/>
      </w:tblGrid>
      <w:tr w14:paraId="41BB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CE7E41E">
            <w:pPr>
              <w:numPr>
                <w:ilvl w:val="0"/>
                <w:numId w:val="0"/>
              </w:numPr>
              <w:spacing w:line="360" w:lineRule="auto"/>
              <w:jc w:val="center"/>
              <w:rPr>
                <w:rFonts w:hint="eastAsia" w:ascii="宋体" w:hAnsi="宋体" w:eastAsia="宋体" w:cs="宋体"/>
                <w:b/>
                <w:bCs/>
                <w:sz w:val="24"/>
                <w:szCs w:val="24"/>
                <w:vertAlign w:val="baseline"/>
                <w:lang w:eastAsia="zh-CN"/>
              </w:rPr>
            </w:pPr>
            <w:r>
              <w:rPr>
                <w:rFonts w:hint="eastAsia" w:ascii="宋体" w:hAnsi="宋体" w:eastAsia="宋体" w:cs="宋体"/>
                <w:b w:val="0"/>
                <w:bCs w:val="0"/>
                <w:sz w:val="24"/>
                <w:szCs w:val="24"/>
                <w:vertAlign w:val="baseline"/>
                <w:lang w:eastAsia="zh-CN"/>
              </w:rPr>
              <w:t>建设项目名称</w:t>
            </w:r>
          </w:p>
        </w:tc>
        <w:tc>
          <w:tcPr>
            <w:tcW w:w="6749" w:type="dxa"/>
            <w:gridSpan w:val="3"/>
            <w:vAlign w:val="center"/>
          </w:tcPr>
          <w:p w14:paraId="55A8B3A1">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default" w:ascii="Times New Roman" w:hAnsi="Times New Roman" w:eastAsia="宋体" w:cs="Times New Roman"/>
                <w:b w:val="0"/>
                <w:bCs w:val="0"/>
                <w:color w:val="auto"/>
                <w:kern w:val="2"/>
                <w:sz w:val="24"/>
                <w:szCs w:val="24"/>
                <w:lang w:val="en-US" w:eastAsia="zh-CN" w:bidi="ar-SA"/>
              </w:rPr>
              <w:t>芒市江东光伏发电项目</w:t>
            </w:r>
          </w:p>
        </w:tc>
      </w:tr>
      <w:tr w14:paraId="25E1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6BF5B107">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项目代码</w:t>
            </w:r>
          </w:p>
        </w:tc>
        <w:tc>
          <w:tcPr>
            <w:tcW w:w="6749" w:type="dxa"/>
            <w:gridSpan w:val="3"/>
            <w:vAlign w:val="center"/>
          </w:tcPr>
          <w:p w14:paraId="19657A42">
            <w:pPr>
              <w:numPr>
                <w:ilvl w:val="0"/>
                <w:numId w:val="0"/>
              </w:numPr>
              <w:spacing w:line="360" w:lineRule="auto"/>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2208-533103-04-01-120605</w:t>
            </w:r>
          </w:p>
        </w:tc>
      </w:tr>
      <w:tr w14:paraId="64BA3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5AE008D0">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建设单位联系人</w:t>
            </w:r>
          </w:p>
        </w:tc>
        <w:tc>
          <w:tcPr>
            <w:tcW w:w="2113" w:type="dxa"/>
            <w:vAlign w:val="center"/>
          </w:tcPr>
          <w:p w14:paraId="4E940421">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张伟</w:t>
            </w:r>
          </w:p>
        </w:tc>
        <w:tc>
          <w:tcPr>
            <w:tcW w:w="2250" w:type="dxa"/>
            <w:vAlign w:val="center"/>
          </w:tcPr>
          <w:p w14:paraId="14967409">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color w:val="auto"/>
                <w:sz w:val="24"/>
                <w:szCs w:val="24"/>
                <w:vertAlign w:val="baseline"/>
                <w:lang w:eastAsia="zh-CN"/>
              </w:rPr>
              <w:t>联系方式</w:t>
            </w:r>
          </w:p>
        </w:tc>
        <w:tc>
          <w:tcPr>
            <w:tcW w:w="2386" w:type="dxa"/>
            <w:vAlign w:val="center"/>
          </w:tcPr>
          <w:p w14:paraId="48CF860A">
            <w:pPr>
              <w:numPr>
                <w:ilvl w:val="0"/>
                <w:numId w:val="0"/>
              </w:numPr>
              <w:spacing w:line="360" w:lineRule="auto"/>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sz w:val="24"/>
                <w:szCs w:val="24"/>
                <w:vertAlign w:val="baseline"/>
                <w:lang w:val="en-US" w:eastAsia="zh-CN"/>
              </w:rPr>
              <w:t>15251822067</w:t>
            </w:r>
          </w:p>
        </w:tc>
      </w:tr>
      <w:tr w14:paraId="732D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06B6B822">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建设地点</w:t>
            </w:r>
          </w:p>
        </w:tc>
        <w:tc>
          <w:tcPr>
            <w:tcW w:w="6749" w:type="dxa"/>
            <w:gridSpan w:val="3"/>
            <w:vAlign w:val="center"/>
          </w:tcPr>
          <w:p w14:paraId="2B7B3878">
            <w:pPr>
              <w:keepNext w:val="0"/>
              <w:keepLines w:val="0"/>
              <w:widowControl/>
              <w:suppressLineNumbers w:val="0"/>
              <w:jc w:val="center"/>
              <w:rPr>
                <w:rFonts w:hint="default" w:ascii="宋体" w:hAnsi="宋体" w:eastAsia="宋体" w:cs="宋体"/>
                <w:b w:val="0"/>
                <w:bCs w:val="0"/>
                <w:sz w:val="24"/>
                <w:szCs w:val="24"/>
                <w:vertAlign w:val="baseline"/>
                <w:lang w:val="en-US" w:eastAsia="zh-CN"/>
              </w:rPr>
            </w:pPr>
            <w:r>
              <w:rPr>
                <w:rFonts w:hint="default" w:ascii="Times New Roman" w:hAnsi="Times New Roman" w:eastAsia="宋体" w:cs="Times New Roman"/>
                <w:b w:val="0"/>
                <w:bCs w:val="0"/>
                <w:color w:val="auto"/>
                <w:kern w:val="2"/>
                <w:sz w:val="24"/>
                <w:szCs w:val="24"/>
                <w:lang w:val="en-US" w:eastAsia="zh-CN" w:bidi="ar-SA"/>
              </w:rPr>
              <w:t>云南省德宏州芒市</w:t>
            </w:r>
            <w:r>
              <w:rPr>
                <w:rFonts w:hint="eastAsia" w:ascii="宋体" w:hAnsi="宋体" w:eastAsia="宋体" w:cs="宋体"/>
                <w:color w:val="000000"/>
                <w:kern w:val="0"/>
                <w:sz w:val="24"/>
                <w:szCs w:val="24"/>
                <w:lang w:val="en-US" w:eastAsia="zh-CN" w:bidi="ar"/>
              </w:rPr>
              <w:t>江东乡、轩岗乡</w:t>
            </w:r>
          </w:p>
        </w:tc>
      </w:tr>
      <w:tr w14:paraId="7F44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43B979A1">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地理坐标</w:t>
            </w:r>
          </w:p>
        </w:tc>
        <w:tc>
          <w:tcPr>
            <w:tcW w:w="6749" w:type="dxa"/>
            <w:gridSpan w:val="3"/>
            <w:vAlign w:val="center"/>
          </w:tcPr>
          <w:p w14:paraId="218EB6B2">
            <w:pPr>
              <w:numPr>
                <w:ilvl w:val="0"/>
                <w:numId w:val="0"/>
              </w:numPr>
              <w:spacing w:line="360" w:lineRule="auto"/>
              <w:jc w:val="both"/>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u w:val="none"/>
                <w:lang w:eastAsia="zh-CN"/>
                <w14:textFill>
                  <w14:solidFill>
                    <w14:schemeClr w14:val="tx1"/>
                  </w14:solidFill>
                </w14:textFill>
              </w:rPr>
              <w:t>东经</w:t>
            </w:r>
            <w:r>
              <w:rPr>
                <w:rFonts w:hint="eastAsia" w:ascii="Times New Roman" w:hAnsi="Times New Roman"/>
                <w:color w:val="000000" w:themeColor="text1"/>
                <w:sz w:val="24"/>
                <w:u w:val="single"/>
                <w:lang w:val="en-US" w:eastAsia="zh-CN"/>
                <w14:textFill>
                  <w14:solidFill>
                    <w14:schemeClr w14:val="tx1"/>
                  </w14:solidFill>
                </w14:textFill>
              </w:rPr>
              <w:t>98</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23</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39.170</w:t>
            </w:r>
            <w:r>
              <w:rPr>
                <w:rFonts w:ascii="Times New Roman" w:hAnsi="Times New Roman"/>
                <w:color w:val="000000" w:themeColor="text1"/>
                <w:sz w:val="24"/>
                <w:u w:val="single"/>
                <w14:textFill>
                  <w14:solidFill>
                    <w14:schemeClr w14:val="tx1"/>
                  </w14:solidFill>
                </w14:textFill>
              </w:rPr>
              <w:t xml:space="preserve"> </w:t>
            </w:r>
            <w:r>
              <w:rPr>
                <w:rFonts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98</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25</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25.300</w:t>
            </w:r>
            <w:r>
              <w:rPr>
                <w:rFonts w:ascii="Times New Roman" w:hAnsi="Times New Roman"/>
                <w:color w:val="000000" w:themeColor="text1"/>
                <w:sz w:val="24"/>
                <w14:textFill>
                  <w14:solidFill>
                    <w14:schemeClr w14:val="tx1"/>
                  </w14:solidFill>
                </w14:textFill>
              </w:rPr>
              <w:t>秒，</w:t>
            </w:r>
          </w:p>
          <w:p w14:paraId="35203944">
            <w:pPr>
              <w:numPr>
                <w:ilvl w:val="0"/>
                <w:numId w:val="0"/>
              </w:numPr>
              <w:spacing w:line="360" w:lineRule="auto"/>
              <w:jc w:val="both"/>
              <w:rPr>
                <w:rFonts w:hint="default" w:ascii="宋体" w:hAnsi="宋体" w:eastAsia="宋体" w:cs="宋体"/>
                <w:b w:val="0"/>
                <w:bCs w:val="0"/>
                <w:color w:val="000000" w:themeColor="text1"/>
                <w:sz w:val="24"/>
                <w:szCs w:val="24"/>
                <w:vertAlign w:val="baseline"/>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北纬</w:t>
            </w:r>
            <w:r>
              <w:rPr>
                <w:rFonts w:hint="eastAsia" w:ascii="Times New Roman" w:hAnsi="Times New Roman"/>
                <w:color w:val="000000" w:themeColor="text1"/>
                <w:sz w:val="24"/>
                <w:u w:val="single"/>
                <w:lang w:val="en-US" w:eastAsia="zh-CN"/>
                <w14:textFill>
                  <w14:solidFill>
                    <w14:schemeClr w14:val="tx1"/>
                  </w14:solidFill>
                </w14:textFill>
              </w:rPr>
              <w:t>24</w:t>
            </w:r>
            <w:r>
              <w:rPr>
                <w:rFonts w:ascii="Times New Roman" w:hAnsi="Times New Roman"/>
                <w:color w:val="000000" w:themeColor="text1"/>
                <w:sz w:val="24"/>
                <w14:textFill>
                  <w14:solidFill>
                    <w14:schemeClr w14:val="tx1"/>
                  </w14:solidFill>
                </w14:textFill>
              </w:rPr>
              <w:t>度</w:t>
            </w:r>
            <w:r>
              <w:rPr>
                <w:rFonts w:hint="eastAsia" w:ascii="Times New Roman" w:hAnsi="Times New Roman"/>
                <w:color w:val="000000" w:themeColor="text1"/>
                <w:sz w:val="24"/>
                <w:u w:val="single"/>
                <w:lang w:val="en-US" w:eastAsia="zh-CN"/>
                <w14:textFill>
                  <w14:solidFill>
                    <w14:schemeClr w14:val="tx1"/>
                  </w14:solidFill>
                </w14:textFill>
              </w:rPr>
              <w:t>27</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34.150</w:t>
            </w:r>
            <w:r>
              <w:rPr>
                <w:rFonts w:ascii="Times New Roman" w:hAnsi="Times New Roman"/>
                <w:color w:val="000000" w:themeColor="text1"/>
                <w:sz w:val="24"/>
                <w14:textFill>
                  <w14:solidFill>
                    <w14:schemeClr w14:val="tx1"/>
                  </w14:solidFill>
                </w14:textFill>
              </w:rPr>
              <w:t>秒</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u w:val="single"/>
                <w:lang w:val="en-US" w:eastAsia="zh-CN"/>
                <w14:textFill>
                  <w14:solidFill>
                    <w14:schemeClr w14:val="tx1"/>
                  </w14:solidFill>
                </w14:textFill>
              </w:rPr>
              <w:t>24</w:t>
            </w:r>
            <w:r>
              <w:rPr>
                <w:rFonts w:ascii="Times New Roman" w:hAnsi="Times New Roman"/>
                <w:color w:val="000000" w:themeColor="text1"/>
                <w:sz w:val="24"/>
                <w14:textFill>
                  <w14:solidFill>
                    <w14:schemeClr w14:val="tx1"/>
                  </w14:solidFill>
                </w14:textFill>
              </w:rPr>
              <w:t>度</w:t>
            </w:r>
            <w:r>
              <w:rPr>
                <w:rFonts w:ascii="Times New Roman" w:hAnsi="Times New Roman"/>
                <w:color w:val="000000" w:themeColor="text1"/>
                <w:sz w:val="24"/>
                <w:u w:val="single"/>
                <w14:textFill>
                  <w14:solidFill>
                    <w14:schemeClr w14:val="tx1"/>
                  </w14:solidFill>
                </w14:textFill>
              </w:rPr>
              <w:t xml:space="preserve"> </w:t>
            </w:r>
            <w:r>
              <w:rPr>
                <w:rFonts w:hint="eastAsia" w:ascii="Times New Roman" w:hAnsi="Times New Roman"/>
                <w:color w:val="000000" w:themeColor="text1"/>
                <w:sz w:val="24"/>
                <w:u w:val="single"/>
                <w:lang w:val="en-US" w:eastAsia="zh-CN"/>
                <w14:textFill>
                  <w14:solidFill>
                    <w14:schemeClr w14:val="tx1"/>
                  </w14:solidFill>
                </w14:textFill>
              </w:rPr>
              <w:t>29</w:t>
            </w:r>
            <w:r>
              <w:rPr>
                <w:rFonts w:ascii="Times New Roman" w:hAnsi="Times New Roman"/>
                <w:color w:val="000000" w:themeColor="text1"/>
                <w:sz w:val="24"/>
                <w14:textFill>
                  <w14:solidFill>
                    <w14:schemeClr w14:val="tx1"/>
                  </w14:solidFill>
                </w14:textFill>
              </w:rPr>
              <w:t>分</w:t>
            </w:r>
            <w:r>
              <w:rPr>
                <w:rFonts w:hint="eastAsia" w:ascii="Times New Roman" w:hAnsi="Times New Roman"/>
                <w:color w:val="000000" w:themeColor="text1"/>
                <w:sz w:val="24"/>
                <w:u w:val="single"/>
                <w:lang w:val="en-US" w:eastAsia="zh-CN"/>
                <w14:textFill>
                  <w14:solidFill>
                    <w14:schemeClr w14:val="tx1"/>
                  </w14:solidFill>
                </w14:textFill>
              </w:rPr>
              <w:t>20.320秒。</w:t>
            </w:r>
          </w:p>
        </w:tc>
      </w:tr>
      <w:tr w14:paraId="21B9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7CD07E1F">
            <w:pPr>
              <w:numPr>
                <w:ilvl w:val="0"/>
                <w:numId w:val="0"/>
              </w:numPr>
              <w:spacing w:line="360" w:lineRule="auto"/>
              <w:jc w:val="center"/>
              <w:rPr>
                <w:rFonts w:hint="eastAsia" w:ascii="宋体" w:hAnsi="宋体" w:eastAsia="宋体" w:cs="宋体"/>
                <w:b w:val="0"/>
                <w:bCs w:val="0"/>
                <w:sz w:val="24"/>
                <w:szCs w:val="24"/>
                <w:vertAlign w:val="baseline"/>
                <w:lang w:eastAsia="zh-CN"/>
              </w:rPr>
            </w:pPr>
            <w:r>
              <w:rPr>
                <w:rFonts w:hint="eastAsia" w:ascii="宋体" w:hAnsi="宋体" w:eastAsia="宋体" w:cs="宋体"/>
                <w:b w:val="0"/>
                <w:bCs w:val="0"/>
                <w:sz w:val="24"/>
                <w:szCs w:val="24"/>
                <w:vertAlign w:val="baseline"/>
                <w:lang w:eastAsia="zh-CN"/>
              </w:rPr>
              <w:t>建设项目行业类别</w:t>
            </w:r>
          </w:p>
        </w:tc>
        <w:tc>
          <w:tcPr>
            <w:tcW w:w="2113" w:type="dxa"/>
            <w:vAlign w:val="center"/>
          </w:tcPr>
          <w:p w14:paraId="302766B8">
            <w:pPr>
              <w:spacing w:line="240" w:lineRule="auto"/>
              <w:jc w:val="both"/>
              <w:rPr>
                <w:rFonts w:hint="default"/>
                <w:lang w:val="en-US" w:eastAsia="zh-CN"/>
              </w:rPr>
            </w:pPr>
            <w:r>
              <w:rPr>
                <w:rFonts w:hint="eastAsia" w:ascii="Times New Roman" w:hAnsi="Times New Roman" w:eastAsia="宋体" w:cs="Times New Roman"/>
                <w:sz w:val="24"/>
                <w:szCs w:val="24"/>
                <w:lang w:val="en-US" w:eastAsia="zh-CN"/>
              </w:rPr>
              <w:t>四十一</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电力、热力生产和供应业-90太阳能发电4416（不含居民家用光伏发电）</w:t>
            </w:r>
          </w:p>
        </w:tc>
        <w:tc>
          <w:tcPr>
            <w:tcW w:w="2250" w:type="dxa"/>
            <w:vAlign w:val="center"/>
          </w:tcPr>
          <w:p w14:paraId="419E4E52">
            <w:pPr>
              <w:numPr>
                <w:ilvl w:val="0"/>
                <w:numId w:val="0"/>
              </w:numPr>
              <w:spacing w:line="24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color w:val="auto"/>
                <w:sz w:val="24"/>
                <w:szCs w:val="24"/>
                <w:vertAlign w:val="baseline"/>
                <w:lang w:eastAsia="zh-CN"/>
              </w:rPr>
              <w:t>用地（用海）面积</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default" w:ascii="Times New Roman" w:hAnsi="Times New Roman" w:eastAsia="宋体" w:cs="Times New Roman"/>
                <w:b w:val="0"/>
                <w:bCs w:val="0"/>
                <w:color w:val="auto"/>
                <w:sz w:val="24"/>
                <w:szCs w:val="24"/>
                <w:vertAlign w:val="baseline"/>
                <w:lang w:eastAsia="zh-CN"/>
              </w:rPr>
              <w:t>）</w:t>
            </w:r>
            <w:r>
              <w:rPr>
                <w:rFonts w:hint="default" w:ascii="Times New Roman" w:hAnsi="Times New Roman" w:eastAsia="宋体" w:cs="Times New Roman"/>
                <w:b w:val="0"/>
                <w:bCs w:val="0"/>
                <w:color w:val="auto"/>
                <w:sz w:val="24"/>
                <w:szCs w:val="24"/>
                <w:vertAlign w:val="baseline"/>
                <w:lang w:val="en-US" w:eastAsia="zh-CN"/>
              </w:rPr>
              <w:t>/长度（km）</w:t>
            </w:r>
          </w:p>
        </w:tc>
        <w:tc>
          <w:tcPr>
            <w:tcW w:w="2386" w:type="dxa"/>
            <w:vAlign w:val="center"/>
          </w:tcPr>
          <w:p w14:paraId="70C59666">
            <w:pPr>
              <w:numPr>
                <w:ilvl w:val="0"/>
                <w:numId w:val="0"/>
              </w:numPr>
              <w:spacing w:line="240" w:lineRule="auto"/>
              <w:ind w:firstLine="720" w:firstLineChars="300"/>
              <w:jc w:val="both"/>
              <w:rPr>
                <w:rFonts w:hint="default" w:ascii="宋体" w:hAnsi="宋体" w:eastAsia="宋体" w:cs="宋体"/>
                <w:b w:val="0"/>
                <w:bCs w:val="0"/>
                <w:sz w:val="24"/>
                <w:szCs w:val="24"/>
                <w:vertAlign w:val="baseline"/>
                <w:lang w:val="en-US" w:eastAsia="zh-CN"/>
              </w:rPr>
            </w:pPr>
            <w:r>
              <w:rPr>
                <w:rFonts w:hint="eastAsia" w:ascii="Times New Roman" w:hAnsi="Times New Roman" w:eastAsia="宋体" w:cs="Times New Roman"/>
                <w:color w:val="000000"/>
                <w:kern w:val="0"/>
                <w:sz w:val="24"/>
                <w:szCs w:val="24"/>
                <w:lang w:val="en-US" w:eastAsia="zh-CN" w:bidi="ar"/>
              </w:rPr>
              <w:t>1305340</w:t>
            </w:r>
          </w:p>
        </w:tc>
      </w:tr>
      <w:tr w14:paraId="72B8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3CD93FBF">
            <w:pPr>
              <w:adjustRightInd w:val="0"/>
              <w:snapToGrid w:val="0"/>
              <w:jc w:val="center"/>
              <w:rPr>
                <w:rFonts w:hint="eastAsia"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建设性质</w:t>
            </w:r>
          </w:p>
        </w:tc>
        <w:tc>
          <w:tcPr>
            <w:tcW w:w="2113" w:type="dxa"/>
            <w:vAlign w:val="center"/>
          </w:tcPr>
          <w:p w14:paraId="3A0F1F38">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新建（迁建）</w:t>
            </w:r>
          </w:p>
          <w:p w14:paraId="3AE6C566">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改建</w:t>
            </w:r>
          </w:p>
          <w:p w14:paraId="364D19FB">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扩建</w:t>
            </w:r>
          </w:p>
          <w:p w14:paraId="071F2931">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eastAsia="zh-CN"/>
              </w:rPr>
              <w:t>□</w:t>
            </w:r>
            <w:r>
              <w:rPr>
                <w:rFonts w:ascii="Times New Roman" w:hAnsi="宋体"/>
                <w:color w:val="000000"/>
                <w:sz w:val="24"/>
              </w:rPr>
              <w:t>技术改造</w:t>
            </w:r>
          </w:p>
        </w:tc>
        <w:tc>
          <w:tcPr>
            <w:tcW w:w="2250" w:type="dxa"/>
            <w:vAlign w:val="center"/>
          </w:tcPr>
          <w:p w14:paraId="32B61A4F">
            <w:pPr>
              <w:adjustRightInd w:val="0"/>
              <w:snapToGrid w:val="0"/>
              <w:spacing w:line="240" w:lineRule="auto"/>
              <w:jc w:val="both"/>
              <w:rPr>
                <w:rFonts w:ascii="Times New Roman" w:hAnsi="Times New Roman"/>
                <w:color w:val="000000"/>
                <w:sz w:val="24"/>
              </w:rPr>
            </w:pPr>
            <w:r>
              <w:rPr>
                <w:rFonts w:ascii="Times New Roman" w:hAnsi="宋体"/>
                <w:color w:val="000000"/>
                <w:sz w:val="24"/>
              </w:rPr>
              <w:t>建设项目</w:t>
            </w:r>
          </w:p>
          <w:p w14:paraId="734D935C">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申报情形</w:t>
            </w:r>
          </w:p>
        </w:tc>
        <w:tc>
          <w:tcPr>
            <w:tcW w:w="2386" w:type="dxa"/>
            <w:vAlign w:val="center"/>
          </w:tcPr>
          <w:p w14:paraId="69BD91C8">
            <w:pPr>
              <w:adjustRightInd w:val="0"/>
              <w:snapToGrid w:val="0"/>
              <w:spacing w:line="240" w:lineRule="auto"/>
              <w:jc w:val="both"/>
              <w:rPr>
                <w:rFonts w:ascii="Times New Roman" w:hAnsi="Times New Roman"/>
                <w:color w:val="000000"/>
                <w:sz w:val="24"/>
              </w:rPr>
            </w:pPr>
            <w:r>
              <w:rPr>
                <w:rFonts w:hint="eastAsia" w:ascii="Times New Roman" w:hAnsi="Times New Roman"/>
                <w:color w:val="000000"/>
                <w:sz w:val="24"/>
                <w:lang w:eastAsia="zh-CN"/>
              </w:rPr>
              <w:t>☑</w:t>
            </w:r>
            <w:r>
              <w:rPr>
                <w:rFonts w:ascii="Times New Roman" w:hAnsi="宋体"/>
                <w:color w:val="000000"/>
                <w:sz w:val="24"/>
              </w:rPr>
              <w:t>首次申报项目</w:t>
            </w:r>
          </w:p>
          <w:p w14:paraId="67DD9255">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w:t>
            </w:r>
            <w:r>
              <w:rPr>
                <w:rFonts w:ascii="Times New Roman" w:hAnsi="宋体"/>
                <w:color w:val="000000"/>
                <w:sz w:val="24"/>
              </w:rPr>
              <w:t>不予批准后再次申报项目</w:t>
            </w:r>
          </w:p>
          <w:p w14:paraId="489F67E8">
            <w:pPr>
              <w:adjustRightInd w:val="0"/>
              <w:snapToGrid w:val="0"/>
              <w:spacing w:line="240" w:lineRule="auto"/>
              <w:jc w:val="both"/>
              <w:rPr>
                <w:rFonts w:ascii="Times New Roman" w:hAnsi="Times New Roman"/>
                <w:color w:val="000000"/>
                <w:sz w:val="24"/>
              </w:rPr>
            </w:pPr>
            <w:r>
              <w:rPr>
                <w:rFonts w:ascii="Times New Roman" w:hAnsi="Times New Roman"/>
                <w:color w:val="000000"/>
                <w:sz w:val="24"/>
              </w:rPr>
              <w:t>□</w:t>
            </w:r>
            <w:r>
              <w:rPr>
                <w:rFonts w:ascii="Times New Roman" w:hAnsi="宋体"/>
                <w:color w:val="000000"/>
                <w:sz w:val="24"/>
              </w:rPr>
              <w:t>超五年重新审核项目</w:t>
            </w:r>
          </w:p>
          <w:p w14:paraId="708478D2">
            <w:pPr>
              <w:adjustRightInd w:val="0"/>
              <w:snapToGrid w:val="0"/>
              <w:spacing w:line="240" w:lineRule="auto"/>
              <w:jc w:val="both"/>
              <w:rPr>
                <w:rFonts w:hint="eastAsia" w:ascii="Times New Roman" w:hAnsi="Times New Roman" w:eastAsiaTheme="minorEastAsia" w:cstheme="minorBidi"/>
                <w:color w:val="000000"/>
                <w:kern w:val="2"/>
                <w:sz w:val="24"/>
                <w:szCs w:val="24"/>
                <w:lang w:val="en-US" w:eastAsia="zh-CN" w:bidi="ar-SA"/>
              </w:rPr>
            </w:pPr>
            <w:r>
              <w:rPr>
                <w:rFonts w:ascii="Times New Roman" w:hAnsi="Times New Roman"/>
                <w:color w:val="000000"/>
                <w:sz w:val="24"/>
              </w:rPr>
              <w:t>□</w:t>
            </w:r>
            <w:r>
              <w:rPr>
                <w:rFonts w:ascii="Times New Roman" w:hAnsi="宋体"/>
                <w:color w:val="000000"/>
                <w:sz w:val="24"/>
              </w:rPr>
              <w:t>重大变动重新报批项目</w:t>
            </w:r>
          </w:p>
        </w:tc>
      </w:tr>
      <w:tr w14:paraId="49D5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3B56AC92">
            <w:pPr>
              <w:adjustRightInd w:val="0"/>
              <w:snapToGrid w:val="0"/>
              <w:jc w:val="center"/>
              <w:rPr>
                <w:rFonts w:ascii="Times New Roman" w:hAnsi="Times New Roman"/>
                <w:color w:val="000000"/>
                <w:sz w:val="24"/>
              </w:rPr>
            </w:pPr>
            <w:r>
              <w:rPr>
                <w:rFonts w:ascii="Times New Roman" w:hAnsi="宋体"/>
                <w:color w:val="000000"/>
                <w:sz w:val="24"/>
              </w:rPr>
              <w:t>项目审批（核准</w:t>
            </w:r>
            <w:r>
              <w:rPr>
                <w:rFonts w:ascii="Times New Roman" w:hAnsi="Times New Roman"/>
                <w:color w:val="000000"/>
                <w:sz w:val="24"/>
              </w:rPr>
              <w:t>/</w:t>
            </w:r>
          </w:p>
          <w:p w14:paraId="7BD63597">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备案）部门（选填）</w:t>
            </w:r>
          </w:p>
        </w:tc>
        <w:tc>
          <w:tcPr>
            <w:tcW w:w="2113" w:type="dxa"/>
            <w:vAlign w:val="center"/>
          </w:tcPr>
          <w:p w14:paraId="13AB1B50">
            <w:pPr>
              <w:adjustRightInd w:val="0"/>
              <w:snapToGrid w:val="0"/>
              <w:jc w:val="center"/>
              <w:rPr>
                <w:rFonts w:hint="eastAsia" w:ascii="Times New Roman" w:hAnsi="Times New Roman"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芒市发展和改革局</w:t>
            </w:r>
          </w:p>
          <w:p w14:paraId="172210A7">
            <w:pPr>
              <w:adjustRightInd w:val="0"/>
              <w:snapToGrid w:val="0"/>
              <w:jc w:val="center"/>
              <w:rPr>
                <w:rFonts w:hint="eastAsia" w:ascii="Times New Roman" w:hAnsi="Times New Roman" w:eastAsiaTheme="minorEastAsia" w:cstheme="minorBidi"/>
                <w:color w:val="000000"/>
                <w:kern w:val="2"/>
                <w:sz w:val="24"/>
                <w:szCs w:val="24"/>
                <w:lang w:val="en-US" w:eastAsia="zh-CN" w:bidi="ar-SA"/>
              </w:rPr>
            </w:pPr>
          </w:p>
        </w:tc>
        <w:tc>
          <w:tcPr>
            <w:tcW w:w="2250" w:type="dxa"/>
            <w:vAlign w:val="center"/>
          </w:tcPr>
          <w:p w14:paraId="0AA2C79E">
            <w:pPr>
              <w:adjustRightInd w:val="0"/>
              <w:snapToGrid w:val="0"/>
              <w:jc w:val="center"/>
              <w:rPr>
                <w:rFonts w:ascii="Times New Roman" w:hAnsi="Times New Roman"/>
                <w:color w:val="000000"/>
                <w:sz w:val="24"/>
              </w:rPr>
            </w:pPr>
            <w:r>
              <w:rPr>
                <w:rFonts w:ascii="Times New Roman" w:hAnsi="宋体"/>
                <w:color w:val="000000"/>
                <w:sz w:val="24"/>
              </w:rPr>
              <w:t>项目审批（核准</w:t>
            </w:r>
            <w:r>
              <w:rPr>
                <w:rFonts w:ascii="Times New Roman" w:hAnsi="Times New Roman"/>
                <w:color w:val="000000"/>
                <w:sz w:val="24"/>
              </w:rPr>
              <w:t>/</w:t>
            </w:r>
          </w:p>
          <w:p w14:paraId="79408378">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备案）文号（选填）</w:t>
            </w:r>
          </w:p>
        </w:tc>
        <w:tc>
          <w:tcPr>
            <w:tcW w:w="2386" w:type="dxa"/>
            <w:vAlign w:val="center"/>
          </w:tcPr>
          <w:p w14:paraId="7E1A8901">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w:t>
            </w:r>
          </w:p>
        </w:tc>
      </w:tr>
      <w:tr w14:paraId="250C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773" w:type="dxa"/>
            <w:vAlign w:val="center"/>
          </w:tcPr>
          <w:p w14:paraId="714B02D3">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000000"/>
                <w:sz w:val="24"/>
              </w:rPr>
              <w:t>总投资（万元）</w:t>
            </w:r>
          </w:p>
        </w:tc>
        <w:tc>
          <w:tcPr>
            <w:tcW w:w="2113" w:type="dxa"/>
            <w:vAlign w:val="center"/>
          </w:tcPr>
          <w:p w14:paraId="181EF4C2">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olor w:val="000000"/>
                <w:sz w:val="24"/>
                <w:lang w:val="en-US" w:eastAsia="zh-CN"/>
              </w:rPr>
              <w:t>31050</w:t>
            </w:r>
          </w:p>
        </w:tc>
        <w:tc>
          <w:tcPr>
            <w:tcW w:w="2250" w:type="dxa"/>
            <w:vAlign w:val="center"/>
          </w:tcPr>
          <w:p w14:paraId="39230BFC">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环保投资（万元）</w:t>
            </w:r>
          </w:p>
        </w:tc>
        <w:tc>
          <w:tcPr>
            <w:tcW w:w="2386" w:type="dxa"/>
            <w:vAlign w:val="center"/>
          </w:tcPr>
          <w:p w14:paraId="1C732A38">
            <w:pPr>
              <w:adjustRightInd w:val="0"/>
              <w:snapToGrid w:val="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223.5</w:t>
            </w:r>
          </w:p>
        </w:tc>
      </w:tr>
      <w:tr w14:paraId="368D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76EF3EA5">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环保投资占比（</w:t>
            </w:r>
            <w:r>
              <w:rPr>
                <w:rFonts w:ascii="Times New Roman" w:hAnsi="Times New Roman"/>
                <w:color w:val="auto"/>
                <w:sz w:val="24"/>
              </w:rPr>
              <w:t>%</w:t>
            </w:r>
            <w:r>
              <w:rPr>
                <w:rFonts w:ascii="Times New Roman" w:hAnsi="宋体"/>
                <w:color w:val="auto"/>
                <w:sz w:val="24"/>
              </w:rPr>
              <w:t>）</w:t>
            </w:r>
          </w:p>
        </w:tc>
        <w:tc>
          <w:tcPr>
            <w:tcW w:w="2113" w:type="dxa"/>
            <w:vAlign w:val="center"/>
          </w:tcPr>
          <w:p w14:paraId="01AF6A65">
            <w:pPr>
              <w:adjustRightInd w:val="0"/>
              <w:snapToGrid w:val="0"/>
              <w:jc w:val="center"/>
              <w:rPr>
                <w:rFonts w:hint="default" w:ascii="Times New Roman" w:hAnsi="Times New Roman" w:eastAsia="宋体" w:cstheme="minorBidi"/>
                <w:color w:val="000000"/>
                <w:kern w:val="2"/>
                <w:sz w:val="24"/>
                <w:szCs w:val="24"/>
                <w:lang w:val="en-US" w:eastAsia="zh-CN" w:bidi="ar-SA"/>
              </w:rPr>
            </w:pPr>
            <w:r>
              <w:rPr>
                <w:rFonts w:hint="eastAsia" w:ascii="Times New Roman" w:hAnsi="Times New Roman" w:eastAsia="宋体" w:cstheme="minorBidi"/>
                <w:color w:val="000000"/>
                <w:kern w:val="2"/>
                <w:sz w:val="24"/>
                <w:szCs w:val="24"/>
                <w:lang w:val="en-US" w:eastAsia="zh-CN" w:bidi="ar-SA"/>
              </w:rPr>
              <w:t>0.72</w:t>
            </w:r>
          </w:p>
        </w:tc>
        <w:tc>
          <w:tcPr>
            <w:tcW w:w="2250" w:type="dxa"/>
            <w:vAlign w:val="center"/>
          </w:tcPr>
          <w:p w14:paraId="1C674B99">
            <w:pPr>
              <w:adjustRightInd w:val="0"/>
              <w:snapToGrid w:val="0"/>
              <w:jc w:val="center"/>
              <w:rPr>
                <w:rFonts w:ascii="Times New Roman" w:hAnsi="Times New Roman" w:eastAsiaTheme="minorEastAsia" w:cstheme="minorBidi"/>
                <w:color w:val="000000"/>
                <w:kern w:val="2"/>
                <w:sz w:val="24"/>
                <w:szCs w:val="24"/>
                <w:lang w:val="en-US" w:eastAsia="zh-CN" w:bidi="ar-SA"/>
              </w:rPr>
            </w:pPr>
            <w:r>
              <w:rPr>
                <w:rFonts w:ascii="Times New Roman" w:hAnsi="宋体"/>
                <w:color w:val="auto"/>
                <w:sz w:val="24"/>
              </w:rPr>
              <w:t>施工工期</w:t>
            </w:r>
          </w:p>
        </w:tc>
        <w:tc>
          <w:tcPr>
            <w:tcW w:w="2386" w:type="dxa"/>
            <w:vAlign w:val="center"/>
          </w:tcPr>
          <w:p w14:paraId="16EFF93F">
            <w:pPr>
              <w:adjustRightInd w:val="0"/>
              <w:snapToGrid w:val="0"/>
              <w:jc w:val="center"/>
              <w:rPr>
                <w:rFonts w:hint="default" w:ascii="Times New Roman" w:hAnsi="Times New Roman" w:eastAsiaTheme="minorEastAsia" w:cstheme="minorBidi"/>
                <w:color w:val="000000"/>
                <w:kern w:val="2"/>
                <w:sz w:val="24"/>
                <w:szCs w:val="24"/>
                <w:lang w:val="en-US" w:eastAsia="zh-CN" w:bidi="ar-SA"/>
              </w:rPr>
            </w:pPr>
            <w:r>
              <w:rPr>
                <w:rFonts w:hint="eastAsia" w:ascii="Times New Roman" w:hAnsi="Times New Roman" w:cstheme="minorBidi"/>
                <w:color w:val="000000"/>
                <w:kern w:val="2"/>
                <w:sz w:val="24"/>
                <w:szCs w:val="24"/>
                <w:lang w:val="en-US" w:eastAsia="zh-CN" w:bidi="ar-SA"/>
              </w:rPr>
              <w:t>6个月</w:t>
            </w:r>
          </w:p>
        </w:tc>
      </w:tr>
      <w:tr w14:paraId="7851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B48C7DB">
            <w:pPr>
              <w:adjustRightInd w:val="0"/>
              <w:snapToGrid w:val="0"/>
              <w:jc w:val="center"/>
              <w:rPr>
                <w:rFonts w:ascii="Times New Roman" w:hAnsi="宋体"/>
                <w:color w:val="000000"/>
                <w:sz w:val="24"/>
              </w:rPr>
            </w:pPr>
            <w:r>
              <w:rPr>
                <w:rFonts w:ascii="Times New Roman" w:hAnsi="宋体"/>
                <w:color w:val="000000"/>
                <w:sz w:val="24"/>
              </w:rPr>
              <w:t>是否开工建设</w:t>
            </w:r>
          </w:p>
        </w:tc>
        <w:tc>
          <w:tcPr>
            <w:tcW w:w="6749" w:type="dxa"/>
            <w:gridSpan w:val="3"/>
            <w:vAlign w:val="center"/>
          </w:tcPr>
          <w:p w14:paraId="37C2AEA1">
            <w:pPr>
              <w:adjustRightInd w:val="0"/>
              <w:snapToGrid w:val="0"/>
              <w:jc w:val="both"/>
              <w:rPr>
                <w:rFonts w:hint="eastAsia" w:ascii="Times New Roman" w:hAnsi="Times New Roman" w:eastAsiaTheme="minorEastAsia"/>
                <w:color w:val="000000"/>
                <w:sz w:val="24"/>
                <w:lang w:eastAsia="zh-CN"/>
              </w:rPr>
            </w:pPr>
            <w:r>
              <w:rPr>
                <w:rFonts w:ascii="Times New Roman" w:hAnsi="Times New Roman"/>
                <w:color w:val="000000"/>
                <w:sz w:val="24"/>
              </w:rPr>
              <w:sym w:font="Wingdings 2" w:char="0052"/>
            </w:r>
            <w:r>
              <w:rPr>
                <w:rFonts w:ascii="Times New Roman" w:hAnsi="宋体"/>
                <w:color w:val="000000"/>
                <w:sz w:val="24"/>
              </w:rPr>
              <w:t>否</w:t>
            </w:r>
          </w:p>
          <w:p w14:paraId="243848C7">
            <w:pPr>
              <w:adjustRightInd w:val="0"/>
              <w:snapToGrid w:val="0"/>
              <w:jc w:val="both"/>
              <w:rPr>
                <w:rFonts w:hint="default" w:ascii="Times New Roman" w:hAnsi="Times New Roman" w:eastAsiaTheme="minorEastAsia"/>
                <w:color w:val="000000"/>
                <w:sz w:val="24"/>
                <w:lang w:val="en-US" w:eastAsia="zh-CN"/>
              </w:rPr>
            </w:pPr>
            <w:r>
              <w:rPr>
                <w:rFonts w:hint="eastAsia" w:ascii="Times New Roman" w:hAnsi="Times New Roman"/>
                <w:color w:val="000000"/>
                <w:sz w:val="24"/>
                <w:lang w:eastAsia="zh-CN"/>
              </w:rPr>
              <w:t>□</w:t>
            </w:r>
            <w:r>
              <w:rPr>
                <w:rFonts w:ascii="Times New Roman" w:hAnsi="宋体"/>
                <w:color w:val="000000"/>
                <w:sz w:val="24"/>
              </w:rPr>
              <w:t>是：</w:t>
            </w:r>
            <w:r>
              <w:rPr>
                <w:rFonts w:hint="eastAsia" w:ascii="Times New Roman" w:hAnsi="宋体"/>
                <w:color w:val="000000"/>
                <w:sz w:val="24"/>
                <w:u w:val="single"/>
                <w:lang w:val="en-US" w:eastAsia="zh-CN"/>
              </w:rPr>
              <w:t xml:space="preserve">                     </w:t>
            </w:r>
          </w:p>
        </w:tc>
      </w:tr>
      <w:tr w14:paraId="7760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3EB635A9">
            <w:pPr>
              <w:autoSpaceDE w:val="0"/>
              <w:autoSpaceDN w:val="0"/>
              <w:adjustRightInd w:val="0"/>
              <w:snapToGrid w:val="0"/>
              <w:jc w:val="center"/>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000000"/>
                <w:kern w:val="0"/>
                <w:sz w:val="24"/>
              </w:rPr>
              <w:t>专项评价设置情况</w:t>
            </w:r>
          </w:p>
        </w:tc>
        <w:tc>
          <w:tcPr>
            <w:tcW w:w="6749" w:type="dxa"/>
            <w:gridSpan w:val="3"/>
            <w:vAlign w:val="center"/>
          </w:tcPr>
          <w:p w14:paraId="0A7EC7E8">
            <w:pPr>
              <w:autoSpaceDE w:val="0"/>
              <w:autoSpaceDN w:val="0"/>
              <w:adjustRightInd w:val="0"/>
              <w:snapToGrid w:val="0"/>
              <w:spacing w:line="360" w:lineRule="auto"/>
              <w:ind w:firstLine="480" w:firstLineChars="200"/>
              <w:jc w:val="left"/>
              <w:rPr>
                <w:rFonts w:hint="default" w:ascii="Times New Roman" w:hAnsi="Times New Roman" w:cs="Times New Roman" w:eastAsiaTheme="minorEastAsia"/>
                <w:color w:val="000000"/>
                <w:kern w:val="0"/>
                <w:sz w:val="24"/>
                <w:szCs w:val="24"/>
                <w:lang w:val="en-US" w:eastAsia="zh-CN" w:bidi="ar-SA"/>
              </w:rPr>
            </w:pPr>
            <w:r>
              <w:rPr>
                <w:rFonts w:hint="default" w:ascii="Times New Roman" w:hAnsi="Times New Roman" w:cs="Times New Roman"/>
                <w:color w:val="auto"/>
                <w:lang w:val="en-US" w:eastAsia="zh-CN"/>
              </w:rPr>
              <w:t>本项目含110KV升压站一座，根据《环境影响评价技术导则输变电工程》(HJ 24-2020) 附录B2.1，升压站应设电磁环境影响专项评价</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kern w:val="0"/>
                <w:szCs w:val="22"/>
                <w:lang w:val="en-US" w:eastAsia="zh-CN"/>
              </w:rPr>
              <w:t>由于受评审权限的限制，</w:t>
            </w:r>
            <w:r>
              <w:rPr>
                <w:rFonts w:hint="eastAsia" w:ascii="Times New Roman" w:hAnsi="Times New Roman" w:eastAsia="宋体" w:cs="Times New Roman"/>
                <w:color w:val="auto"/>
                <w:kern w:val="0"/>
                <w:sz w:val="24"/>
                <w:lang w:eastAsia="zh-CN"/>
              </w:rPr>
              <w:t>本次评价不包含项目</w:t>
            </w:r>
            <w:r>
              <w:rPr>
                <w:rFonts w:hint="default" w:ascii="Times New Roman" w:hAnsi="Times New Roman" w:eastAsia="宋体" w:cs="Times New Roman"/>
                <w:color w:val="auto"/>
                <w:kern w:val="0"/>
                <w:sz w:val="24"/>
                <w:szCs w:val="24"/>
                <w:lang w:val="en-US" w:eastAsia="zh-CN"/>
              </w:rPr>
              <w:t>110kV升压站电磁</w:t>
            </w:r>
            <w:r>
              <w:rPr>
                <w:rFonts w:hint="eastAsia" w:ascii="Times New Roman" w:hAnsi="Times New Roman" w:eastAsia="宋体" w:cs="Times New Roman"/>
                <w:color w:val="auto"/>
                <w:kern w:val="0"/>
                <w:sz w:val="24"/>
                <w:szCs w:val="24"/>
                <w:lang w:val="en-US" w:eastAsia="zh-CN"/>
              </w:rPr>
              <w:t>辐射</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eastAsia="宋体" w:cs="Times New Roman"/>
                <w:color w:val="auto"/>
                <w:kern w:val="0"/>
                <w:sz w:val="24"/>
                <w:szCs w:val="24"/>
                <w:lang w:val="en-US" w:eastAsia="zh-CN"/>
              </w:rPr>
              <w:t>评价内容，需另行编制</w:t>
            </w:r>
            <w:r>
              <w:rPr>
                <w:rFonts w:hint="default" w:ascii="Times New Roman" w:hAnsi="Times New Roman" w:eastAsia="宋体" w:cs="Times New Roman"/>
                <w:color w:val="auto"/>
                <w:kern w:val="0"/>
                <w:sz w:val="24"/>
                <w:szCs w:val="24"/>
                <w:lang w:val="en-US" w:eastAsia="zh-CN"/>
              </w:rPr>
              <w:t>电磁</w:t>
            </w:r>
            <w:r>
              <w:rPr>
                <w:rFonts w:hint="eastAsia" w:ascii="Times New Roman" w:hAnsi="Times New Roman" w:eastAsia="宋体" w:cs="Times New Roman"/>
                <w:color w:val="auto"/>
                <w:kern w:val="0"/>
                <w:sz w:val="24"/>
                <w:szCs w:val="24"/>
                <w:lang w:val="en-US" w:eastAsia="zh-CN"/>
              </w:rPr>
              <w:t>辐射部分</w:t>
            </w:r>
            <w:r>
              <w:rPr>
                <w:rFonts w:hint="default" w:ascii="Times New Roman" w:hAnsi="Times New Roman" w:eastAsia="宋体" w:cs="Times New Roman"/>
                <w:color w:val="auto"/>
                <w:kern w:val="0"/>
                <w:sz w:val="24"/>
                <w:szCs w:val="24"/>
                <w:lang w:val="en-US" w:eastAsia="zh-CN"/>
              </w:rPr>
              <w:t>环境影响</w:t>
            </w:r>
            <w:r>
              <w:rPr>
                <w:rFonts w:hint="eastAsia" w:ascii="Times New Roman" w:hAnsi="Times New Roman" w:eastAsia="宋体" w:cs="Times New Roman"/>
                <w:color w:val="auto"/>
                <w:kern w:val="0"/>
                <w:sz w:val="24"/>
                <w:szCs w:val="24"/>
                <w:lang w:val="en-US" w:eastAsia="zh-CN"/>
              </w:rPr>
              <w:t>专题评价报告后交由德宏州生态环境局进行审批。</w:t>
            </w:r>
            <w:r>
              <w:rPr>
                <w:rFonts w:hint="eastAsia" w:ascii="Times New Roman" w:hAnsi="Times New Roman" w:cs="Times New Roman"/>
                <w:color w:val="000000" w:themeColor="text1"/>
                <w:lang w:val="en-US" w:eastAsia="zh-CN"/>
                <w14:textFill>
                  <w14:solidFill>
                    <w14:schemeClr w14:val="tx1"/>
                  </w14:solidFill>
                </w14:textFill>
              </w:rPr>
              <w:t>本项目110kV送出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线路工程单独立项实施，不包括在本次评价范围内</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，项目不涉及</w:t>
            </w:r>
            <w:r>
              <w:rPr>
                <w:rFonts w:hint="eastAsia"/>
                <w:color w:val="000000" w:themeColor="text1"/>
                <w:lang w:val="en-US" w:eastAsia="zh-CN"/>
                <w14:textFill>
                  <w14:solidFill>
                    <w14:schemeClr w14:val="tx1"/>
                  </w14:solidFill>
                </w14:textFill>
              </w:rPr>
              <w:t>送出线路电磁辐射评价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tc>
      </w:tr>
      <w:tr w14:paraId="28FCA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E6DCAB3">
            <w:pPr>
              <w:autoSpaceDE w:val="0"/>
              <w:autoSpaceDN w:val="0"/>
              <w:adjustRightInd w:val="0"/>
              <w:snapToGrid w:val="0"/>
              <w:jc w:val="center"/>
              <w:rPr>
                <w:rFonts w:ascii="Times New Roman" w:hAnsi="宋体"/>
                <w:color w:val="000000"/>
                <w:kern w:val="0"/>
                <w:sz w:val="24"/>
              </w:rPr>
            </w:pPr>
            <w:r>
              <w:rPr>
                <w:rFonts w:ascii="Times New Roman" w:hAnsi="宋体"/>
                <w:color w:val="000000"/>
                <w:sz w:val="24"/>
              </w:rPr>
              <w:t>规划情况</w:t>
            </w:r>
          </w:p>
        </w:tc>
        <w:tc>
          <w:tcPr>
            <w:tcW w:w="6749" w:type="dxa"/>
            <w:gridSpan w:val="3"/>
            <w:vAlign w:val="center"/>
          </w:tcPr>
          <w:p w14:paraId="38659A54">
            <w:pPr>
              <w:spacing w:line="360" w:lineRule="auto"/>
              <w:jc w:val="center"/>
              <w:rPr>
                <w:rFonts w:hint="default"/>
                <w:lang w:val="en-US" w:eastAsia="zh-CN"/>
              </w:rPr>
            </w:pPr>
            <w:r>
              <w:rPr>
                <w:rFonts w:hint="eastAsia"/>
                <w:color w:val="auto"/>
                <w:lang w:val="en-US" w:eastAsia="zh-CN"/>
              </w:rPr>
              <w:t>无</w:t>
            </w:r>
          </w:p>
        </w:tc>
      </w:tr>
      <w:tr w14:paraId="1A28F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08E9F0E5">
            <w:pPr>
              <w:autoSpaceDE w:val="0"/>
              <w:autoSpaceDN w:val="0"/>
              <w:adjustRightInd w:val="0"/>
              <w:snapToGrid w:val="0"/>
              <w:jc w:val="center"/>
              <w:rPr>
                <w:rFonts w:hint="eastAsia" w:ascii="Times New Roman" w:hAnsi="宋体" w:eastAsiaTheme="minorEastAsia"/>
                <w:color w:val="000000"/>
                <w:sz w:val="24"/>
                <w:lang w:eastAsia="zh-CN"/>
              </w:rPr>
            </w:pPr>
            <w:r>
              <w:rPr>
                <w:rFonts w:hint="eastAsia" w:ascii="Times New Roman" w:hAnsi="宋体"/>
                <w:color w:val="000000"/>
                <w:sz w:val="24"/>
                <w:lang w:eastAsia="zh-CN"/>
              </w:rPr>
              <w:t>规划环境影响评价情况</w:t>
            </w:r>
          </w:p>
        </w:tc>
        <w:tc>
          <w:tcPr>
            <w:tcW w:w="6749" w:type="dxa"/>
            <w:gridSpan w:val="3"/>
            <w:vAlign w:val="center"/>
          </w:tcPr>
          <w:p w14:paraId="0857F625">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无</w:t>
            </w:r>
          </w:p>
        </w:tc>
      </w:tr>
      <w:tr w14:paraId="7079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34897E43">
            <w:pPr>
              <w:autoSpaceDE w:val="0"/>
              <w:autoSpaceDN w:val="0"/>
              <w:adjustRightInd w:val="0"/>
              <w:snapToGrid w:val="0"/>
              <w:jc w:val="center"/>
              <w:rPr>
                <w:rFonts w:hint="eastAsia" w:ascii="Times New Roman" w:hAnsi="宋体"/>
                <w:color w:val="000000"/>
                <w:sz w:val="24"/>
                <w:lang w:eastAsia="zh-CN"/>
              </w:rPr>
            </w:pPr>
            <w:r>
              <w:rPr>
                <w:rFonts w:hint="eastAsia" w:ascii="Times New Roman" w:hAnsi="宋体"/>
                <w:color w:val="000000"/>
                <w:sz w:val="24"/>
                <w:lang w:eastAsia="zh-CN"/>
              </w:rPr>
              <w:t>规划及规划环境影响评价符合性分析</w:t>
            </w:r>
          </w:p>
        </w:tc>
        <w:tc>
          <w:tcPr>
            <w:tcW w:w="6749" w:type="dxa"/>
            <w:gridSpan w:val="3"/>
            <w:vAlign w:val="center"/>
          </w:tcPr>
          <w:p w14:paraId="3227B823">
            <w:pPr>
              <w:jc w:val="center"/>
              <w:rPr>
                <w:rFonts w:hint="default"/>
                <w:lang w:val="en-US" w:eastAsia="zh-CN"/>
              </w:rPr>
            </w:pPr>
            <w:r>
              <w:rPr>
                <w:rFonts w:hint="eastAsia"/>
                <w:lang w:val="en-US" w:eastAsia="zh-CN"/>
              </w:rPr>
              <w:t>无</w:t>
            </w:r>
          </w:p>
        </w:tc>
      </w:tr>
      <w:tr w14:paraId="3AA3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3" w:type="dxa"/>
            <w:vAlign w:val="center"/>
          </w:tcPr>
          <w:p w14:paraId="1A20C153">
            <w:pPr>
              <w:autoSpaceDE w:val="0"/>
              <w:autoSpaceDN w:val="0"/>
              <w:adjustRightInd w:val="0"/>
              <w:snapToGrid w:val="0"/>
              <w:jc w:val="center"/>
              <w:rPr>
                <w:rFonts w:hint="eastAsia"/>
                <w:lang w:eastAsia="zh-CN"/>
              </w:rPr>
            </w:pPr>
            <w:r>
              <w:rPr>
                <w:rFonts w:hint="eastAsia"/>
                <w:lang w:eastAsia="zh-CN"/>
              </w:rPr>
              <w:t>其他符合性分析</w:t>
            </w:r>
          </w:p>
          <w:p w14:paraId="16EC0A0E">
            <w:pPr>
              <w:pStyle w:val="12"/>
              <w:rPr>
                <w:rFonts w:hint="eastAsia"/>
                <w:lang w:eastAsia="zh-CN"/>
              </w:rPr>
            </w:pPr>
          </w:p>
        </w:tc>
        <w:tc>
          <w:tcPr>
            <w:tcW w:w="6749" w:type="dxa"/>
            <w:gridSpan w:val="3"/>
            <w:vAlign w:val="center"/>
          </w:tcPr>
          <w:p w14:paraId="10C30EC5">
            <w:pPr>
              <w:numPr>
                <w:ilvl w:val="0"/>
                <w:numId w:val="0"/>
              </w:numPr>
              <w:spacing w:line="360" w:lineRule="auto"/>
              <w:ind w:firstLine="482" w:firstLineChars="20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1、产业政策符合性分析</w:t>
            </w:r>
          </w:p>
          <w:p w14:paraId="71F439FC">
            <w:pPr>
              <w:numPr>
                <w:ilvl w:val="0"/>
                <w:numId w:val="0"/>
              </w:numPr>
              <w:spacing w:line="360" w:lineRule="auto"/>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根据国家发展和改革委员会《产业结构调整指导目录(2019年本)》，该项目属于鼓励类中“第五项，新能源”中第1条，“太阳能热发电集热系统、太阳能光伏发电系统集成技术开发应用、逆变控制系统开发制造”，项目符合国家产业政策。且项目取得芒市发展和改革局固定资产投资项目备案证（项目代码：</w:t>
            </w:r>
            <w:r>
              <w:rPr>
                <w:rFonts w:hint="default" w:ascii="Times New Roman" w:hAnsi="Times New Roman" w:eastAsia="宋体" w:cs="Times New Roman"/>
                <w:b w:val="0"/>
                <w:bCs w:val="0"/>
                <w:sz w:val="24"/>
                <w:szCs w:val="24"/>
                <w:vertAlign w:val="baseline"/>
                <w:lang w:val="en-US" w:eastAsia="zh-CN"/>
              </w:rPr>
              <w:t>2208-533103-04-01-120605</w:t>
            </w:r>
            <w:r>
              <w:rPr>
                <w:rFonts w:hint="eastAsia" w:ascii="宋体" w:hAnsi="宋体" w:eastAsia="宋体" w:cs="宋体"/>
                <w:b w:val="0"/>
                <w:bCs w:val="0"/>
                <w:sz w:val="24"/>
                <w:szCs w:val="24"/>
                <w:lang w:val="en-US" w:eastAsia="zh-CN"/>
              </w:rPr>
              <w:t>）。因此，该项目符合</w:t>
            </w:r>
            <w:r>
              <w:rPr>
                <w:rFonts w:hint="default" w:ascii="Times New Roman" w:hAnsi="Times New Roman" w:eastAsia="宋体" w:cs="Times New Roman"/>
                <w:color w:val="auto"/>
                <w:sz w:val="24"/>
              </w:rPr>
              <w:t>国家及地方产业政策要求</w:t>
            </w:r>
            <w:r>
              <w:rPr>
                <w:rFonts w:hint="eastAsia" w:ascii="宋体" w:hAnsi="宋体" w:eastAsia="宋体" w:cs="宋体"/>
                <w:b w:val="0"/>
                <w:bCs w:val="0"/>
                <w:sz w:val="24"/>
                <w:szCs w:val="24"/>
                <w:lang w:val="en-US" w:eastAsia="zh-CN"/>
              </w:rPr>
              <w:t>。</w:t>
            </w:r>
          </w:p>
          <w:p w14:paraId="36623AE5">
            <w:pPr>
              <w:topLinePunct/>
              <w:spacing w:line="360" w:lineRule="auto"/>
              <w:ind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、与 “三线一单”的</w:t>
            </w:r>
            <w:r>
              <w:rPr>
                <w:rFonts w:hint="default" w:ascii="Times New Roman" w:hAnsi="Times New Roman" w:eastAsia="宋体" w:cs="Times New Roman"/>
                <w:b/>
                <w:bCs/>
                <w:color w:val="auto"/>
                <w:kern w:val="0"/>
                <w:sz w:val="24"/>
                <w:lang w:val="en-US" w:eastAsia="zh-CN"/>
              </w:rPr>
              <w:t>符合性</w:t>
            </w:r>
            <w:r>
              <w:rPr>
                <w:rFonts w:hint="default" w:ascii="Times New Roman" w:hAnsi="Times New Roman" w:eastAsia="宋体" w:cs="Times New Roman"/>
                <w:b/>
                <w:bCs/>
                <w:color w:val="auto"/>
                <w:kern w:val="0"/>
                <w:sz w:val="24"/>
              </w:rPr>
              <w:t>分析</w:t>
            </w:r>
          </w:p>
          <w:p w14:paraId="4DA56356">
            <w:pPr>
              <w:pStyle w:val="48"/>
              <w:spacing w:line="360" w:lineRule="auto"/>
              <w:ind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（1）生态保护红线</w:t>
            </w:r>
          </w:p>
          <w:p w14:paraId="61048EB8">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 xml:space="preserve"> </w:t>
            </w:r>
            <w:r>
              <w:rPr>
                <w:rFonts w:hint="default" w:ascii="Times New Roman" w:hAnsi="Times New Roman" w:eastAsia="宋体" w:cs="Times New Roman"/>
                <w:b w:val="0"/>
                <w:bCs w:val="0"/>
                <w:spacing w:val="0"/>
                <w:kern w:val="2"/>
                <w:sz w:val="24"/>
                <w:szCs w:val="24"/>
                <w:lang w:val="en-US" w:eastAsia="zh-CN" w:bidi="ar-SA"/>
              </w:rPr>
              <w:t>2018年6月29日，云南省人民政府以云政发[2018]32号项印发了《云南省生态保护红线》。项目取得《芒市自然资源局关于商</w:t>
            </w:r>
            <w:r>
              <w:rPr>
                <w:rFonts w:hint="default" w:ascii="Times New Roman" w:hAnsi="Times New Roman" w:eastAsia="宋体" w:cs="Times New Roman"/>
                <w:b w:val="0"/>
                <w:bCs w:val="0"/>
                <w:color w:val="auto"/>
                <w:spacing w:val="0"/>
                <w:kern w:val="2"/>
                <w:sz w:val="24"/>
                <w:szCs w:val="24"/>
                <w:lang w:val="en-US" w:eastAsia="zh-CN" w:bidi="ar-SA"/>
              </w:rPr>
              <w:t>请协助开展芒市江东光伏发电项目资源核查工作的复函》（见附件</w:t>
            </w:r>
            <w:r>
              <w:rPr>
                <w:rFonts w:hint="eastAsia" w:ascii="Times New Roman" w:hAnsi="Times New Roman" w:eastAsia="宋体" w:cs="Times New Roman"/>
                <w:b w:val="0"/>
                <w:bCs w:val="0"/>
                <w:color w:val="auto"/>
                <w:spacing w:val="0"/>
                <w:kern w:val="2"/>
                <w:sz w:val="24"/>
                <w:szCs w:val="24"/>
                <w:lang w:val="en-US" w:eastAsia="zh-CN" w:bidi="ar-SA"/>
              </w:rPr>
              <w:t>4</w:t>
            </w:r>
            <w:r>
              <w:rPr>
                <w:rFonts w:hint="default" w:ascii="Times New Roman" w:hAnsi="Times New Roman" w:eastAsia="宋体" w:cs="Times New Roman"/>
                <w:b w:val="0"/>
                <w:bCs w:val="0"/>
                <w:color w:val="auto"/>
                <w:spacing w:val="0"/>
                <w:kern w:val="2"/>
                <w:sz w:val="24"/>
                <w:szCs w:val="24"/>
                <w:lang w:val="en-US" w:eastAsia="zh-CN" w:bidi="ar-SA"/>
              </w:rPr>
              <w:t>）经核对芒市土地利用总体规划</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2015-2020年</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，项目不占用永久</w:t>
            </w:r>
            <w:r>
              <w:rPr>
                <w:rFonts w:hint="default" w:ascii="Times New Roman" w:hAnsi="Times New Roman" w:eastAsia="宋体" w:cs="Times New Roman"/>
                <w:b w:val="0"/>
                <w:bCs w:val="0"/>
                <w:spacing w:val="0"/>
                <w:kern w:val="2"/>
                <w:sz w:val="24"/>
                <w:szCs w:val="24"/>
                <w:lang w:val="en-US" w:eastAsia="zh-CN" w:bidi="ar-SA"/>
              </w:rPr>
              <w:t>基本农田和稳定耕地。经核对芒市生态保护红线(公开版和调整版)，该拟用地不占用芒市生态保护红线。</w:t>
            </w:r>
          </w:p>
          <w:p w14:paraId="53CDB0E8">
            <w:pPr>
              <w:pStyle w:val="48"/>
              <w:spacing w:line="360" w:lineRule="auto"/>
              <w:ind w:firstLine="520"/>
              <w:rPr>
                <w:rFonts w:hint="default" w:ascii="宋体" w:hAnsi="宋体" w:eastAsia="宋体" w:cs="宋体"/>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（2）环境质量底线</w:t>
            </w:r>
          </w:p>
          <w:p w14:paraId="76D18DF8">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①水环境质量底线：到2025年，全州水环境质量总体优良， 9个河流地表水断面中优良水体断面（达到或优于Ⅲ类）比例稳定达到100%</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十四五</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新增监测断面水质达标率100%，水生生态系统功能进一步提升，县市及以上集中式饮用水水源水质巩固改善。本项目位于芒市</w:t>
            </w:r>
            <w:r>
              <w:rPr>
                <w:rFonts w:hint="default" w:ascii="Times New Roman" w:hAnsi="Times New Roman" w:eastAsia="宋体" w:cs="Times New Roman"/>
                <w:color w:val="000000"/>
                <w:kern w:val="0"/>
                <w:sz w:val="24"/>
                <w:szCs w:val="24"/>
                <w:lang w:val="en-US" w:eastAsia="zh-CN" w:bidi="ar"/>
              </w:rPr>
              <w:t>江东乡</w:t>
            </w:r>
            <w:r>
              <w:rPr>
                <w:rFonts w:hint="eastAsia"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轩岗乡</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default" w:ascii="Times New Roman" w:hAnsi="Times New Roman" w:eastAsia="宋体" w:cs="Times New Roman"/>
                <w:color w:val="auto"/>
                <w:sz w:val="24"/>
                <w:szCs w:val="24"/>
                <w:lang w:eastAsia="zh-CN" w:bidi="ar"/>
              </w:rPr>
              <w:t>属于</w:t>
            </w:r>
            <w:r>
              <w:rPr>
                <w:rFonts w:hint="default" w:ascii="Times New Roman" w:hAnsi="Times New Roman" w:eastAsia="宋体" w:cs="Times New Roman"/>
                <w:b w:val="0"/>
                <w:bCs w:val="0"/>
                <w:spacing w:val="0"/>
                <w:kern w:val="2"/>
                <w:sz w:val="24"/>
                <w:szCs w:val="24"/>
                <w:lang w:val="en-US" w:eastAsia="zh-CN" w:bidi="ar-SA"/>
              </w:rPr>
              <w:t>芒市大河支流，结合《云南省水功能区划》（第</w:t>
            </w:r>
            <w:r>
              <w:rPr>
                <w:rFonts w:hint="eastAsia" w:ascii="宋体" w:hAnsi="宋体" w:eastAsia="宋体" w:cs="宋体"/>
                <w:b w:val="0"/>
                <w:bCs w:val="0"/>
                <w:spacing w:val="0"/>
                <w:kern w:val="2"/>
                <w:sz w:val="24"/>
                <w:szCs w:val="24"/>
                <w:lang w:val="en-US" w:eastAsia="zh-CN" w:bidi="ar-SA"/>
              </w:rPr>
              <w:t>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p>
          <w:p w14:paraId="30745222">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②大气环境质量底线：到2025年，全州空气质量优良率达到省级要求，中心城市环境空气质量稳定达到国家二级标准。</w:t>
            </w:r>
          </w:p>
          <w:p w14:paraId="7A2A148C">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德宏州2020年环境质量状况公报》，芒市有效监测天数359天，优235天，良121天，轻度污染3天。按空气质量指数（AQI）评价，优良率为99.2%，与2019年相比下降0.8%。首要污染物为可吸入颗粒物、细颗粒物和臭氧。年度综合评价，芒市环境空气质量达二级标准。项目所在区域为环境空气质量达标区。</w:t>
            </w:r>
          </w:p>
          <w:p w14:paraId="3D184F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③声环境质量底线：根据《德宏州2020年环境质量状况公报》中噪声监测结果可知，2020年芒市城市区域环境噪声设监测点106个，昼间平均等效声级为50.7dB(A)，比2019年上升1.1dB(A)，评价等级为较好（二级）。</w:t>
            </w:r>
          </w:p>
          <w:p w14:paraId="428E211D">
            <w:pPr>
              <w:pStyle w:val="48"/>
              <w:spacing w:line="360" w:lineRule="auto"/>
              <w:ind w:firstLine="520"/>
              <w:rPr>
                <w:rFonts w:hint="default" w:ascii="Times New Roman" w:hAnsi="Times New Roman" w:eastAsia="宋体" w:cs="Times New Roman"/>
                <w:color w:val="auto"/>
                <w:kern w:val="0"/>
                <w:szCs w:val="22"/>
                <w:lang w:val="en-US" w:eastAsia="zh-CN"/>
              </w:rPr>
            </w:pPr>
            <w:r>
              <w:rPr>
                <w:rFonts w:hint="eastAsia" w:ascii="Times New Roman" w:hAnsi="Times New Roman" w:eastAsia="宋体" w:cs="Times New Roman"/>
                <w:color w:val="auto"/>
                <w:kern w:val="0"/>
                <w:szCs w:val="22"/>
                <w:lang w:val="en-US" w:eastAsia="zh-CN"/>
              </w:rPr>
              <w:t>④</w:t>
            </w:r>
            <w:r>
              <w:rPr>
                <w:rFonts w:hint="default" w:ascii="Times New Roman" w:hAnsi="Times New Roman" w:eastAsia="宋体" w:cs="Times New Roman"/>
                <w:color w:val="auto"/>
                <w:kern w:val="0"/>
                <w:szCs w:val="22"/>
                <w:lang w:val="en-US" w:eastAsia="zh-CN"/>
              </w:rPr>
              <w:t>土壤环境风险防控底线：</w:t>
            </w:r>
            <w:r>
              <w:rPr>
                <w:rFonts w:hint="default" w:ascii="Times New Roman" w:hAnsi="Times New Roman" w:eastAsia="宋体" w:cs="Times New Roman"/>
                <w:color w:val="auto"/>
                <w:szCs w:val="21"/>
                <w:lang w:eastAsia="zh-CN"/>
              </w:rPr>
              <w:t>到2025年，全州土壤环境质量保持优异，土壤环境风险管控水平不断提升，受污染耕地安全利用率达到85%以上，受污染建设用地地块安全利用率达到95%以上。</w:t>
            </w:r>
          </w:p>
          <w:p w14:paraId="05B9E06B">
            <w:pPr>
              <w:pStyle w:val="48"/>
              <w:spacing w:line="360" w:lineRule="auto"/>
              <w:ind w:firstLine="520"/>
              <w:rPr>
                <w:rFonts w:hint="eastAsia" w:ascii="Times New Roman" w:hAnsi="Times New Roman" w:cs="Times New Roman" w:eastAsiaTheme="minorEastAsia"/>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项目区位于芒市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b w:val="0"/>
                <w:bCs w:val="0"/>
                <w:spacing w:val="0"/>
                <w:kern w:val="2"/>
                <w:sz w:val="24"/>
                <w:szCs w:val="24"/>
                <w:lang w:val="en-US" w:eastAsia="zh-CN" w:bidi="ar-SA"/>
              </w:rPr>
              <w:t>，土壤环境质量良好，本项目设置了危废暂存间、事故油池</w:t>
            </w:r>
            <w:r>
              <w:rPr>
                <w:rFonts w:hint="eastAsia" w:ascii="Times New Roman" w:hAnsi="Times New Roman" w:eastAsia="宋体" w:cs="Times New Roman"/>
                <w:b w:val="0"/>
                <w:bCs w:val="0"/>
                <w:spacing w:val="0"/>
                <w:kern w:val="2"/>
                <w:sz w:val="24"/>
                <w:szCs w:val="24"/>
                <w:lang w:val="en-US" w:eastAsia="zh-CN" w:bidi="ar-SA"/>
              </w:rPr>
              <w:t>并进行重点防渗。废矿物油、废铅蓄电池</w:t>
            </w:r>
            <w:r>
              <w:rPr>
                <w:rFonts w:hint="default" w:ascii="Times New Roman" w:hAnsi="Times New Roman" w:eastAsia="宋体" w:cs="Times New Roman"/>
                <w:b w:val="0"/>
                <w:bCs w:val="0"/>
                <w:spacing w:val="0"/>
                <w:kern w:val="2"/>
                <w:sz w:val="24"/>
                <w:szCs w:val="24"/>
                <w:lang w:val="en-US" w:eastAsia="zh-CN" w:bidi="ar-SA"/>
              </w:rPr>
              <w:t>收集后</w:t>
            </w:r>
            <w:r>
              <w:rPr>
                <w:rFonts w:hint="eastAsia" w:ascii="Times New Roman" w:hAnsi="Times New Roman" w:eastAsia="宋体" w:cs="Times New Roman"/>
                <w:b w:val="0"/>
                <w:bCs w:val="0"/>
                <w:spacing w:val="0"/>
                <w:kern w:val="2"/>
                <w:sz w:val="24"/>
                <w:szCs w:val="24"/>
                <w:lang w:val="en-US" w:eastAsia="zh-CN" w:bidi="ar-SA"/>
              </w:rPr>
              <w:t>暂存于危废暂存间</w:t>
            </w:r>
            <w:r>
              <w:rPr>
                <w:rFonts w:hint="default" w:ascii="Times New Roman" w:hAnsi="Times New Roman" w:eastAsia="宋体" w:cs="Times New Roman"/>
                <w:b w:val="0"/>
                <w:bCs w:val="0"/>
                <w:spacing w:val="0"/>
                <w:kern w:val="2"/>
                <w:sz w:val="24"/>
                <w:szCs w:val="24"/>
                <w:lang w:val="en-US" w:eastAsia="zh-CN" w:bidi="ar-SA"/>
              </w:rPr>
              <w:t>交由有资质的单位处置，不会对土壤环境造成污染</w:t>
            </w:r>
            <w:r>
              <w:rPr>
                <w:rFonts w:hint="eastAsia" w:ascii="Times New Roman" w:hAnsi="Times New Roman" w:eastAsia="宋体" w:cs="Times New Roman"/>
                <w:b w:val="0"/>
                <w:bCs w:val="0"/>
                <w:spacing w:val="0"/>
                <w:kern w:val="2"/>
                <w:sz w:val="24"/>
                <w:szCs w:val="24"/>
                <w:lang w:val="en-US" w:eastAsia="zh-CN" w:bidi="ar-SA"/>
              </w:rPr>
              <w:t>，项目运营期通过采取上述措施不会导致土壤环境风险底线下降。</w:t>
            </w:r>
          </w:p>
          <w:p w14:paraId="63A5D410">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综上，项目所在区域大气环境及声环境质量较好，对于项目所产生的大气污染物，有足够的环境自净能力及环境容量。</w:t>
            </w:r>
            <w:r>
              <w:rPr>
                <w:rFonts w:hint="eastAsia" w:ascii="Times New Roman" w:hAnsi="Times New Roman" w:eastAsia="宋体" w:cs="Times New Roman"/>
                <w:b w:val="0"/>
                <w:bCs w:val="0"/>
                <w:spacing w:val="0"/>
                <w:kern w:val="2"/>
                <w:sz w:val="24"/>
                <w:szCs w:val="24"/>
                <w:lang w:val="en-US" w:eastAsia="zh-CN" w:bidi="ar-SA"/>
              </w:rPr>
              <w:t>项目运营期升压站生活污水进处理用于厂区绿化，光伏板清洗废水经沉淀池处理用于光伏板下方植被绿化。项目固废处置率100%。</w:t>
            </w:r>
            <w:r>
              <w:rPr>
                <w:rFonts w:hint="default" w:ascii="Times New Roman" w:hAnsi="Times New Roman" w:eastAsia="宋体" w:cs="Times New Roman"/>
                <w:b w:val="0"/>
                <w:bCs w:val="0"/>
                <w:spacing w:val="0"/>
                <w:kern w:val="2"/>
                <w:sz w:val="24"/>
                <w:szCs w:val="24"/>
                <w:lang w:val="en-US" w:eastAsia="zh-CN" w:bidi="ar-SA"/>
              </w:rPr>
              <w:t>项目实施后，其污染物经项目采取的措施处理后排放对周围环境的影响不会改变所在地及其周围的环境功能，其对周围环境无明显的环境影响。</w:t>
            </w:r>
          </w:p>
          <w:p w14:paraId="395D88D9">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（3）与资源利用上线的协调性</w:t>
            </w:r>
          </w:p>
          <w:p w14:paraId="0B3E44BF">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到2025年水资源、土地资源、能源消耗等达到云南省下达的总量和强度控制目标。</w:t>
            </w:r>
          </w:p>
          <w:p w14:paraId="206F9942">
            <w:pPr>
              <w:pStyle w:val="48"/>
              <w:spacing w:line="360" w:lineRule="auto"/>
              <w:ind w:firstLine="520"/>
              <w:rPr>
                <w:rFonts w:hint="eastAsia" w:ascii="Times New Roman" w:hAnsi="Times New Roman" w:eastAsia="宋体" w:cs="Times New Roman"/>
                <w:b w:val="0"/>
                <w:bCs w:val="0"/>
                <w:color w:val="auto"/>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水资源利用上线：本项目施工期项目拟在项目施工场区设置1座3m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的沉淀池， 用于处理施工养护废水产生的废水经沉</w:t>
            </w:r>
            <w:r>
              <w:rPr>
                <w:rFonts w:hint="eastAsia" w:ascii="Times New Roman" w:hAnsi="Times New Roman" w:eastAsia="宋体" w:cs="Times New Roman"/>
                <w:b w:val="0"/>
                <w:bCs w:val="0"/>
                <w:color w:val="auto"/>
                <w:spacing w:val="0"/>
                <w:kern w:val="2"/>
                <w:sz w:val="24"/>
                <w:szCs w:val="24"/>
                <w:lang w:val="en-US" w:eastAsia="zh-CN" w:bidi="ar-SA"/>
              </w:rPr>
              <w:t>淀池处理后，全部回用于对水质要求不高的施工工序和场地洒水降尘；施工期生活用水量为2m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/d，运营期仅为5个职工人员的生活用水及光伏电池板区清洗用水，用水量较少，仅为1869.9m</w:t>
            </w:r>
            <w:r>
              <w:rPr>
                <w:rFonts w:hint="eastAsia" w:ascii="Times New Roman" w:hAnsi="Times New Roman" w:eastAsia="宋体" w:cs="Times New Roman"/>
                <w:b w:val="0"/>
                <w:bCs w:val="0"/>
                <w:color w:val="auto"/>
                <w:spacing w:val="0"/>
                <w:kern w:val="2"/>
                <w:sz w:val="24"/>
                <w:szCs w:val="24"/>
                <w:vertAlign w:val="superscript"/>
                <w:lang w:val="en-US" w:eastAsia="zh-CN" w:bidi="ar-SA"/>
              </w:rPr>
              <w:t>3</w:t>
            </w:r>
            <w:r>
              <w:rPr>
                <w:rFonts w:hint="eastAsia" w:ascii="Times New Roman" w:hAnsi="Times New Roman" w:eastAsia="宋体" w:cs="Times New Roman"/>
                <w:b w:val="0"/>
                <w:bCs w:val="0"/>
                <w:color w:val="auto"/>
                <w:spacing w:val="0"/>
                <w:kern w:val="2"/>
                <w:sz w:val="24"/>
                <w:szCs w:val="24"/>
                <w:lang w:val="en-US" w:eastAsia="zh-CN" w:bidi="ar-SA"/>
              </w:rPr>
              <w:t>/a；</w:t>
            </w:r>
            <w:r>
              <w:rPr>
                <w:rFonts w:hint="eastAsia" w:ascii="Times New Roman" w:hAnsi="Times New Roman" w:eastAsia="宋体" w:cs="Times New Roman"/>
                <w:b w:val="0"/>
                <w:bCs w:val="0"/>
                <w:spacing w:val="0"/>
                <w:kern w:val="2"/>
                <w:sz w:val="24"/>
                <w:szCs w:val="24"/>
                <w:lang w:val="en-US" w:eastAsia="zh-CN" w:bidi="ar-SA"/>
              </w:rPr>
              <w:t>芒市年均地表水量为23.11亿m</w:t>
            </w:r>
            <w:r>
              <w:rPr>
                <w:rFonts w:hint="eastAsia" w:ascii="Times New Roman" w:hAnsi="Times New Roman" w:eastAsia="宋体" w:cs="Times New Roman"/>
                <w:b w:val="0"/>
                <w:bCs w:val="0"/>
                <w:spacing w:val="0"/>
                <w:kern w:val="2"/>
                <w:sz w:val="24"/>
                <w:szCs w:val="24"/>
                <w:vertAlign w:val="superscript"/>
                <w:lang w:val="en-US" w:eastAsia="zh-CN" w:bidi="ar-SA"/>
              </w:rPr>
              <w:t>3</w:t>
            </w:r>
            <w:r>
              <w:rPr>
                <w:rFonts w:hint="eastAsia" w:ascii="Times New Roman" w:hAnsi="Times New Roman" w:eastAsia="宋体" w:cs="Times New Roman"/>
                <w:b w:val="0"/>
                <w:bCs w:val="0"/>
                <w:spacing w:val="0"/>
                <w:kern w:val="2"/>
                <w:sz w:val="24"/>
                <w:szCs w:val="24"/>
                <w:lang w:val="en-US" w:eastAsia="zh-CN" w:bidi="ar-SA"/>
              </w:rPr>
              <w:t>，项目水资源消耗相对区域资源利用总量较少，符合当前国家水资源利用上线的要求。</w:t>
            </w:r>
          </w:p>
          <w:p w14:paraId="1E850ED6">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color w:val="auto"/>
                <w:spacing w:val="0"/>
                <w:kern w:val="2"/>
                <w:sz w:val="24"/>
                <w:szCs w:val="24"/>
                <w:lang w:val="en-US" w:eastAsia="zh-CN" w:bidi="ar-SA"/>
              </w:rPr>
              <w:t>土地资源利用上线：本项目占地面积1958hm</w:t>
            </w:r>
            <w:r>
              <w:rPr>
                <w:rFonts w:hint="eastAsia" w:ascii="Times New Roman" w:hAnsi="Times New Roman" w:eastAsia="宋体" w:cs="Times New Roman"/>
                <w:b w:val="0"/>
                <w:bCs w:val="0"/>
                <w:color w:val="auto"/>
                <w:spacing w:val="0"/>
                <w:kern w:val="2"/>
                <w:sz w:val="24"/>
                <w:szCs w:val="24"/>
                <w:vertAlign w:val="superscript"/>
                <w:lang w:val="en-US" w:eastAsia="zh-CN" w:bidi="ar-SA"/>
              </w:rPr>
              <w:t>2</w:t>
            </w:r>
            <w:r>
              <w:rPr>
                <w:rFonts w:hint="eastAsia" w:ascii="Times New Roman" w:hAnsi="Times New Roman" w:eastAsia="宋体" w:cs="Times New Roman"/>
                <w:b w:val="0"/>
                <w:bCs w:val="0"/>
                <w:color w:val="auto"/>
                <w:spacing w:val="0"/>
                <w:kern w:val="2"/>
                <w:sz w:val="24"/>
                <w:szCs w:val="24"/>
                <w:lang w:val="en-US" w:eastAsia="zh-CN" w:bidi="ar-SA"/>
              </w:rPr>
              <w:t>，芒市国土面积2987km</w:t>
            </w:r>
            <w:r>
              <w:rPr>
                <w:rFonts w:hint="eastAsia" w:ascii="Times New Roman" w:hAnsi="Times New Roman" w:eastAsia="宋体" w:cs="Times New Roman"/>
                <w:b w:val="0"/>
                <w:bCs w:val="0"/>
                <w:color w:val="auto"/>
                <w:spacing w:val="0"/>
                <w:kern w:val="2"/>
                <w:sz w:val="24"/>
                <w:szCs w:val="24"/>
                <w:vertAlign w:val="superscript"/>
                <w:lang w:val="en-US" w:eastAsia="zh-CN" w:bidi="ar-SA"/>
              </w:rPr>
              <w:t>2</w:t>
            </w:r>
            <w:r>
              <w:rPr>
                <w:rFonts w:hint="eastAsia" w:ascii="Times New Roman" w:hAnsi="Times New Roman" w:eastAsia="宋体" w:cs="Times New Roman"/>
                <w:b w:val="0"/>
                <w:bCs w:val="0"/>
                <w:color w:val="auto"/>
                <w:spacing w:val="0"/>
                <w:kern w:val="2"/>
                <w:sz w:val="24"/>
                <w:szCs w:val="24"/>
                <w:lang w:val="en-US" w:eastAsia="zh-CN" w:bidi="ar-SA"/>
              </w:rPr>
              <w:t>，项目占地占芒市国土面积的0.043%，没有突破当前国家土地资源利用上线的要求。根据芒市自</w:t>
            </w:r>
            <w:r>
              <w:rPr>
                <w:rFonts w:hint="eastAsia" w:ascii="Times New Roman" w:hAnsi="Times New Roman" w:eastAsia="宋体" w:cs="Times New Roman"/>
                <w:b w:val="0"/>
                <w:bCs w:val="0"/>
                <w:spacing w:val="0"/>
                <w:kern w:val="2"/>
                <w:sz w:val="24"/>
                <w:szCs w:val="24"/>
                <w:lang w:val="en-US" w:eastAsia="zh-CN" w:bidi="ar-SA"/>
              </w:rPr>
              <w:t>然资源局选址意见，项目选址不占用基本农田及稳定耕地。</w:t>
            </w:r>
          </w:p>
          <w:p w14:paraId="519656E4">
            <w:pPr>
              <w:pStyle w:val="48"/>
              <w:spacing w:line="360" w:lineRule="auto"/>
              <w:ind w:firstLine="520"/>
              <w:rPr>
                <w:rFonts w:hint="eastAsia" w:ascii="Times New Roman" w:hAnsi="Times New Roman" w:eastAsia="宋体" w:cs="Times New Roman"/>
                <w:b w:val="0"/>
                <w:bCs w:val="0"/>
                <w:spacing w:val="0"/>
                <w:kern w:val="2"/>
                <w:sz w:val="24"/>
                <w:szCs w:val="24"/>
                <w:lang w:val="en-US" w:eastAsia="zh-CN" w:bidi="ar-SA"/>
              </w:rPr>
            </w:pPr>
            <w:r>
              <w:rPr>
                <w:rFonts w:hint="eastAsia" w:ascii="Times New Roman" w:hAnsi="Times New Roman" w:eastAsia="宋体" w:cs="Times New Roman"/>
                <w:b w:val="0"/>
                <w:bCs w:val="0"/>
                <w:spacing w:val="0"/>
                <w:kern w:val="2"/>
                <w:sz w:val="24"/>
                <w:szCs w:val="24"/>
                <w:lang w:val="en-US" w:eastAsia="zh-CN" w:bidi="ar-SA"/>
              </w:rPr>
              <w:t>能源利用上线：本项目为光伏发电项目，属于新能源项目，在施工过程中会有一定的电力消耗，但是待本工程投产后，总容量69MW，产生的电量足以抵消本工程的实际消耗，且芒市的用电负荷能够满足本工程施工使用，故本工程的实施没有突破当前国家能源利用上线的要求。</w:t>
            </w:r>
          </w:p>
          <w:p w14:paraId="09AEBD50">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（4）与环境准入清单的协调性</w:t>
            </w:r>
          </w:p>
          <w:p w14:paraId="6407C9AC">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根据国家《长江经济带发展负面清单指南（试行）》和《云南省长江经济带发展负面清单实施细则（试行）》，</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禁止一切不符合主体功能定位的投资建设项目；禁止新建、扩建法律法规和相关政策明令禁止的落后产能项目。</w:t>
            </w:r>
            <w:r>
              <w:rPr>
                <w:rFonts w:hint="eastAsia" w:ascii="Times New Roman" w:hAnsi="Times New Roman" w:eastAsia="宋体" w:cs="Times New Roman"/>
                <w:b w:val="0"/>
                <w:bCs w:val="0"/>
                <w:spacing w:val="0"/>
                <w:kern w:val="2"/>
                <w:sz w:val="24"/>
                <w:szCs w:val="24"/>
                <w:lang w:val="en-US" w:eastAsia="zh-CN" w:bidi="ar-SA"/>
              </w:rPr>
              <w:t>”</w:t>
            </w:r>
          </w:p>
          <w:p w14:paraId="2217918C">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本项目为太阳能光伏发电的新能源项目，符合云南省主体功能区划，不属于环境准入清单的禁止类项目</w:t>
            </w:r>
            <w:r>
              <w:rPr>
                <w:rFonts w:hint="eastAsia" w:ascii="Times New Roman" w:hAnsi="Times New Roman" w:eastAsia="宋体" w:cs="Times New Roman"/>
                <w:b w:val="0"/>
                <w:bCs w:val="0"/>
                <w:spacing w:val="0"/>
                <w:kern w:val="2"/>
                <w:sz w:val="24"/>
                <w:szCs w:val="24"/>
                <w:lang w:val="en-US" w:eastAsia="zh-CN" w:bidi="ar-SA"/>
              </w:rPr>
              <w:t>。</w:t>
            </w:r>
          </w:p>
          <w:p w14:paraId="2A108E92">
            <w:pPr>
              <w:pStyle w:val="48"/>
              <w:spacing w:line="360" w:lineRule="auto"/>
              <w:ind w:firstLine="520"/>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综上所述，本项目实施符合“三线一单”要求。</w:t>
            </w:r>
          </w:p>
          <w:p w14:paraId="79E51F2B">
            <w:pPr>
              <w:topLinePunct/>
              <w:spacing w:line="360" w:lineRule="auto"/>
              <w:ind w:firstLine="482" w:firstLineChars="200"/>
              <w:rPr>
                <w:rFonts w:hint="default" w:ascii="Times New Roman" w:hAnsi="Times New Roman" w:eastAsia="宋体" w:cs="Times New Roman"/>
                <w:b/>
                <w:bCs/>
                <w:color w:val="auto"/>
                <w:kern w:val="0"/>
                <w:sz w:val="24"/>
              </w:rPr>
            </w:pPr>
            <w:r>
              <w:rPr>
                <w:rFonts w:hint="eastAsia" w:ascii="Times New Roman" w:hAnsi="Times New Roman" w:eastAsia="宋体" w:cs="Times New Roman"/>
                <w:b/>
                <w:bCs/>
                <w:color w:val="auto"/>
                <w:kern w:val="0"/>
                <w:sz w:val="24"/>
                <w:lang w:val="en-US" w:eastAsia="zh-CN"/>
              </w:rPr>
              <w:t>3</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rPr>
              <w:t>与云南省人民政府《关于实施“三线一单”生态环境分区管控的意见》的符合性分析</w:t>
            </w:r>
          </w:p>
          <w:p w14:paraId="39652FF1">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2020年11月10日，云南省人民政府发布了《关于实施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生态环境分区管控的意见》（云政发〔2020〕29 号），意见中明确了生态保护红线、环境</w:t>
            </w:r>
            <w:bookmarkStart w:id="31" w:name="_GoBack"/>
            <w:bookmarkEnd w:id="31"/>
            <w:r>
              <w:rPr>
                <w:rFonts w:hint="default" w:ascii="Times New Roman" w:hAnsi="Times New Roman" w:eastAsia="宋体" w:cs="Times New Roman"/>
                <w:color w:val="auto"/>
                <w:sz w:val="24"/>
                <w:szCs w:val="24"/>
              </w:rPr>
              <w:t>质量底线、资源利用上线，将全省划分为1164个生态环境管控单元，分为优先保护、重点管控和一般管控3类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其中优先保护单元383个、重点管控单元652个、一般管控单元129个，并提出了总体管控要求及分类管控要求。本项目与云南省</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的符合性分析如下：</w:t>
            </w:r>
          </w:p>
          <w:p w14:paraId="21E2DA88">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生态保护红线和一般生态空间</w:t>
            </w:r>
          </w:p>
          <w:p w14:paraId="0AE9F088">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芒市自然资源局关于商请协助开展芒市江东光伏发电项目资源核查工作的复函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可知，本项目用地范围及评价范围内不涉及</w:t>
            </w:r>
            <w:r>
              <w:rPr>
                <w:rFonts w:hint="default" w:ascii="Times New Roman" w:hAnsi="Times New Roman" w:eastAsia="宋体" w:cs="Times New Roman"/>
                <w:color w:val="auto"/>
                <w:sz w:val="24"/>
                <w:szCs w:val="24"/>
                <w:lang w:val="en-US" w:eastAsia="zh-CN"/>
              </w:rPr>
              <w:t>芒市生态保护红线</w:t>
            </w:r>
            <w:r>
              <w:rPr>
                <w:rFonts w:hint="eastAsia" w:ascii="Times New Roman" w:hAnsi="Times New Roman" w:eastAsia="宋体" w:cs="Times New Roman"/>
                <w:color w:val="auto"/>
                <w:sz w:val="24"/>
                <w:szCs w:val="24"/>
                <w:lang w:val="en-US" w:eastAsia="zh-CN"/>
              </w:rPr>
              <w:t>（见附件4）</w:t>
            </w:r>
            <w:r>
              <w:rPr>
                <w:rFonts w:hint="default" w:ascii="Times New Roman" w:hAnsi="Times New Roman" w:eastAsia="宋体" w:cs="Times New Roman"/>
                <w:color w:val="auto"/>
                <w:sz w:val="24"/>
                <w:szCs w:val="24"/>
              </w:rPr>
              <w:t>。同时，项目所在地不涉及自然保护地、饮用水水源保护区、重要湿地、基本草原、生态公益林、天然林等一般生态空间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因此，本项目满足</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云政发〔2020〕29 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文件中生态保护红线和一般生态空间保护要求。</w:t>
            </w:r>
          </w:p>
          <w:p w14:paraId="6E9BF7A8">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资源利用上线</w:t>
            </w:r>
          </w:p>
          <w:p w14:paraId="70DA18E5">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本项目运营过程中消耗一定量的电源、水源等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项目</w:t>
            </w:r>
            <w:r>
              <w:rPr>
                <w:rFonts w:hint="default" w:ascii="Times New Roman" w:hAnsi="Times New Roman" w:eastAsia="宋体" w:cs="Times New Roman"/>
                <w:color w:val="auto"/>
                <w:sz w:val="24"/>
              </w:rPr>
              <w:t>施工场</w:t>
            </w:r>
            <w:r>
              <w:rPr>
                <w:rFonts w:hint="default" w:ascii="Times New Roman" w:hAnsi="Times New Roman" w:eastAsia="宋体" w:cs="Times New Roman"/>
                <w:color w:val="auto"/>
                <w:sz w:val="24"/>
                <w:szCs w:val="24"/>
              </w:rPr>
              <w:t>废水经临时沉淀池沉淀处理后，回用于施工过程</w:t>
            </w:r>
            <w:r>
              <w:rPr>
                <w:rFonts w:hint="eastAsia"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场地洒水抑尘，不外排；</w:t>
            </w:r>
            <w:r>
              <w:rPr>
                <w:rFonts w:hint="eastAsia" w:ascii="Times New Roman" w:hAnsi="Times New Roman" w:eastAsia="宋体" w:cs="Times New Roman"/>
                <w:color w:val="auto"/>
                <w:sz w:val="24"/>
                <w:szCs w:val="24"/>
                <w:lang w:eastAsia="zh-CN"/>
              </w:rPr>
              <w:t>项目施工期设置</w:t>
            </w:r>
            <w:r>
              <w:rPr>
                <w:rFonts w:hint="default" w:ascii="Times New Roman" w:hAnsi="Times New Roman" w:eastAsia="宋体" w:cs="Times New Roman"/>
                <w:color w:val="auto"/>
                <w:sz w:val="24"/>
                <w:szCs w:val="24"/>
              </w:rPr>
              <w:t>旱厕，</w:t>
            </w:r>
            <w:r>
              <w:rPr>
                <w:rFonts w:hint="eastAsia" w:ascii="Times New Roman" w:hAnsi="Times New Roman" w:eastAsia="宋体" w:cs="Times New Roman"/>
                <w:color w:val="auto"/>
                <w:sz w:val="24"/>
                <w:szCs w:val="24"/>
                <w:lang w:eastAsia="zh-CN"/>
              </w:rPr>
              <w:t>旱厕</w:t>
            </w:r>
            <w:r>
              <w:rPr>
                <w:rFonts w:hint="default" w:ascii="Times New Roman" w:hAnsi="Times New Roman" w:eastAsia="宋体" w:cs="Times New Roman"/>
                <w:color w:val="auto"/>
                <w:sz w:val="24"/>
                <w:szCs w:val="24"/>
              </w:rPr>
              <w:t>定期清掏绿化施肥，无废水外排</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kern w:val="0"/>
                <w:sz w:val="24"/>
              </w:rPr>
              <w:t>运行期间产生的废水为生活废水及光伏阵列清洁废水，光伏阵列清洁废水用于光伏板</w:t>
            </w:r>
            <w:r>
              <w:rPr>
                <w:rFonts w:hint="eastAsia" w:ascii="Times New Roman" w:hAnsi="Times New Roman" w:eastAsia="宋体" w:cs="Times New Roman"/>
                <w:color w:val="auto"/>
                <w:kern w:val="0"/>
                <w:sz w:val="24"/>
                <w:lang w:eastAsia="zh-CN"/>
              </w:rPr>
              <w:t>下植被</w:t>
            </w:r>
            <w:r>
              <w:rPr>
                <w:rFonts w:hint="default" w:ascii="Times New Roman" w:hAnsi="Times New Roman" w:eastAsia="宋体" w:cs="Times New Roman"/>
                <w:color w:val="auto"/>
                <w:kern w:val="0"/>
                <w:sz w:val="24"/>
              </w:rPr>
              <w:t>绿化，无废水外排；</w:t>
            </w:r>
            <w:r>
              <w:rPr>
                <w:rFonts w:hint="default" w:ascii="Times New Roman" w:hAnsi="Times New Roman" w:eastAsia="宋体" w:cs="Times New Roman"/>
                <w:color w:val="auto"/>
                <w:sz w:val="24"/>
                <w:szCs w:val="24"/>
              </w:rPr>
              <w:t>运营期产生的生活废水经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，用于项目升压站</w:t>
            </w:r>
            <w:r>
              <w:rPr>
                <w:rFonts w:hint="eastAsia" w:ascii="Times New Roman" w:hAnsi="Times New Roman" w:eastAsia="宋体" w:cs="Times New Roman"/>
                <w:color w:val="auto"/>
                <w:sz w:val="24"/>
                <w:szCs w:val="24"/>
                <w:lang w:eastAsia="zh-CN"/>
              </w:rPr>
              <w:t>内</w:t>
            </w:r>
            <w:r>
              <w:rPr>
                <w:rFonts w:hint="default" w:ascii="Times New Roman" w:hAnsi="Times New Roman" w:eastAsia="宋体" w:cs="Times New Roman"/>
                <w:color w:val="auto"/>
                <w:sz w:val="24"/>
                <w:szCs w:val="24"/>
              </w:rPr>
              <w:t>绿化，不外排；项目资源消耗量相对区域利用总量较少，因此符合资源利用上限要求。</w:t>
            </w:r>
          </w:p>
          <w:p w14:paraId="10C5DFCF">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（3）环境质量底线</w:t>
            </w:r>
          </w:p>
          <w:p w14:paraId="03433E8E">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项目实施后，</w:t>
            </w:r>
            <w:r>
              <w:rPr>
                <w:rFonts w:hint="eastAsia" w:ascii="Times New Roman" w:hAnsi="Times New Roman" w:eastAsia="宋体" w:cs="Times New Roman"/>
                <w:color w:val="auto"/>
                <w:sz w:val="24"/>
                <w:szCs w:val="24"/>
                <w:lang w:eastAsia="zh-CN"/>
              </w:rPr>
              <w:t>项目严格执行环评提出的各项废水废气</w:t>
            </w:r>
            <w:r>
              <w:rPr>
                <w:rFonts w:hint="default" w:ascii="Times New Roman" w:hAnsi="Times New Roman" w:eastAsia="宋体" w:cs="Times New Roman"/>
                <w:color w:val="auto"/>
                <w:sz w:val="24"/>
                <w:szCs w:val="24"/>
                <w:lang w:val="en-US" w:eastAsia="zh-CN"/>
              </w:rPr>
              <w:t>及固体废弃物</w:t>
            </w:r>
            <w:r>
              <w:rPr>
                <w:rFonts w:hint="eastAsia" w:ascii="Times New Roman" w:hAnsi="Times New Roman" w:eastAsia="宋体" w:cs="Times New Roman"/>
                <w:color w:val="auto"/>
                <w:sz w:val="24"/>
                <w:szCs w:val="24"/>
                <w:lang w:val="en-US" w:eastAsia="zh-CN"/>
              </w:rPr>
              <w:t>环境保护措施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对周围环境的影响</w:t>
            </w:r>
            <w:r>
              <w:rPr>
                <w:rFonts w:hint="eastAsia" w:ascii="Times New Roman" w:hAnsi="Times New Roman" w:eastAsia="宋体" w:cs="Times New Roman"/>
                <w:color w:val="auto"/>
                <w:sz w:val="24"/>
                <w:szCs w:val="24"/>
                <w:lang w:eastAsia="zh-CN"/>
              </w:rPr>
              <w:t>较小</w:t>
            </w:r>
            <w:r>
              <w:rPr>
                <w:rFonts w:hint="default" w:ascii="Times New Roman" w:hAnsi="Times New Roman" w:eastAsia="宋体" w:cs="Times New Roman"/>
                <w:color w:val="auto"/>
                <w:sz w:val="24"/>
                <w:szCs w:val="24"/>
              </w:rPr>
              <w:t xml:space="preserve">，因此该项目的建设符合 </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云政发〔2020〕29 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文件中环境质量底线要求。</w:t>
            </w:r>
          </w:p>
          <w:p w14:paraId="5B0E5E30">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环境准入负面清单</w:t>
            </w:r>
          </w:p>
          <w:p w14:paraId="554E710F">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Cs/>
                <w:color w:val="auto"/>
                <w:sz w:val="24"/>
              </w:rPr>
            </w:pPr>
            <w:r>
              <w:rPr>
                <w:rFonts w:hint="default" w:ascii="Times New Roman" w:hAnsi="Times New Roman" w:eastAsia="宋体" w:cs="Times New Roman"/>
                <w:b w:val="0"/>
                <w:bCs w:val="0"/>
                <w:spacing w:val="0"/>
                <w:kern w:val="2"/>
                <w:sz w:val="24"/>
                <w:szCs w:val="24"/>
                <w:lang w:val="en-US" w:eastAsia="zh-CN" w:bidi="ar-SA"/>
              </w:rPr>
              <w:t>项目区位于芒市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color w:val="auto"/>
                <w:sz w:val="24"/>
              </w:rPr>
              <w:t>，对照国家发展和改革委员会</w:t>
            </w:r>
            <w:r>
              <w:rPr>
                <w:rFonts w:hint="default" w:ascii="Times New Roman" w:hAnsi="Times New Roman" w:eastAsia="宋体" w:cs="Times New Roman"/>
                <w:bCs/>
                <w:color w:val="auto"/>
                <w:sz w:val="24"/>
              </w:rPr>
              <w:t>《产业结构调整指导目录（2019年本）》</w:t>
            </w:r>
            <w:r>
              <w:rPr>
                <w:rFonts w:hint="default" w:ascii="Times New Roman" w:hAnsi="Times New Roman" w:eastAsia="宋体" w:cs="Times New Roman"/>
                <w:color w:val="auto"/>
                <w:sz w:val="24"/>
              </w:rPr>
              <w:t>，</w:t>
            </w:r>
            <w:r>
              <w:rPr>
                <w:rFonts w:hint="default" w:ascii="Times New Roman" w:hAnsi="Times New Roman" w:eastAsia="宋体" w:cs="Times New Roman"/>
                <w:bCs/>
                <w:color w:val="auto"/>
                <w:sz w:val="24"/>
              </w:rPr>
              <w:t>本项目不属于目录中的限制类、淘汰类，</w:t>
            </w:r>
            <w:r>
              <w:rPr>
                <w:rFonts w:hint="default" w:ascii="Times New Roman" w:hAnsi="Times New Roman" w:eastAsia="宋体" w:cs="Times New Roman"/>
                <w:color w:val="auto"/>
                <w:sz w:val="24"/>
                <w:szCs w:val="24"/>
              </w:rPr>
              <w:t>属于</w:t>
            </w:r>
            <w:r>
              <w:rPr>
                <w:rFonts w:hint="default" w:ascii="Times New Roman" w:hAnsi="Times New Roman" w:eastAsia="宋体" w:cs="Times New Roman"/>
                <w:color w:val="auto"/>
                <w:sz w:val="24"/>
                <w:szCs w:val="24"/>
                <w:lang w:val="en-US" w:eastAsia="zh-CN"/>
              </w:rPr>
              <w:t>鼓励</w:t>
            </w:r>
            <w:r>
              <w:rPr>
                <w:rFonts w:hint="default" w:ascii="Times New Roman" w:hAnsi="Times New Roman" w:eastAsia="宋体" w:cs="Times New Roman"/>
                <w:color w:val="auto"/>
                <w:sz w:val="24"/>
                <w:szCs w:val="24"/>
              </w:rPr>
              <w:t>类，</w:t>
            </w:r>
            <w:r>
              <w:rPr>
                <w:rFonts w:hint="default" w:ascii="Times New Roman" w:hAnsi="Times New Roman" w:eastAsia="宋体" w:cs="Times New Roman"/>
                <w:bCs/>
                <w:color w:val="auto"/>
                <w:sz w:val="24"/>
              </w:rPr>
              <w:t>本项目的建设</w:t>
            </w:r>
            <w:r>
              <w:rPr>
                <w:rFonts w:hint="default" w:ascii="Times New Roman" w:hAnsi="Times New Roman" w:eastAsia="宋体" w:cs="Times New Roman"/>
                <w:color w:val="auto"/>
                <w:sz w:val="24"/>
              </w:rPr>
              <w:t>符合国家现行产业政策要求。本项目的建设符合地方产业政策，因此，项目不在该功能区的负面清单内，符合环境准入要求。</w:t>
            </w:r>
          </w:p>
          <w:p w14:paraId="2BBAD941">
            <w:pPr>
              <w:keepNext w:val="0"/>
              <w:keepLines w:val="0"/>
              <w:suppressLineNumbers w:val="0"/>
              <w:topLinePunct/>
              <w:spacing w:before="0" w:beforeAutospacing="0" w:after="0" w:afterAutospacing="0" w:line="360" w:lineRule="auto"/>
              <w:ind w:left="0" w:right="0" w:firstLine="480" w:firstLineChars="200"/>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color w:val="auto"/>
                <w:sz w:val="24"/>
                <w:szCs w:val="24"/>
              </w:rPr>
              <w:t>综上，本项目总体上符合</w:t>
            </w:r>
            <w:r>
              <w:rPr>
                <w:rFonts w:hint="default" w:ascii="Times New Roman" w:hAnsi="Times New Roman" w:eastAsia="宋体" w:cs="Times New Roman"/>
                <w:color w:val="auto"/>
                <w:sz w:val="24"/>
                <w:highlight w:val="none"/>
                <w:lang w:val="en-US" w:eastAsia="zh-CN"/>
              </w:rPr>
              <w:t>《云南省人民政府关于实施“三线一单”生态环境分区管控的意见》（云政发〔2020〕29号）</w:t>
            </w:r>
            <w:r>
              <w:rPr>
                <w:rFonts w:hint="default" w:ascii="Times New Roman" w:hAnsi="Times New Roman" w:eastAsia="宋体" w:cs="Times New Roman"/>
                <w:color w:val="auto"/>
                <w:sz w:val="24"/>
                <w:szCs w:val="24"/>
              </w:rPr>
              <w:t>管理要求。</w:t>
            </w:r>
          </w:p>
          <w:p w14:paraId="293B1C61">
            <w:pPr>
              <w:topLinePunct/>
              <w:spacing w:line="360" w:lineRule="auto"/>
              <w:ind w:firstLine="482" w:firstLineChars="200"/>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4</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与《</w:t>
            </w:r>
            <w:r>
              <w:rPr>
                <w:rFonts w:hint="default" w:ascii="Times New Roman" w:hAnsi="Times New Roman" w:eastAsia="宋体" w:cs="Times New Roman"/>
                <w:b/>
                <w:bCs/>
                <w:color w:val="auto"/>
                <w:kern w:val="0"/>
                <w:sz w:val="24"/>
              </w:rPr>
              <w:t>德宏州“三线一单”生态环境分区管控实施方案</w:t>
            </w:r>
            <w:r>
              <w:rPr>
                <w:rFonts w:hint="default" w:ascii="Times New Roman" w:hAnsi="Times New Roman" w:eastAsia="宋体" w:cs="Times New Roman"/>
                <w:b/>
                <w:bCs/>
                <w:color w:val="auto"/>
                <w:kern w:val="0"/>
                <w:sz w:val="24"/>
                <w:lang w:val="en-US" w:eastAsia="zh-CN"/>
              </w:rPr>
              <w:t>》</w:t>
            </w:r>
            <w:r>
              <w:rPr>
                <w:rFonts w:hint="default" w:ascii="Times New Roman" w:hAnsi="Times New Roman" w:eastAsia="宋体" w:cs="Times New Roman"/>
                <w:b/>
                <w:bCs/>
                <w:color w:val="auto"/>
                <w:kern w:val="0"/>
                <w:sz w:val="24"/>
              </w:rPr>
              <w:t>的</w:t>
            </w:r>
            <w:r>
              <w:rPr>
                <w:rFonts w:hint="default" w:ascii="Times New Roman" w:hAnsi="Times New Roman" w:eastAsia="宋体" w:cs="Times New Roman"/>
                <w:b/>
                <w:bCs/>
                <w:color w:val="auto"/>
                <w:kern w:val="0"/>
                <w:sz w:val="24"/>
                <w:lang w:val="en-US" w:eastAsia="zh-CN"/>
              </w:rPr>
              <w:t>符合性分析</w:t>
            </w:r>
          </w:p>
          <w:p w14:paraId="628EF0E7">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b w:val="0"/>
                <w:bCs w:val="0"/>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为贯彻落实《中共中央国务院关于全面加强生态环境保护坚决打好污染防治攻坚战的意见》（中发〔2018〕17号）、《云南省人民政府关于实施</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三线一单</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生态环境分区管控的意见》（云政发〔2020〕29号）精神，协同推进全市生态环境高水平保护和经济社会高质量发展，实施生态保护红线、环境质量底线、资</w:t>
            </w:r>
            <w:r>
              <w:rPr>
                <w:rFonts w:hint="default" w:ascii="Times New Roman" w:hAnsi="Times New Roman" w:eastAsia="宋体" w:cs="Times New Roman"/>
                <w:b w:val="0"/>
                <w:bCs w:val="0"/>
                <w:spacing w:val="0"/>
                <w:kern w:val="2"/>
                <w:sz w:val="24"/>
                <w:szCs w:val="24"/>
                <w:lang w:val="en-US" w:eastAsia="zh-CN" w:bidi="ar-SA"/>
              </w:rPr>
              <w:t>源利用上线和生态环境准入清单，结合实际，制定了</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德宏州</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三线一单</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分区管控实施方案</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w:t>
            </w:r>
          </w:p>
          <w:p w14:paraId="7634050A">
            <w:pPr>
              <w:keepNext w:val="0"/>
              <w:keepLines w:val="0"/>
              <w:suppressLineNumbers w:val="0"/>
              <w:spacing w:before="0" w:beforeAutospacing="0" w:after="0" w:afterAutospacing="0" w:line="360" w:lineRule="auto"/>
              <w:ind w:left="0" w:right="0" w:firstLine="480"/>
              <w:jc w:val="both"/>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b w:val="0"/>
                <w:bCs w:val="0"/>
                <w:spacing w:val="0"/>
                <w:kern w:val="2"/>
                <w:sz w:val="24"/>
                <w:szCs w:val="24"/>
                <w:lang w:val="en-US" w:eastAsia="zh-CN" w:bidi="ar-SA"/>
              </w:rPr>
              <w:t>根据2021年10月22日《德宏州人民政府关于印发德宏州</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三线一单</w:t>
            </w:r>
            <w:r>
              <w:rPr>
                <w:rFonts w:hint="eastAsia" w:ascii="Times New Roman" w:hAnsi="Times New Roman" w:eastAsia="宋体" w:cs="Times New Roman"/>
                <w:b w:val="0"/>
                <w:bCs w:val="0"/>
                <w:spacing w:val="0"/>
                <w:kern w:val="2"/>
                <w:sz w:val="24"/>
                <w:szCs w:val="24"/>
                <w:lang w:val="en-US" w:eastAsia="zh-CN" w:bidi="ar-SA"/>
              </w:rPr>
              <w:t>”</w:t>
            </w:r>
            <w:r>
              <w:rPr>
                <w:rFonts w:hint="default" w:ascii="Times New Roman" w:hAnsi="Times New Roman" w:eastAsia="宋体" w:cs="Times New Roman"/>
                <w:b w:val="0"/>
                <w:bCs w:val="0"/>
                <w:spacing w:val="0"/>
                <w:kern w:val="2"/>
                <w:sz w:val="24"/>
                <w:szCs w:val="24"/>
                <w:lang w:val="en-US" w:eastAsia="zh-CN" w:bidi="ar-SA"/>
              </w:rPr>
              <w:t>生态环境分</w:t>
            </w:r>
            <w:r>
              <w:rPr>
                <w:rFonts w:hint="default" w:ascii="Times New Roman" w:hAnsi="Times New Roman" w:eastAsia="宋体" w:cs="Times New Roman"/>
                <w:color w:val="auto"/>
                <w:spacing w:val="0"/>
                <w:kern w:val="2"/>
                <w:sz w:val="24"/>
                <w:szCs w:val="24"/>
                <w:lang w:val="en-US" w:eastAsia="zh-CN" w:bidi="ar-SA"/>
              </w:rPr>
              <w:t>区管控实施方案》的通知（德政发〔202</w:t>
            </w:r>
            <w:r>
              <w:rPr>
                <w:rFonts w:hint="eastAsia" w:ascii="Times New Roman" w:hAnsi="Times New Roman" w:eastAsia="宋体" w:cs="Times New Roman"/>
                <w:color w:val="auto"/>
                <w:spacing w:val="0"/>
                <w:kern w:val="2"/>
                <w:sz w:val="24"/>
                <w:szCs w:val="24"/>
                <w:lang w:val="en-US" w:eastAsia="zh-CN" w:bidi="ar-SA"/>
              </w:rPr>
              <w:t>1</w:t>
            </w:r>
            <w:r>
              <w:rPr>
                <w:rFonts w:hint="default" w:ascii="Times New Roman" w:hAnsi="Times New Roman" w:eastAsia="宋体" w:cs="Times New Roman"/>
                <w:color w:val="auto"/>
                <w:spacing w:val="0"/>
                <w:kern w:val="2"/>
                <w:sz w:val="24"/>
                <w:szCs w:val="24"/>
                <w:lang w:val="en-US" w:eastAsia="zh-CN" w:bidi="ar-SA"/>
              </w:rPr>
              <w:t>〕15号）</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项目可满足</w:t>
            </w:r>
            <w:r>
              <w:rPr>
                <w:rFonts w:hint="eastAsia" w:ascii="Times New Roman" w:hAnsi="Times New Roman" w:eastAsia="宋体" w:cs="Times New Roman"/>
                <w:color w:val="auto"/>
                <w:spacing w:val="0"/>
                <w:kern w:val="2"/>
                <w:sz w:val="24"/>
                <w:szCs w:val="24"/>
                <w:lang w:val="en-US" w:eastAsia="zh-CN" w:bidi="ar-SA"/>
              </w:rPr>
              <w:t>“各县市一般管控单元”</w:t>
            </w:r>
            <w:r>
              <w:rPr>
                <w:rFonts w:hint="default" w:ascii="Times New Roman" w:hAnsi="Times New Roman" w:eastAsia="宋体" w:cs="Times New Roman"/>
                <w:color w:val="auto"/>
                <w:spacing w:val="0"/>
                <w:kern w:val="2"/>
                <w:sz w:val="24"/>
                <w:szCs w:val="24"/>
                <w:lang w:val="en-US" w:eastAsia="zh-CN" w:bidi="ar-SA"/>
              </w:rPr>
              <w:t>中管控要求，本项目与德宏州</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三线一单</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生态环境分区管控</w:t>
            </w:r>
            <w:r>
              <w:rPr>
                <w:rFonts w:hint="eastAsia" w:ascii="Times New Roman" w:hAnsi="Times New Roman" w:eastAsia="宋体" w:cs="Times New Roman"/>
                <w:color w:val="auto"/>
                <w:spacing w:val="0"/>
                <w:kern w:val="2"/>
                <w:sz w:val="24"/>
                <w:szCs w:val="24"/>
                <w:lang w:val="en-US" w:eastAsia="zh-CN" w:bidi="ar-SA"/>
              </w:rPr>
              <w:t>要求</w:t>
            </w:r>
            <w:r>
              <w:rPr>
                <w:rFonts w:hint="default" w:ascii="Times New Roman" w:hAnsi="Times New Roman" w:eastAsia="宋体" w:cs="Times New Roman"/>
                <w:color w:val="auto"/>
                <w:spacing w:val="0"/>
                <w:kern w:val="2"/>
                <w:sz w:val="24"/>
                <w:szCs w:val="24"/>
                <w:lang w:val="en-US" w:eastAsia="zh-CN" w:bidi="ar-SA"/>
              </w:rPr>
              <w:t>的符合性分析见下表：</w:t>
            </w:r>
          </w:p>
          <w:p w14:paraId="732CACB9">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p w14:paraId="3C528FA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p>
          <w:p w14:paraId="724F1E8B">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ascii="Times New Roman" w:hAnsi="Times New Roman" w:eastAsia="宋体"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项目与《</w:t>
            </w:r>
            <w:r>
              <w:rPr>
                <w:rFonts w:hint="default" w:ascii="Times New Roman" w:hAnsi="Times New Roman" w:eastAsia="宋体" w:cs="Times New Roman"/>
                <w:b/>
                <w:color w:val="auto"/>
                <w:sz w:val="21"/>
                <w:szCs w:val="21"/>
                <w:lang w:val="en-US" w:eastAsia="zh-CN"/>
              </w:rPr>
              <w:t>德宏州</w:t>
            </w:r>
            <w:r>
              <w:rPr>
                <w:rFonts w:hint="default" w:ascii="Times New Roman" w:hAnsi="Times New Roman" w:eastAsia="宋体" w:cs="Times New Roman"/>
                <w:b/>
                <w:color w:val="auto"/>
                <w:sz w:val="21"/>
                <w:szCs w:val="21"/>
              </w:rPr>
              <w:t>“三线一单”生态环境分区管控实施方案》的符合性分析</w:t>
            </w:r>
          </w:p>
          <w:tbl>
            <w:tblPr>
              <w:tblStyle w:val="22"/>
              <w:tblW w:w="6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6"/>
              <w:gridCol w:w="670"/>
              <w:gridCol w:w="3280"/>
              <w:gridCol w:w="1775"/>
              <w:gridCol w:w="459"/>
            </w:tblGrid>
            <w:tr w14:paraId="0CB7B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3730175D">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3280" w:type="dxa"/>
                  <w:tcBorders>
                    <w:tl2br w:val="nil"/>
                    <w:tr2bl w:val="nil"/>
                  </w:tcBorders>
                  <w:vAlign w:val="center"/>
                </w:tcPr>
                <w:p w14:paraId="79B3DC38">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要求</w:t>
                  </w:r>
                </w:p>
              </w:tc>
              <w:tc>
                <w:tcPr>
                  <w:tcW w:w="1775" w:type="dxa"/>
                  <w:tcBorders>
                    <w:tl2br w:val="nil"/>
                    <w:tr2bl w:val="nil"/>
                  </w:tcBorders>
                  <w:vAlign w:val="center"/>
                </w:tcPr>
                <w:p w14:paraId="2D9B1257">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本项目情况</w:t>
                  </w:r>
                </w:p>
              </w:tc>
              <w:tc>
                <w:tcPr>
                  <w:tcW w:w="459" w:type="dxa"/>
                  <w:tcBorders>
                    <w:tl2br w:val="nil"/>
                    <w:tr2bl w:val="nil"/>
                  </w:tcBorders>
                  <w:vAlign w:val="center"/>
                </w:tcPr>
                <w:p w14:paraId="49B87FA8">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符合性</w:t>
                  </w:r>
                </w:p>
              </w:tc>
            </w:tr>
            <w:tr w14:paraId="3A4B9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6E1363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生态</w:t>
                  </w:r>
                  <w:r>
                    <w:rPr>
                      <w:rFonts w:hint="default" w:ascii="Times New Roman" w:hAnsi="Times New Roman" w:eastAsia="宋体" w:cs="Times New Roman"/>
                      <w:color w:val="auto"/>
                      <w:sz w:val="21"/>
                      <w:szCs w:val="21"/>
                      <w:lang w:eastAsia="zh-CN"/>
                    </w:rPr>
                    <w:t>保护</w:t>
                  </w:r>
                  <w:r>
                    <w:rPr>
                      <w:rFonts w:hint="default" w:ascii="Times New Roman" w:hAnsi="Times New Roman" w:eastAsia="宋体" w:cs="Times New Roman"/>
                      <w:color w:val="auto"/>
                      <w:sz w:val="21"/>
                      <w:szCs w:val="21"/>
                    </w:rPr>
                    <w:t>红线</w:t>
                  </w:r>
                </w:p>
              </w:tc>
              <w:tc>
                <w:tcPr>
                  <w:tcW w:w="3280" w:type="dxa"/>
                  <w:tcBorders>
                    <w:tl2br w:val="nil"/>
                    <w:tr2bl w:val="nil"/>
                  </w:tcBorders>
                  <w:vAlign w:val="center"/>
                </w:tcPr>
                <w:p w14:paraId="58B61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生态保护红线按照</w:t>
                  </w:r>
                  <w:r>
                    <w:rPr>
                      <w:rFonts w:hint="default" w:ascii="Times New Roman" w:hAnsi="Times New Roman" w:eastAsia="宋体" w:cs="Times New Roman"/>
                      <w:color w:val="auto"/>
                      <w:sz w:val="21"/>
                      <w:szCs w:val="21"/>
                    </w:rPr>
                    <w:t>《云南省人民政府关于发布云南省生态保护红线的通知》（云政发〔2018〕32号）</w:t>
                  </w:r>
                  <w:r>
                    <w:rPr>
                      <w:rFonts w:hint="default" w:ascii="Times New Roman" w:hAnsi="Times New Roman" w:eastAsia="宋体" w:cs="Times New Roman"/>
                      <w:color w:val="auto"/>
                      <w:sz w:val="21"/>
                      <w:szCs w:val="21"/>
                      <w:lang w:eastAsia="zh-CN"/>
                    </w:rPr>
                    <w:t>执行</w:t>
                  </w:r>
                  <w:r>
                    <w:rPr>
                      <w:rFonts w:hint="default" w:ascii="Times New Roman" w:hAnsi="Times New Roman" w:eastAsia="宋体" w:cs="Times New Roman"/>
                      <w:color w:val="auto"/>
                      <w:sz w:val="21"/>
                      <w:szCs w:val="21"/>
                    </w:rPr>
                    <w:t>，将未划入生态保护红线的自然保护</w:t>
                  </w:r>
                  <w:r>
                    <w:rPr>
                      <w:rFonts w:hint="default" w:ascii="Times New Roman" w:hAnsi="Times New Roman" w:eastAsia="宋体" w:cs="Times New Roman"/>
                      <w:color w:val="auto"/>
                      <w:sz w:val="21"/>
                      <w:szCs w:val="21"/>
                      <w:lang w:eastAsia="zh-CN"/>
                    </w:rPr>
                    <w:t>地、饮用水源保护区、重要湿地、基本草原、生态公益林、天然林</w:t>
                  </w:r>
                  <w:r>
                    <w:rPr>
                      <w:rFonts w:hint="default" w:ascii="Times New Roman" w:hAnsi="Times New Roman" w:eastAsia="宋体" w:cs="Times New Roman"/>
                      <w:color w:val="auto"/>
                      <w:sz w:val="21"/>
                      <w:szCs w:val="21"/>
                    </w:rPr>
                    <w:t>等生态功能重要、生态环境敏感区划</w:t>
                  </w:r>
                  <w:r>
                    <w:rPr>
                      <w:rFonts w:hint="default" w:ascii="Times New Roman" w:hAnsi="Times New Roman" w:eastAsia="宋体" w:cs="Times New Roman"/>
                      <w:color w:val="auto"/>
                      <w:sz w:val="21"/>
                      <w:szCs w:val="21"/>
                      <w:lang w:eastAsia="zh-CN"/>
                    </w:rPr>
                    <w:t>为</w:t>
                  </w:r>
                  <w:r>
                    <w:rPr>
                      <w:rFonts w:hint="default" w:ascii="Times New Roman" w:hAnsi="Times New Roman" w:eastAsia="宋体" w:cs="Times New Roman"/>
                      <w:color w:val="auto"/>
                      <w:sz w:val="21"/>
                      <w:szCs w:val="21"/>
                    </w:rPr>
                    <w:t>一般生态空间。</w:t>
                  </w:r>
                </w:p>
              </w:tc>
              <w:tc>
                <w:tcPr>
                  <w:tcW w:w="1775" w:type="dxa"/>
                  <w:tcBorders>
                    <w:tl2br w:val="nil"/>
                    <w:tr2bl w:val="nil"/>
                  </w:tcBorders>
                  <w:vAlign w:val="center"/>
                </w:tcPr>
                <w:p w14:paraId="2E1B4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项目不在生态保护红线范围内，项目所在区域属于一般生态空间。</w:t>
                  </w:r>
                </w:p>
              </w:tc>
              <w:tc>
                <w:tcPr>
                  <w:tcW w:w="459" w:type="dxa"/>
                  <w:tcBorders>
                    <w:tl2br w:val="nil"/>
                    <w:tr2bl w:val="nil"/>
                  </w:tcBorders>
                  <w:vAlign w:val="center"/>
                </w:tcPr>
                <w:p w14:paraId="057ED6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52BAB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0B370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环境质量底线</w:t>
                  </w:r>
                </w:p>
              </w:tc>
              <w:tc>
                <w:tcPr>
                  <w:tcW w:w="3280" w:type="dxa"/>
                  <w:tcBorders>
                    <w:tl2br w:val="nil"/>
                    <w:tr2bl w:val="nil"/>
                  </w:tcBorders>
                  <w:vAlign w:val="center"/>
                </w:tcPr>
                <w:p w14:paraId="2316D5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①水环境质量底线：到2025年，全州水环境质量总体优良，9个河流地表水断面中优良水体断面（达到或优于Ⅲ类）比例稳定达到100%，</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十四五</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新增监测断面水质达标率100%，水生生态系统功能进一步提升，县市及以上集中式饮用水水源水质巩固改善。到2035年，全州水环境质量持续优良，水生生态系统全面提升，实现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人水和谐</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w:t>
                  </w:r>
                </w:p>
                <w:p w14:paraId="6378D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大气环境质量底线：到2025年，全州空气质量优良率达到省级要求，中心城市环境空气质量稳定达到国家二级标准。2035年，全州空气质量优良率保持稳定，中心城市、各县市城市环境空气质量稳定达到国家二级标准。</w:t>
                  </w:r>
                </w:p>
                <w:p w14:paraId="2ECC63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③土壤环境风险防控底线：到2025年，全州土壤环境质量保持优异，土壤环境风险管控水平不断提升，受污染耕地安全利用率达到85%以上，受污染建设用地地块安全利用率达到95%以上。2035年，全州土壤环境风险防范体系全面建立，农用地和建设用地土壤环境安全得到有效保障，土壤环境风险得到全面管控。</w:t>
                  </w:r>
                </w:p>
              </w:tc>
              <w:tc>
                <w:tcPr>
                  <w:tcW w:w="1775" w:type="dxa"/>
                  <w:tcBorders>
                    <w:tl2br w:val="nil"/>
                    <w:tr2bl w:val="nil"/>
                  </w:tcBorders>
                  <w:vAlign w:val="center"/>
                </w:tcPr>
                <w:p w14:paraId="069598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项目所在区域</w:t>
                  </w:r>
                  <w:r>
                    <w:rPr>
                      <w:rFonts w:hint="default" w:ascii="Times New Roman" w:hAnsi="Times New Roman" w:eastAsia="宋体" w:cs="Times New Roman"/>
                      <w:color w:val="auto"/>
                      <w:sz w:val="21"/>
                      <w:szCs w:val="21"/>
                    </w:rPr>
                    <w:t>水环境、大气环境、土壤环境</w:t>
                  </w:r>
                  <w:r>
                    <w:rPr>
                      <w:rFonts w:hint="default" w:ascii="Times New Roman" w:hAnsi="Times New Roman" w:eastAsia="宋体" w:cs="Times New Roman"/>
                      <w:color w:val="auto"/>
                      <w:sz w:val="21"/>
                      <w:szCs w:val="21"/>
                      <w:lang w:eastAsia="zh-CN"/>
                    </w:rPr>
                    <w:t>质量现状良好，</w:t>
                  </w:r>
                  <w:r>
                    <w:rPr>
                      <w:rFonts w:hint="default" w:ascii="Times New Roman" w:hAnsi="Times New Roman" w:eastAsia="宋体" w:cs="Times New Roman"/>
                      <w:color w:val="auto"/>
                      <w:sz w:val="21"/>
                      <w:szCs w:val="21"/>
                    </w:rPr>
                    <w:t>均可满足质量标准要求</w:t>
                  </w:r>
                  <w:r>
                    <w:rPr>
                      <w:rFonts w:hint="default" w:ascii="Times New Roman" w:hAnsi="Times New Roman" w:eastAsia="宋体" w:cs="Times New Roman"/>
                      <w:color w:val="auto"/>
                      <w:sz w:val="21"/>
                      <w:szCs w:val="21"/>
                      <w:lang w:eastAsia="zh-CN"/>
                    </w:rPr>
                    <w:t>。</w:t>
                  </w:r>
                </w:p>
              </w:tc>
              <w:tc>
                <w:tcPr>
                  <w:tcW w:w="459" w:type="dxa"/>
                  <w:tcBorders>
                    <w:tl2br w:val="nil"/>
                    <w:tr2bl w:val="nil"/>
                  </w:tcBorders>
                  <w:vAlign w:val="center"/>
                </w:tcPr>
                <w:p w14:paraId="38C1A1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49A5E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3EDD9F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资源利用上线</w:t>
                  </w:r>
                </w:p>
              </w:tc>
              <w:tc>
                <w:tcPr>
                  <w:tcW w:w="3280" w:type="dxa"/>
                  <w:tcBorders>
                    <w:tl2br w:val="nil"/>
                    <w:tr2bl w:val="nil"/>
                  </w:tcBorders>
                  <w:vAlign w:val="center"/>
                </w:tcPr>
                <w:p w14:paraId="22C316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强化节约集约利用，持续提升资源能源利用效率，水资源、土地资源、能源消耗等达到云南省下达的总量和强度控制目标。</w:t>
                  </w:r>
                </w:p>
              </w:tc>
              <w:tc>
                <w:tcPr>
                  <w:tcW w:w="1775" w:type="dxa"/>
                  <w:tcBorders>
                    <w:tl2br w:val="nil"/>
                    <w:tr2bl w:val="nil"/>
                  </w:tcBorders>
                  <w:vAlign w:val="center"/>
                </w:tcPr>
                <w:p w14:paraId="3DF31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项目</w:t>
                  </w:r>
                  <w:r>
                    <w:rPr>
                      <w:rFonts w:hint="default" w:ascii="Times New Roman" w:hAnsi="Times New Roman" w:eastAsia="宋体" w:cs="Times New Roman"/>
                      <w:color w:val="auto"/>
                      <w:sz w:val="21"/>
                      <w:szCs w:val="21"/>
                      <w:lang w:val="en-US" w:eastAsia="zh-CN"/>
                    </w:rPr>
                    <w:t>多为临时</w:t>
                  </w:r>
                  <w:r>
                    <w:rPr>
                      <w:rFonts w:hint="default" w:ascii="Times New Roman" w:hAnsi="Times New Roman" w:eastAsia="宋体" w:cs="Times New Roman"/>
                      <w:color w:val="auto"/>
                      <w:sz w:val="21"/>
                      <w:szCs w:val="21"/>
                      <w:lang w:eastAsia="zh-CN"/>
                    </w:rPr>
                    <w:t>占地，</w:t>
                  </w:r>
                  <w:r>
                    <w:rPr>
                      <w:rFonts w:hint="default" w:ascii="Times New Roman" w:hAnsi="Times New Roman" w:eastAsia="宋体" w:cs="Times New Roman"/>
                      <w:color w:val="auto"/>
                      <w:sz w:val="21"/>
                      <w:szCs w:val="21"/>
                      <w:lang w:val="en-US" w:eastAsia="zh-CN"/>
                    </w:rPr>
                    <w:t>永久</w:t>
                  </w:r>
                  <w:r>
                    <w:rPr>
                      <w:rFonts w:hint="default" w:ascii="Times New Roman" w:hAnsi="Times New Roman" w:eastAsia="宋体" w:cs="Times New Roman"/>
                      <w:color w:val="auto"/>
                      <w:sz w:val="21"/>
                      <w:szCs w:val="21"/>
                      <w:lang w:eastAsia="zh-CN"/>
                    </w:rPr>
                    <w:t>占地面积较小，项目</w:t>
                  </w:r>
                  <w:r>
                    <w:rPr>
                      <w:rFonts w:hint="default" w:ascii="Times New Roman" w:hAnsi="Times New Roman" w:eastAsia="宋体" w:cs="Times New Roman"/>
                      <w:color w:val="auto"/>
                      <w:sz w:val="21"/>
                      <w:szCs w:val="21"/>
                      <w:lang w:val="en-US" w:eastAsia="zh-CN"/>
                    </w:rPr>
                    <w:t>施工</w:t>
                  </w:r>
                  <w:r>
                    <w:rPr>
                      <w:rFonts w:hint="default" w:ascii="Times New Roman" w:hAnsi="Times New Roman" w:eastAsia="宋体" w:cs="Times New Roman"/>
                      <w:color w:val="auto"/>
                      <w:sz w:val="21"/>
                      <w:szCs w:val="21"/>
                      <w:lang w:eastAsia="zh-CN"/>
                    </w:rPr>
                    <w:t>结束后，对</w:t>
                  </w:r>
                  <w:r>
                    <w:rPr>
                      <w:rFonts w:hint="default" w:ascii="Times New Roman" w:hAnsi="Times New Roman" w:eastAsia="宋体" w:cs="Times New Roman"/>
                      <w:color w:val="auto"/>
                      <w:sz w:val="21"/>
                      <w:szCs w:val="21"/>
                      <w:lang w:val="en-US" w:eastAsia="zh-CN"/>
                    </w:rPr>
                    <w:t>开挖</w:t>
                  </w:r>
                  <w:r>
                    <w:rPr>
                      <w:rFonts w:hint="default" w:ascii="Times New Roman" w:hAnsi="Times New Roman" w:eastAsia="宋体" w:cs="Times New Roman"/>
                      <w:color w:val="auto"/>
                      <w:sz w:val="21"/>
                      <w:szCs w:val="21"/>
                      <w:lang w:eastAsia="zh-CN"/>
                    </w:rPr>
                    <w:t>区域进行覆土绿化恢复</w:t>
                  </w:r>
                  <w:r>
                    <w:rPr>
                      <w:rFonts w:hint="default" w:ascii="Times New Roman" w:hAnsi="Times New Roman" w:eastAsia="宋体" w:cs="Times New Roman"/>
                      <w:color w:val="auto"/>
                      <w:sz w:val="21"/>
                      <w:szCs w:val="21"/>
                      <w:lang w:val="en-US" w:eastAsia="zh-CN"/>
                    </w:rPr>
                    <w:t>，对资源能源影响较小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项目运营</w:t>
                  </w:r>
                  <w:r>
                    <w:rPr>
                      <w:rFonts w:hint="default" w:ascii="Times New Roman" w:hAnsi="Times New Roman" w:eastAsia="宋体" w:cs="Times New Roman"/>
                      <w:color w:val="auto"/>
                      <w:sz w:val="21"/>
                      <w:szCs w:val="21"/>
                      <w:lang w:eastAsia="zh-CN"/>
                    </w:rPr>
                    <w:t>过程中能源、水资源使用量较少，符合资源利用上线的要求。</w:t>
                  </w:r>
                </w:p>
              </w:tc>
              <w:tc>
                <w:tcPr>
                  <w:tcW w:w="459" w:type="dxa"/>
                  <w:tcBorders>
                    <w:tl2br w:val="nil"/>
                    <w:tr2bl w:val="nil"/>
                  </w:tcBorders>
                  <w:vAlign w:val="center"/>
                </w:tcPr>
                <w:p w14:paraId="1D99AA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符合</w:t>
                  </w:r>
                </w:p>
              </w:tc>
            </w:tr>
            <w:tr w14:paraId="01541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566E8448">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空间布局约束</w:t>
                  </w:r>
                </w:p>
              </w:tc>
              <w:tc>
                <w:tcPr>
                  <w:tcW w:w="3280" w:type="dxa"/>
                  <w:tcBorders>
                    <w:tl2br w:val="nil"/>
                    <w:tr2bl w:val="nil"/>
                  </w:tcBorders>
                  <w:vAlign w:val="center"/>
                </w:tcPr>
                <w:p w14:paraId="304EC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将资源承载能力、生态环境容量作为承接产业转移的基础和前提，合理确定承接产业转移重点，禁止引进环境污染大、资源消耗高、技术落后的生产工艺及设备。严禁以任何名义、任何方式核准或备案产能严重过剩行业的增加产能项目。</w:t>
                  </w:r>
                </w:p>
                <w:p w14:paraId="619415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2.严禁新增工业硅产能，2017年12月1日后立项备案的新（改、扩）建工业硅项目，一律实施产能减量置换，置换过程中的产能（吨）数量，按照“变压器容量（千伏安）×0.9×6480/12000”标准进行计算。</w:t>
                  </w:r>
                </w:p>
                <w:p w14:paraId="2662BE8B">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对工业硅行业，全面淘汰工艺技术装备落后产能，依法依规关停布局不合理、资源能源消耗高、环保措施不到位、污染物排放连续不达标、安全质量不达标和木质碳消耗多的生产装备，或连续2年受到省行业主管部门资源能源消耗黄牌警告通报的企业，由各县（市）人民政府立即实施关停淘汰。</w:t>
                  </w:r>
                </w:p>
                <w:p w14:paraId="2B9716D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4.严格控制大盈江、瑞丽江等重点流域沿岸的石油加工、化学原料和化学制品制造、医药制造、化学纤维制造、有色金属冶炼、纺织印染等项目</w:t>
                  </w:r>
                </w:p>
              </w:tc>
              <w:tc>
                <w:tcPr>
                  <w:tcW w:w="1775" w:type="dxa"/>
                  <w:tcBorders>
                    <w:tl2br w:val="nil"/>
                    <w:tr2bl w:val="nil"/>
                  </w:tcBorders>
                  <w:vAlign w:val="center"/>
                </w:tcPr>
                <w:p w14:paraId="0294452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kern w:val="0"/>
                      <w:sz w:val="21"/>
                      <w:szCs w:val="21"/>
                      <w:lang w:val="en-US" w:eastAsia="zh-CN"/>
                    </w:rPr>
                    <w:t>光伏发电项目</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不属于</w:t>
                  </w:r>
                  <w:r>
                    <w:rPr>
                      <w:rFonts w:hint="default" w:ascii="Times New Roman" w:hAnsi="Times New Roman" w:eastAsia="宋体" w:cs="Times New Roman"/>
                      <w:color w:val="auto"/>
                      <w:kern w:val="2"/>
                      <w:sz w:val="21"/>
                      <w:szCs w:val="21"/>
                      <w:lang w:val="en-US" w:eastAsia="zh-CN" w:bidi="ar-SA"/>
                    </w:rPr>
                    <w:t>过剩行业的增加产能项目，也不属于新增工业硅产能、新（改、扩）建工业硅项目，</w:t>
                  </w:r>
                  <w:r>
                    <w:rPr>
                      <w:rFonts w:hint="default" w:ascii="Times New Roman" w:hAnsi="Times New Roman" w:eastAsia="宋体" w:cs="Times New Roman"/>
                      <w:color w:val="auto"/>
                      <w:kern w:val="0"/>
                      <w:sz w:val="21"/>
                      <w:szCs w:val="21"/>
                    </w:rPr>
                    <w:t>不涉及化学原料和化学品制造、医药制造、化学纤维制造、有色金属冶炼、纺织印染等项目</w:t>
                  </w:r>
                  <w:r>
                    <w:rPr>
                      <w:rFonts w:hint="eastAsia"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19CC6AB8">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7FFFB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1E2B5853">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污染物排放管控</w:t>
                  </w:r>
                </w:p>
              </w:tc>
              <w:tc>
                <w:tcPr>
                  <w:tcW w:w="3280" w:type="dxa"/>
                  <w:tcBorders>
                    <w:tl2br w:val="nil"/>
                    <w:tr2bl w:val="nil"/>
                  </w:tcBorders>
                  <w:vAlign w:val="center"/>
                </w:tcPr>
                <w:p w14:paraId="41F9EF56">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1.加强重点流域水污染综合防治，持续开展瑞丽江、大盈江流域综合治理，稳定优良水体比例。</w:t>
                  </w:r>
                </w:p>
                <w:p w14:paraId="5D0432A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2.对芒市大河风平断面等水质有反弹风险的水体，推动精准治污，确保水质稳定达标。水质稳定达标前，芒市大河新建、改建、扩建重点行业建设项目实行主要污染物排放减量置换。</w:t>
                  </w:r>
                </w:p>
                <w:p w14:paraId="539E7181">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3.以大盈江、瑞丽江、槟榔江为重点，开展生态流量保障工作，重点保障枯水期生态基流。以小水电无序开发、水资源利用不合理导致的减脱水河段为重点，明确小水电整治、改造、生态修复任务。</w:t>
                  </w:r>
                </w:p>
                <w:p w14:paraId="3DCC6EFE">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严格保护城乡饮用水水源地，整治饮用水水源保护区内的污染源，确保饮水安全。完善城乡“两污”设施，确保城镇生活污水、垃圾处理设施全覆盖，并确保设施稳定运行。推进农村面源污染治理。推进工业园区、工矿企业污水处理设施全覆盖和利用效率最大化。</w:t>
                  </w:r>
                </w:p>
                <w:p w14:paraId="76CBA42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5.加大挥发性有机物减排力度，扎实推动PM</w:t>
                  </w:r>
                  <w:r>
                    <w:rPr>
                      <w:rFonts w:hint="default" w:ascii="Times New Roman" w:hAnsi="Times New Roman" w:eastAsia="宋体" w:cs="Times New Roman"/>
                      <w:color w:val="auto"/>
                      <w:kern w:val="2"/>
                      <w:sz w:val="21"/>
                      <w:szCs w:val="21"/>
                      <w:vertAlign w:val="subscript"/>
                      <w:lang w:val="en-US" w:eastAsia="zh-CN" w:bidi="ar-SA"/>
                    </w:rPr>
                    <w:t>2.5</w:t>
                  </w:r>
                  <w:r>
                    <w:rPr>
                      <w:rFonts w:hint="default" w:ascii="Times New Roman" w:hAnsi="Times New Roman" w:eastAsia="宋体" w:cs="Times New Roman"/>
                      <w:color w:val="auto"/>
                      <w:kern w:val="2"/>
                      <w:sz w:val="21"/>
                      <w:szCs w:val="21"/>
                      <w:lang w:val="en-US" w:eastAsia="zh-CN" w:bidi="ar-SA"/>
                    </w:rPr>
                    <w:t>和O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协同控制，有效提升优良天数比例。在持续推进氮氧化物减排的基础上，重点加大石化、化工及含挥发性有机化合物产品制造企业和喷漆、制鞋、印刷、电子、服装干洗等行业的清洁生产和污染治理力度，严控生产过程中逃逸性有机气体的排放。</w:t>
                  </w:r>
                </w:p>
                <w:p w14:paraId="67FC43F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6.提高工业硅、水泥等高耗能产业减量置换比例，把高能效和低碳排放纳入产能减量置换门槛，明确重点行业二氧化碳排放达峰目标，控制工业、交通、建筑等行业温室气体排放。</w:t>
                  </w:r>
                </w:p>
                <w:p w14:paraId="5D7B1F5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7.新（改、扩）建工业硅电炉必须为矮烟罩半封闭型或全密闭型，变压器容量达到2×25000千伏安及以上。</w:t>
                  </w:r>
                </w:p>
                <w:p w14:paraId="597007C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8.实施工业污染源全面达标排放计划，加快工业硅等大气污染重点行业的脱硫技术改造。</w:t>
                  </w:r>
                </w:p>
                <w:p w14:paraId="21E52A71">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2"/>
                      <w:sz w:val="21"/>
                      <w:szCs w:val="21"/>
                      <w:lang w:val="en-US" w:eastAsia="zh-CN" w:bidi="ar-SA"/>
                    </w:rPr>
                    <w:t>9.加强土壤污染防治，对农用地实施分类管理，对建设用地实行准入管理，确定土壤环境污染重点监管企业名单，实施土壤污染风险管控和修复名录制度，对污染地块开发利用实行联动监管。</w:t>
                  </w:r>
                </w:p>
              </w:tc>
              <w:tc>
                <w:tcPr>
                  <w:tcW w:w="1775" w:type="dxa"/>
                  <w:tcBorders>
                    <w:tl2br w:val="nil"/>
                    <w:tr2bl w:val="nil"/>
                  </w:tcBorders>
                  <w:vAlign w:val="center"/>
                </w:tcPr>
                <w:p w14:paraId="5F3503DB">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本项目不涉及</w:t>
                  </w:r>
                  <w:r>
                    <w:rPr>
                      <w:rFonts w:hint="default" w:ascii="Times New Roman" w:hAnsi="Times New Roman" w:eastAsia="宋体" w:cs="Times New Roman"/>
                      <w:color w:val="auto"/>
                      <w:kern w:val="2"/>
                      <w:sz w:val="21"/>
                      <w:szCs w:val="21"/>
                      <w:lang w:val="en-US" w:eastAsia="zh-CN" w:bidi="ar-SA"/>
                    </w:rPr>
                    <w:t>瑞丽江、大盈江流域</w:t>
                  </w:r>
                  <w:r>
                    <w:rPr>
                      <w:rFonts w:hint="eastAsia" w:ascii="Times New Roman" w:hAnsi="Times New Roman" w:eastAsia="宋体" w:cs="Times New Roman"/>
                      <w:color w:val="auto"/>
                      <w:kern w:val="2"/>
                      <w:sz w:val="21"/>
                      <w:szCs w:val="21"/>
                      <w:lang w:val="en-US" w:eastAsia="zh-CN" w:bidi="ar-SA"/>
                    </w:rPr>
                    <w:t>等重点流域，</w:t>
                  </w:r>
                  <w:r>
                    <w:rPr>
                      <w:rFonts w:hint="eastAsia" w:ascii="Times New Roman" w:hAnsi="Times New Roman" w:eastAsia="宋体" w:cs="Times New Roman"/>
                      <w:color w:val="auto"/>
                      <w:kern w:val="0"/>
                      <w:sz w:val="21"/>
                      <w:szCs w:val="21"/>
                      <w:lang w:eastAsia="zh-CN"/>
                    </w:rPr>
                    <w:t>本</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施工</w:t>
                  </w:r>
                  <w:r>
                    <w:rPr>
                      <w:rFonts w:hint="eastAsia" w:ascii="Times New Roman" w:hAnsi="Times New Roman" w:eastAsia="宋体" w:cs="Times New Roman"/>
                      <w:color w:val="auto"/>
                      <w:sz w:val="21"/>
                      <w:szCs w:val="21"/>
                      <w:lang w:eastAsia="zh-CN"/>
                    </w:rPr>
                    <w:t>期施工</w:t>
                  </w:r>
                  <w:r>
                    <w:rPr>
                      <w:rFonts w:hint="default" w:ascii="Times New Roman" w:hAnsi="Times New Roman" w:eastAsia="宋体" w:cs="Times New Roman"/>
                      <w:color w:val="auto"/>
                      <w:sz w:val="21"/>
                      <w:szCs w:val="21"/>
                    </w:rPr>
                    <w:t>废水经临时沉淀池沉淀处理后，回用于施工过程和场地洒水抑尘，不外排；</w:t>
                  </w:r>
                  <w:r>
                    <w:rPr>
                      <w:rFonts w:hint="eastAsia" w:ascii="Times New Roman" w:hAnsi="Times New Roman" w:eastAsia="宋体" w:cs="Times New Roman"/>
                      <w:color w:val="auto"/>
                      <w:sz w:val="21"/>
                      <w:szCs w:val="21"/>
                      <w:lang w:eastAsia="zh-CN"/>
                    </w:rPr>
                    <w:t>项目施工期设置旱厕</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旱厕</w:t>
                  </w:r>
                  <w:r>
                    <w:rPr>
                      <w:rFonts w:hint="default" w:ascii="Times New Roman" w:hAnsi="Times New Roman" w:eastAsia="宋体" w:cs="Times New Roman"/>
                      <w:color w:val="auto"/>
                      <w:sz w:val="21"/>
                      <w:szCs w:val="21"/>
                    </w:rPr>
                    <w:t>定期清掏绿化施肥，无废水外排</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kern w:val="0"/>
                      <w:sz w:val="21"/>
                      <w:szCs w:val="21"/>
                    </w:rPr>
                    <w:t>运行期间产生的废水为生活废水及光伏阵列清洁废水，光伏阵列清洁废水用于光伏板区绿化，无废水外排；</w:t>
                  </w:r>
                  <w:r>
                    <w:rPr>
                      <w:rFonts w:hint="default" w:ascii="Times New Roman" w:hAnsi="Times New Roman" w:eastAsia="宋体" w:cs="Times New Roman"/>
                      <w:color w:val="auto"/>
                      <w:sz w:val="21"/>
                      <w:szCs w:val="21"/>
                    </w:rPr>
                    <w:t>运营期产生的生活废水经</w:t>
                  </w:r>
                  <w:r>
                    <w:rPr>
                      <w:rFonts w:hint="eastAsia" w:ascii="Times New Roman" w:hAnsi="Times New Roman" w:eastAsia="宋体" w:cs="Times New Roman"/>
                      <w:color w:val="auto"/>
                      <w:sz w:val="21"/>
                      <w:szCs w:val="21"/>
                      <w:lang w:eastAsia="zh-CN"/>
                    </w:rPr>
                    <w:t>隔油池、</w:t>
                  </w:r>
                  <w:r>
                    <w:rPr>
                      <w:rFonts w:hint="default" w:ascii="Times New Roman" w:hAnsi="Times New Roman" w:eastAsia="宋体" w:cs="Times New Roman"/>
                      <w:color w:val="auto"/>
                      <w:sz w:val="21"/>
                      <w:szCs w:val="21"/>
                    </w:rPr>
                    <w:t>化粪池</w:t>
                  </w:r>
                  <w:r>
                    <w:rPr>
                      <w:rFonts w:hint="eastAsia" w:ascii="Times New Roman" w:hAnsi="Times New Roman" w:eastAsia="宋体" w:cs="Times New Roman"/>
                      <w:color w:val="auto"/>
                      <w:sz w:val="21"/>
                      <w:szCs w:val="21"/>
                      <w:lang w:eastAsia="zh-CN"/>
                    </w:rPr>
                    <w:t>处理后暂存于废水收集池</w:t>
                  </w:r>
                  <w:r>
                    <w:rPr>
                      <w:rFonts w:hint="default" w:ascii="Times New Roman" w:hAnsi="Times New Roman" w:eastAsia="宋体" w:cs="Times New Roman"/>
                      <w:color w:val="FF0000"/>
                      <w:sz w:val="21"/>
                      <w:szCs w:val="21"/>
                    </w:rPr>
                    <w:t>，</w:t>
                  </w:r>
                  <w:r>
                    <w:rPr>
                      <w:rFonts w:hint="default" w:ascii="Times New Roman" w:hAnsi="Times New Roman" w:eastAsia="宋体" w:cs="Times New Roman"/>
                      <w:color w:val="auto"/>
                      <w:sz w:val="21"/>
                      <w:szCs w:val="21"/>
                    </w:rPr>
                    <w:t>用于项目升压站</w:t>
                  </w:r>
                  <w:r>
                    <w:rPr>
                      <w:rFonts w:hint="eastAsia" w:ascii="Times New Roman" w:hAnsi="Times New Roman" w:eastAsia="宋体" w:cs="Times New Roman"/>
                      <w:color w:val="auto"/>
                      <w:sz w:val="21"/>
                      <w:szCs w:val="21"/>
                      <w:lang w:eastAsia="zh-CN"/>
                    </w:rPr>
                    <w:t>内</w:t>
                  </w:r>
                  <w:r>
                    <w:rPr>
                      <w:rFonts w:hint="default" w:ascii="Times New Roman" w:hAnsi="Times New Roman" w:eastAsia="宋体" w:cs="Times New Roman"/>
                      <w:color w:val="auto"/>
                      <w:sz w:val="21"/>
                      <w:szCs w:val="21"/>
                    </w:rPr>
                    <w:t>绿化，不外排</w:t>
                  </w:r>
                  <w:r>
                    <w:rPr>
                      <w:rFonts w:hint="default" w:ascii="Times New Roman" w:hAnsi="Times New Roman" w:eastAsia="宋体" w:cs="Times New Roman"/>
                      <w:color w:val="auto"/>
                      <w:kern w:val="0"/>
                      <w:sz w:val="21"/>
                      <w:szCs w:val="21"/>
                    </w:rPr>
                    <w:t>；对地表水环境影响较小</w:t>
                  </w:r>
                  <w:r>
                    <w:rPr>
                      <w:rFonts w:hint="default"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76292033">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D44D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6" w:type="dxa"/>
                  <w:gridSpan w:val="2"/>
                  <w:tcBorders>
                    <w:tl2br w:val="nil"/>
                    <w:tr2bl w:val="nil"/>
                  </w:tcBorders>
                  <w:vAlign w:val="center"/>
                </w:tcPr>
                <w:p w14:paraId="6B463182">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环境风险防控</w:t>
                  </w:r>
                </w:p>
              </w:tc>
              <w:tc>
                <w:tcPr>
                  <w:tcW w:w="3280" w:type="dxa"/>
                  <w:tcBorders>
                    <w:tl2br w:val="nil"/>
                    <w:tr2bl w:val="nil"/>
                  </w:tcBorders>
                  <w:vAlign w:val="center"/>
                </w:tcPr>
                <w:p w14:paraId="2637BEB4">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1.建立德宏州中心城市核心区（芒市、瑞丽市）染联防联控联席会议机制，协调大气污染治理工作，打好中心城市大气污染联防联治攻坚战。</w:t>
                  </w:r>
                </w:p>
                <w:p w14:paraId="1C190ED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2.强化环境风险防控和应急管理，制定和完善突发环境事件应急预案，提升风险防控和突发环境事件应急处理处置能力。</w:t>
                  </w:r>
                </w:p>
                <w:p w14:paraId="127D46D0">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3.开展大盈江、瑞丽江流域生态隐患和环境风险调查评估，划定高风险区域。</w:t>
                  </w:r>
                </w:p>
                <w:p w14:paraId="30D15364">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4.制定跨国界河流水污染事故应急方案，开展伊洛瓦底江流域跨国界河流的生态环境监测和污染综合防治。</w:t>
                  </w:r>
                </w:p>
              </w:tc>
              <w:tc>
                <w:tcPr>
                  <w:tcW w:w="1775" w:type="dxa"/>
                  <w:tcBorders>
                    <w:tl2br w:val="nil"/>
                    <w:tr2bl w:val="nil"/>
                  </w:tcBorders>
                  <w:vAlign w:val="center"/>
                </w:tcPr>
                <w:p w14:paraId="2093D7C7">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eastAsia="zh-CN"/>
                    </w:rPr>
                    <w:t>本</w:t>
                  </w: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sz w:val="21"/>
                      <w:szCs w:val="21"/>
                    </w:rPr>
                    <w:t>属于</w:t>
                  </w:r>
                  <w:r>
                    <w:rPr>
                      <w:rFonts w:hint="default" w:ascii="Times New Roman" w:hAnsi="Times New Roman" w:eastAsia="宋体" w:cs="Times New Roman"/>
                      <w:color w:val="auto"/>
                      <w:kern w:val="0"/>
                      <w:sz w:val="21"/>
                      <w:szCs w:val="21"/>
                      <w:lang w:val="en-US" w:eastAsia="zh-CN"/>
                    </w:rPr>
                    <w:t>光伏发电项目</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项目运营期无废气污染物排放。</w:t>
                  </w:r>
                  <w:r>
                    <w:rPr>
                      <w:rFonts w:hint="default" w:ascii="Times New Roman" w:hAnsi="Times New Roman" w:eastAsia="宋体" w:cs="Times New Roman"/>
                      <w:color w:val="auto"/>
                      <w:kern w:val="0"/>
                      <w:sz w:val="21"/>
                      <w:szCs w:val="21"/>
                      <w:lang w:val="en-US" w:eastAsia="zh-CN"/>
                    </w:rPr>
                    <w:t>施工期及运营期废水均不外排</w:t>
                  </w: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eastAsia="zh-CN"/>
                    </w:rPr>
                    <w:t>且项目危废暂存间及事故收集池均采取重点防渗措施，避免环境风险事故的发生。本项目</w:t>
                  </w:r>
                  <w:r>
                    <w:rPr>
                      <w:rFonts w:hint="default" w:ascii="Times New Roman" w:hAnsi="Times New Roman" w:eastAsia="宋体" w:cs="Times New Roman"/>
                      <w:color w:val="auto"/>
                      <w:kern w:val="0"/>
                      <w:sz w:val="21"/>
                      <w:szCs w:val="21"/>
                    </w:rPr>
                    <w:t>不涉及</w:t>
                  </w:r>
                  <w:r>
                    <w:rPr>
                      <w:rFonts w:hint="default" w:ascii="Times New Roman" w:hAnsi="Times New Roman" w:eastAsia="宋体" w:cs="Times New Roman"/>
                      <w:color w:val="auto"/>
                      <w:kern w:val="2"/>
                      <w:sz w:val="21"/>
                      <w:szCs w:val="21"/>
                      <w:lang w:val="en-US" w:eastAsia="zh-CN" w:bidi="ar-SA"/>
                    </w:rPr>
                    <w:t>流域生态隐患和环境风险调查评估、跨国界河流水污染事故应急方案</w:t>
                  </w:r>
                  <w:r>
                    <w:rPr>
                      <w:rFonts w:hint="default" w:ascii="Times New Roman" w:hAnsi="Times New Roman" w:eastAsia="宋体" w:cs="Times New Roman"/>
                      <w:color w:val="auto"/>
                      <w:kern w:val="0"/>
                      <w:sz w:val="21"/>
                      <w:szCs w:val="21"/>
                    </w:rPr>
                    <w:t>等项目环境风险，也不</w:t>
                  </w:r>
                  <w:r>
                    <w:rPr>
                      <w:rFonts w:hint="eastAsia" w:ascii="Times New Roman" w:hAnsi="Times New Roman" w:eastAsia="宋体" w:cs="Times New Roman"/>
                      <w:color w:val="auto"/>
                      <w:kern w:val="0"/>
                      <w:sz w:val="21"/>
                      <w:szCs w:val="21"/>
                      <w:lang w:eastAsia="zh-CN"/>
                    </w:rPr>
                    <w:t>涉及</w:t>
                  </w:r>
                  <w:r>
                    <w:rPr>
                      <w:rFonts w:hint="default" w:ascii="Times New Roman" w:hAnsi="Times New Roman" w:eastAsia="宋体" w:cs="Times New Roman"/>
                      <w:color w:val="auto"/>
                      <w:kern w:val="0"/>
                      <w:sz w:val="21"/>
                      <w:szCs w:val="21"/>
                    </w:rPr>
                    <w:t>危险化学品仓储等设施</w:t>
                  </w:r>
                  <w:r>
                    <w:rPr>
                      <w:rFonts w:hint="eastAsia" w:ascii="Times New Roman" w:hAnsi="Times New Roman" w:eastAsia="宋体" w:cs="Times New Roman"/>
                      <w:color w:val="auto"/>
                      <w:kern w:val="0"/>
                      <w:sz w:val="21"/>
                      <w:szCs w:val="21"/>
                      <w:lang w:eastAsia="zh-CN"/>
                    </w:rPr>
                    <w:t>。</w:t>
                  </w:r>
                </w:p>
              </w:tc>
              <w:tc>
                <w:tcPr>
                  <w:tcW w:w="459" w:type="dxa"/>
                  <w:tcBorders>
                    <w:tl2br w:val="nil"/>
                    <w:tr2bl w:val="nil"/>
                  </w:tcBorders>
                  <w:vAlign w:val="center"/>
                </w:tcPr>
                <w:p w14:paraId="63895CA9">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3B0E1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restart"/>
                  <w:tcBorders>
                    <w:tl2br w:val="nil"/>
                    <w:tr2bl w:val="nil"/>
                  </w:tcBorders>
                  <w:vAlign w:val="center"/>
                </w:tcPr>
                <w:p w14:paraId="11F931F3">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各县市一般管控单元</w:t>
                  </w:r>
                </w:p>
              </w:tc>
              <w:tc>
                <w:tcPr>
                  <w:tcW w:w="670" w:type="dxa"/>
                  <w:tcBorders>
                    <w:tl2br w:val="nil"/>
                    <w:tr2bl w:val="nil"/>
                  </w:tcBorders>
                  <w:vAlign w:val="center"/>
                </w:tcPr>
                <w:p w14:paraId="2282DCF9">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空间布局约束</w:t>
                  </w:r>
                </w:p>
              </w:tc>
              <w:tc>
                <w:tcPr>
                  <w:tcW w:w="3280" w:type="dxa"/>
                  <w:tcBorders>
                    <w:tl2br w:val="nil"/>
                    <w:tr2bl w:val="nil"/>
                  </w:tcBorders>
                  <w:vAlign w:val="center"/>
                </w:tcPr>
                <w:p w14:paraId="25383F7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1.新建企业应入工业园区，未建立工业园区的县（市），新建企业的布局应符合当地相关产业布局的要求。</w:t>
                  </w:r>
                </w:p>
                <w:p w14:paraId="73C41634">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2.禁止在基本农田内从事非农业生产的活动。任何单位和个人不得改变或者占用基本农田保护区。</w:t>
                  </w:r>
                </w:p>
                <w:p w14:paraId="4B175EF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3.禁止新建、改扩建中小水电（25万千瓦以下）项目，现有中小水电站应按照环评批复（环评批复未明确生态流量的根据来水量科学确定生态流量），确保连续稳定下泄生态流量。</w:t>
                  </w:r>
                </w:p>
              </w:tc>
              <w:tc>
                <w:tcPr>
                  <w:tcW w:w="1775" w:type="dxa"/>
                  <w:tcBorders>
                    <w:tl2br w:val="nil"/>
                    <w:tr2bl w:val="nil"/>
                  </w:tcBorders>
                  <w:vAlign w:val="center"/>
                </w:tcPr>
                <w:p w14:paraId="38E06D31">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项目为光伏发电项目，</w:t>
                  </w:r>
                  <w:r>
                    <w:rPr>
                      <w:rFonts w:hint="eastAsia" w:ascii="Times New Roman" w:hAnsi="Times New Roman" w:eastAsia="宋体" w:cs="Times New Roman"/>
                      <w:color w:val="auto"/>
                      <w:kern w:val="0"/>
                      <w:sz w:val="21"/>
                      <w:szCs w:val="21"/>
                      <w:lang w:val="en-US" w:eastAsia="zh-CN"/>
                    </w:rPr>
                    <w:t>位于</w:t>
                  </w:r>
                  <w:r>
                    <w:rPr>
                      <w:rFonts w:hint="default" w:ascii="Times New Roman" w:hAnsi="Times New Roman" w:eastAsia="宋体" w:cs="Times New Roman"/>
                      <w:color w:val="auto"/>
                      <w:sz w:val="21"/>
                      <w:szCs w:val="21"/>
                      <w:lang w:val="en-US" w:eastAsia="zh-CN"/>
                    </w:rPr>
                    <w:t>德宏州</w:t>
                  </w:r>
                  <w:r>
                    <w:rPr>
                      <w:rFonts w:hint="default" w:ascii="宋体" w:hAnsi="宋体" w:eastAsia="宋体" w:cs="宋体"/>
                      <w:b w:val="0"/>
                      <w:bCs w:val="0"/>
                      <w:spacing w:val="0"/>
                      <w:kern w:val="2"/>
                      <w:sz w:val="21"/>
                      <w:szCs w:val="21"/>
                      <w:lang w:val="en-US" w:eastAsia="zh-CN" w:bidi="ar-SA"/>
                    </w:rPr>
                    <w:t>芒市</w:t>
                  </w:r>
                  <w:r>
                    <w:rPr>
                      <w:rFonts w:hint="eastAsia" w:ascii="宋体" w:hAnsi="宋体" w:eastAsia="宋体" w:cs="宋体"/>
                      <w:color w:val="000000"/>
                      <w:kern w:val="0"/>
                      <w:sz w:val="21"/>
                      <w:szCs w:val="21"/>
                      <w:lang w:val="en-US" w:eastAsia="zh-CN" w:bidi="ar"/>
                    </w:rPr>
                    <w:t>江东乡、轩岗乡</w:t>
                  </w:r>
                  <w:r>
                    <w:rPr>
                      <w:rFonts w:hint="eastAsia" w:hAnsi="宋体" w:eastAsia="宋体" w:cs="宋体"/>
                      <w:color w:val="000000"/>
                      <w:kern w:val="0"/>
                      <w:sz w:val="21"/>
                      <w:szCs w:val="21"/>
                      <w:lang w:val="en-US" w:eastAsia="zh-CN" w:bidi="ar"/>
                    </w:rPr>
                    <w:t>。</w:t>
                  </w: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2"/>
                      <w:sz w:val="21"/>
                      <w:szCs w:val="21"/>
                      <w:lang w:val="en-US" w:eastAsia="zh-CN" w:bidi="ar-SA"/>
                    </w:rPr>
                    <w:t>布局符合当地相关产业布局的要求</w:t>
                  </w:r>
                  <w:r>
                    <w:rPr>
                      <w:rFonts w:hint="eastAsia" w:ascii="Times New Roman" w:hAnsi="Times New Roman" w:eastAsia="宋体" w:cs="Times New Roman"/>
                      <w:b w:val="0"/>
                      <w:bCs w:val="0"/>
                      <w:color w:val="auto"/>
                      <w:kern w:val="2"/>
                      <w:sz w:val="21"/>
                      <w:szCs w:val="21"/>
                      <w:lang w:val="en-US" w:eastAsia="zh-CN" w:bidi="ar-SA"/>
                    </w:rPr>
                    <w:t>。项目占地类型主要为园地、林地、其他农用地，</w:t>
                  </w:r>
                  <w:r>
                    <w:rPr>
                      <w:rFonts w:hint="eastAsia" w:ascii="Times New Roman" w:hAnsi="Times New Roman" w:eastAsia="宋体" w:cs="Times New Roman"/>
                      <w:color w:val="auto"/>
                      <w:kern w:val="0"/>
                      <w:sz w:val="21"/>
                      <w:szCs w:val="21"/>
                      <w:lang w:val="en-US" w:eastAsia="zh-CN"/>
                    </w:rPr>
                    <w:t>根据《芒市自然资源局关于商请协助开展芒市江东光伏发电项目资源核查工作的复函》</w:t>
                  </w:r>
                  <w:r>
                    <w:rPr>
                      <w:rFonts w:hint="eastAsia" w:ascii="Times New Roman" w:hAnsi="Times New Roman" w:eastAsia="宋体" w:cs="Times New Roman"/>
                      <w:color w:val="FF0000"/>
                      <w:kern w:val="0"/>
                      <w:sz w:val="21"/>
                      <w:szCs w:val="21"/>
                      <w:lang w:val="en-US" w:eastAsia="zh-CN"/>
                    </w:rPr>
                    <w:t>（见附件4）</w:t>
                  </w:r>
                  <w:r>
                    <w:rPr>
                      <w:rFonts w:hint="default" w:ascii="Times New Roman" w:hAnsi="Times New Roman" w:eastAsia="宋体" w:cs="Times New Roman"/>
                      <w:color w:val="auto"/>
                      <w:kern w:val="2"/>
                      <w:sz w:val="21"/>
                      <w:szCs w:val="21"/>
                      <w:lang w:val="en-US" w:eastAsia="zh-CN" w:bidi="ar-SA"/>
                    </w:rPr>
                    <w:t>；项目不占用永久基本农田和稳定耕地。</w:t>
                  </w:r>
                </w:p>
              </w:tc>
              <w:tc>
                <w:tcPr>
                  <w:tcW w:w="459" w:type="dxa"/>
                  <w:tcBorders>
                    <w:tl2br w:val="nil"/>
                    <w:tr2bl w:val="nil"/>
                  </w:tcBorders>
                  <w:vAlign w:val="center"/>
                </w:tcPr>
                <w:p w14:paraId="7C34854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1E0A23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7B008C31">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2A3B699F">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污染物排放管控</w:t>
                  </w:r>
                </w:p>
              </w:tc>
              <w:tc>
                <w:tcPr>
                  <w:tcW w:w="3280" w:type="dxa"/>
                  <w:tcBorders>
                    <w:tl2br w:val="nil"/>
                    <w:tr2bl w:val="nil"/>
                  </w:tcBorders>
                  <w:vAlign w:val="center"/>
                </w:tcPr>
                <w:p w14:paraId="3C38E05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1.落实生态环境保护基本要求，项目建设和运行应满足产业准入、总量控制、排放标准等管理规定。</w:t>
                  </w:r>
                </w:p>
                <w:p w14:paraId="6A5CF7B9">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2.现有工业企业应达标排放，逐步提升清洁生产水平，减少污染物排放量。</w:t>
                  </w:r>
                </w:p>
                <w:p w14:paraId="05763BB4">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3.加强农业面源污染治理，严格控制化肥农药施用量，合理水产养殖布局，控制水产养殖污染，逐步削减农业面源污染物排放量。</w:t>
                  </w:r>
                </w:p>
              </w:tc>
              <w:tc>
                <w:tcPr>
                  <w:tcW w:w="1775" w:type="dxa"/>
                  <w:tcBorders>
                    <w:tl2br w:val="nil"/>
                    <w:tr2bl w:val="nil"/>
                  </w:tcBorders>
                  <w:vAlign w:val="center"/>
                </w:tcPr>
                <w:p w14:paraId="39DA577E">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left"/>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项目运营期不设总量控制指标，无废气污染物排放，运营期废水经沉淀处理后回用不外排，不设废气废水排放标准。本</w:t>
                  </w:r>
                  <w:r>
                    <w:rPr>
                      <w:rFonts w:hint="default" w:ascii="Times New Roman" w:hAnsi="Times New Roman" w:eastAsia="宋体" w:cs="Times New Roman"/>
                      <w:color w:val="auto"/>
                      <w:kern w:val="0"/>
                      <w:sz w:val="21"/>
                      <w:szCs w:val="21"/>
                      <w:lang w:val="en-US" w:eastAsia="zh-CN"/>
                    </w:rPr>
                    <w:t>项目为光伏发电项目</w:t>
                  </w: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lang w:val="en-US" w:eastAsia="zh-CN"/>
                    </w:rPr>
                    <w:t>为清洁能源开发项目</w:t>
                  </w:r>
                  <w:r>
                    <w:rPr>
                      <w:rFonts w:hint="eastAsia" w:ascii="Times New Roman" w:hAnsi="Times New Roman" w:eastAsia="宋体" w:cs="Times New Roman"/>
                      <w:color w:val="auto"/>
                      <w:kern w:val="0"/>
                      <w:sz w:val="21"/>
                      <w:szCs w:val="21"/>
                      <w:lang w:val="en-US" w:eastAsia="zh-CN"/>
                    </w:rPr>
                    <w:t>。项目取得芒市发展和改革局固定资产投资项目备案证。项目施工期及运营期污染物排放量较少，对周围环境影响较小。项目不涉及农业面源染</w:t>
                  </w:r>
                  <w:r>
                    <w:rPr>
                      <w:rFonts w:hint="default" w:ascii="Times New Roman" w:hAnsi="Times New Roman" w:eastAsia="宋体" w:cs="Times New Roman"/>
                      <w:color w:val="auto"/>
                      <w:kern w:val="0"/>
                      <w:sz w:val="21"/>
                      <w:szCs w:val="21"/>
                      <w:lang w:val="en-US" w:eastAsia="zh-CN"/>
                    </w:rPr>
                    <w:t>。</w:t>
                  </w:r>
                </w:p>
              </w:tc>
              <w:tc>
                <w:tcPr>
                  <w:tcW w:w="459" w:type="dxa"/>
                  <w:tcBorders>
                    <w:tl2br w:val="nil"/>
                    <w:tr2bl w:val="nil"/>
                  </w:tcBorders>
                  <w:vAlign w:val="center"/>
                </w:tcPr>
                <w:p w14:paraId="051E35E5">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符合</w:t>
                  </w:r>
                </w:p>
              </w:tc>
            </w:tr>
            <w:tr w14:paraId="40717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47941CB5">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3A3B44AA">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环境风险防控</w:t>
                  </w:r>
                </w:p>
              </w:tc>
              <w:tc>
                <w:tcPr>
                  <w:tcW w:w="3280" w:type="dxa"/>
                  <w:tcBorders>
                    <w:tl2br w:val="nil"/>
                    <w:tr2bl w:val="nil"/>
                  </w:tcBorders>
                  <w:vAlign w:val="center"/>
                </w:tcPr>
                <w:p w14:paraId="12D9EE5E">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1.加强环境风险防范应急体系建设，加强环境应急预案管理，定期开展应急演练，持续开展环境安全隐患排查整治，提升应急监测能力，加强应急物资管理。</w:t>
                  </w:r>
                </w:p>
                <w:p w14:paraId="7172E5F2">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2.严格管控类农用地，不得在特定农产品禁止生产区域种植食用农产品。安全利用类农用地，应制定受污染耕地等安全利用方案，降低农产品超标风险。</w:t>
                  </w:r>
                </w:p>
              </w:tc>
              <w:tc>
                <w:tcPr>
                  <w:tcW w:w="1775" w:type="dxa"/>
                  <w:tcBorders>
                    <w:tl2br w:val="nil"/>
                    <w:tr2bl w:val="nil"/>
                  </w:tcBorders>
                  <w:vAlign w:val="center"/>
                </w:tcPr>
                <w:p w14:paraId="475E3093">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项目</w:t>
                  </w:r>
                  <w:r>
                    <w:rPr>
                      <w:rFonts w:hint="default" w:ascii="Times New Roman" w:hAnsi="Times New Roman" w:eastAsia="宋体" w:cs="Times New Roman"/>
                      <w:color w:val="auto"/>
                      <w:kern w:val="2"/>
                      <w:sz w:val="21"/>
                      <w:szCs w:val="21"/>
                      <w:lang w:val="en-US" w:eastAsia="zh-CN" w:bidi="ar-SA"/>
                    </w:rPr>
                    <w:t>需加强环境应急预案管理，</w:t>
                  </w:r>
                  <w:r>
                    <w:rPr>
                      <w:rFonts w:hint="default" w:ascii="Times New Roman" w:hAnsi="Times New Roman" w:cs="Times New Roman"/>
                      <w:sz w:val="21"/>
                      <w:szCs w:val="21"/>
                      <w:lang w:val="en-US" w:eastAsia="zh-CN"/>
                    </w:rPr>
                    <w:t>编制突发环境事件应急预案并报生态环境管理部门备案。按照应急预案储备应急物资、定期演练，加强管理，将风险降到最低</w:t>
                  </w:r>
                  <w:r>
                    <w:rPr>
                      <w:rFonts w:hint="default" w:ascii="Times New Roman" w:hAnsi="Times New Roman" w:eastAsia="宋体" w:cs="Times New Roman"/>
                      <w:color w:val="auto"/>
                      <w:kern w:val="2"/>
                      <w:sz w:val="21"/>
                      <w:szCs w:val="21"/>
                      <w:lang w:val="en-US" w:eastAsia="zh-CN" w:bidi="ar-SA"/>
                    </w:rPr>
                    <w:t>；且项目</w:t>
                  </w:r>
                  <w:r>
                    <w:rPr>
                      <w:rFonts w:hint="eastAsia" w:ascii="Times New Roman" w:hAnsi="Times New Roman" w:eastAsia="宋体" w:cs="Times New Roman"/>
                      <w:color w:val="auto"/>
                      <w:kern w:val="2"/>
                      <w:sz w:val="21"/>
                      <w:szCs w:val="21"/>
                      <w:lang w:val="en-US" w:eastAsia="zh-CN" w:bidi="ar-SA"/>
                    </w:rPr>
                    <w:t>不涉及</w:t>
                  </w:r>
                  <w:r>
                    <w:rPr>
                      <w:rFonts w:hint="default" w:ascii="Times New Roman" w:hAnsi="Times New Roman" w:eastAsia="宋体" w:cs="Times New Roman"/>
                      <w:color w:val="auto"/>
                      <w:kern w:val="2"/>
                      <w:sz w:val="21"/>
                      <w:szCs w:val="21"/>
                      <w:lang w:val="en-US" w:eastAsia="zh-CN" w:bidi="ar-SA"/>
                    </w:rPr>
                    <w:t>严格管控类农用地。</w:t>
                  </w:r>
                </w:p>
              </w:tc>
              <w:tc>
                <w:tcPr>
                  <w:tcW w:w="459" w:type="dxa"/>
                  <w:tcBorders>
                    <w:tl2br w:val="nil"/>
                    <w:tr2bl w:val="nil"/>
                  </w:tcBorders>
                  <w:vAlign w:val="center"/>
                </w:tcPr>
                <w:p w14:paraId="2E62806E">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r w14:paraId="298108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6" w:type="dxa"/>
                  <w:vMerge w:val="continue"/>
                  <w:tcBorders>
                    <w:tl2br w:val="nil"/>
                    <w:tr2bl w:val="nil"/>
                  </w:tcBorders>
                  <w:vAlign w:val="center"/>
                </w:tcPr>
                <w:p w14:paraId="7260826F">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p>
              </w:tc>
              <w:tc>
                <w:tcPr>
                  <w:tcW w:w="670" w:type="dxa"/>
                  <w:tcBorders>
                    <w:tl2br w:val="nil"/>
                    <w:tr2bl w:val="nil"/>
                  </w:tcBorders>
                  <w:vAlign w:val="center"/>
                </w:tcPr>
                <w:p w14:paraId="11B54F1E">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资源开发效率要求</w:t>
                  </w:r>
                </w:p>
              </w:tc>
              <w:tc>
                <w:tcPr>
                  <w:tcW w:w="3280" w:type="dxa"/>
                  <w:tcBorders>
                    <w:tl2br w:val="nil"/>
                    <w:tr2bl w:val="nil"/>
                  </w:tcBorders>
                  <w:vAlign w:val="center"/>
                </w:tcPr>
                <w:p w14:paraId="007EECF5">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1.优化能源结构，加强能源清洁利用。</w:t>
                  </w:r>
                </w:p>
                <w:p w14:paraId="2D86589C">
                  <w:pPr>
                    <w:keepNext w:val="0"/>
                    <w:keepLines w:val="0"/>
                    <w:pageBreakBefore w:val="0"/>
                    <w:widowControl/>
                    <w:suppressLineNumbers w:val="0"/>
                    <w:kinsoku/>
                    <w:wordWrap/>
                    <w:overflowPunct/>
                    <w:topLinePunct w:val="0"/>
                    <w:autoSpaceDE/>
                    <w:autoSpaceDN/>
                    <w:bidi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2.提高土地利用效率，节约集约利用土地资源。</w:t>
                  </w:r>
                </w:p>
              </w:tc>
              <w:tc>
                <w:tcPr>
                  <w:tcW w:w="1775" w:type="dxa"/>
                  <w:tcBorders>
                    <w:tl2br w:val="nil"/>
                    <w:tr2bl w:val="nil"/>
                  </w:tcBorders>
                  <w:vAlign w:val="center"/>
                </w:tcPr>
                <w:p w14:paraId="65CAAE04">
                  <w:pPr>
                    <w:spacing w:line="240" w:lineRule="auto"/>
                    <w:jc w:val="left"/>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sz w:val="21"/>
                      <w:szCs w:val="21"/>
                      <w:lang w:val="en-US" w:eastAsia="zh-CN"/>
                    </w:rPr>
                    <w:t>本项目为光伏发电项目，为清洁能源开发项目，项目选用光伏组件采用固定倾角式的3米高支架，有效减少了工程占地面积，减少地表扰动，减少水土流失；同时支架采用3米高支架，支架下空间充足，能够保证下层植物的正常生长，可有效提高土地利用效率。</w:t>
                  </w:r>
                </w:p>
              </w:tc>
              <w:tc>
                <w:tcPr>
                  <w:tcW w:w="459" w:type="dxa"/>
                  <w:tcBorders>
                    <w:tl2br w:val="nil"/>
                    <w:tr2bl w:val="nil"/>
                  </w:tcBorders>
                  <w:vAlign w:val="center"/>
                </w:tcPr>
                <w:p w14:paraId="222DFEA0">
                  <w:pPr>
                    <w:pStyle w:val="14"/>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符合</w:t>
                  </w:r>
                </w:p>
              </w:tc>
            </w:tr>
          </w:tbl>
          <w:p w14:paraId="26DB8E49">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color w:val="auto"/>
                <w:kern w:val="0"/>
                <w:sz w:val="24"/>
                <w:szCs w:val="24"/>
              </w:rPr>
              <w:t>综上，本项目建设符合</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德宏州</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三线一单</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生态环境分区管控实施方案》</w:t>
            </w:r>
            <w:r>
              <w:rPr>
                <w:rFonts w:hint="default" w:ascii="Times New Roman" w:hAnsi="Times New Roman" w:eastAsia="宋体" w:cs="Times New Roman"/>
                <w:color w:val="auto"/>
                <w:kern w:val="0"/>
                <w:sz w:val="24"/>
                <w:szCs w:val="24"/>
              </w:rPr>
              <w:t>中相关要求。</w:t>
            </w:r>
          </w:p>
          <w:p w14:paraId="6715E6ED">
            <w:pPr>
              <w:pStyle w:val="12"/>
              <w:ind w:left="0" w:leftChars="0"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5、与《云南省主体功能区规划》(云政发[2014]1号文)分析</w:t>
            </w:r>
          </w:p>
          <w:p w14:paraId="5E444946">
            <w:pPr>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sz w:val="24"/>
                <w:szCs w:val="24"/>
                <w:lang w:val="en-US" w:eastAsia="zh-CN"/>
              </w:rPr>
              <w:t>2014年1月6日云南省人民政府发布了《云南省人民政府关于印发云南省主体功能区规划的通知》(云政发(2014)1号)，云南省主体功能区划是根据不同区域的资源环境承载力、现有开发密度和未来发展潜力，划分主体功能区，逐步形成人口、经济、资源环境相协调的空间开发布局，云南省国土空间按开发方式分为重点开发区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限制</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开发区域和禁止开发区域3类主体功能区。其中禁止开发区包括自然保护区、世界遗产、风景名胜区、森林公园、地质公园、城市饮用水源保护区、湿地公园、水产种质资源保护区、牛栏江流域上游保护区水源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保护</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核心区等。</w:t>
            </w:r>
          </w:p>
          <w:p w14:paraId="006A3941">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本项目位于德宏州芒市</w:t>
            </w:r>
            <w:r>
              <w:rPr>
                <w:rFonts w:hint="eastAsia" w:ascii="宋体" w:hAnsi="宋体" w:eastAsia="宋体" w:cs="宋体"/>
                <w:color w:val="000000"/>
                <w:kern w:val="0"/>
                <w:sz w:val="24"/>
                <w:szCs w:val="24"/>
                <w:lang w:val="en-US" w:eastAsia="zh-CN" w:bidi="ar"/>
              </w:rPr>
              <w:t>江东乡、轩岗乡</w:t>
            </w:r>
            <w:r>
              <w:rPr>
                <w:rFonts w:hint="default" w:ascii="Times New Roman" w:hAnsi="Times New Roman" w:eastAsia="宋体" w:cs="Times New Roman"/>
                <w:color w:val="auto"/>
                <w:kern w:val="0"/>
                <w:szCs w:val="22"/>
                <w:lang w:val="en-US" w:eastAsia="zh-CN"/>
              </w:rPr>
              <w:t>，属于限制开发区-农产品主产区</w:t>
            </w:r>
            <w:r>
              <w:rPr>
                <w:rFonts w:hint="eastAsia" w:ascii="Times New Roman" w:hAnsi="Times New Roman" w:eastAsia="宋体" w:cs="Times New Roman"/>
                <w:color w:val="auto"/>
                <w:kern w:val="0"/>
                <w:szCs w:val="22"/>
                <w:lang w:val="en-US" w:eastAsia="zh-CN"/>
              </w:rPr>
              <w:t>，是以提供农产品、保障农产品供给安全为主体功能的区域。要以大理发展高原特色农业为重点，切实保护耕地，稳定粮食生产。要按照保护和恢复地力的要求设置产业准入环境标准。</w:t>
            </w:r>
            <w:r>
              <w:rPr>
                <w:rFonts w:hint="default" w:ascii="Times New Roman" w:hAnsi="Times New Roman" w:eastAsia="宋体" w:cs="Times New Roman"/>
                <w:sz w:val="24"/>
                <w:szCs w:val="24"/>
                <w:lang w:val="en-US" w:eastAsia="zh-CN"/>
              </w:rPr>
              <w:t>本工程不涉及自然保护区、风景名胜区、饮用水源保护区、森林公园、世界自然遗产地等环境敏感区，根据《芒市自然资源局关于商请协助开展芒市江东光伏发电项目资源核查工作的复函》（见附件4）；项目不占用永久基本农田和稳定耕地。</w:t>
            </w:r>
            <w:r>
              <w:rPr>
                <w:rFonts w:hint="eastAsia" w:ascii="Times New Roman" w:hAnsi="Times New Roman" w:eastAsia="宋体" w:cs="Times New Roman"/>
                <w:sz w:val="24"/>
                <w:szCs w:val="24"/>
                <w:lang w:val="en-US" w:eastAsia="zh-CN"/>
              </w:rPr>
              <w:t>不会对</w:t>
            </w:r>
            <w:r>
              <w:rPr>
                <w:rFonts w:hint="eastAsia" w:ascii="Times New Roman" w:hAnsi="Times New Roman" w:eastAsia="宋体" w:cs="Times New Roman"/>
                <w:color w:val="auto"/>
                <w:kern w:val="0"/>
                <w:szCs w:val="22"/>
                <w:lang w:val="en-US" w:eastAsia="zh-CN"/>
              </w:rPr>
              <w:t>粮食生产造成不利影响。</w:t>
            </w:r>
            <w:r>
              <w:rPr>
                <w:rFonts w:hint="default" w:ascii="Times New Roman" w:hAnsi="Times New Roman" w:eastAsia="宋体" w:cs="Times New Roman"/>
                <w:sz w:val="24"/>
                <w:szCs w:val="24"/>
                <w:lang w:val="en-US" w:eastAsia="zh-CN"/>
              </w:rPr>
              <w:t>本工程为开发太阳能发电项目，将改变区域能源结构，有利于增加可再生能源的比例和清洁能源比例，能减少区域应使用煤等污染燃料比例，</w:t>
            </w:r>
            <w:r>
              <w:rPr>
                <w:rFonts w:hint="eastAsia" w:ascii="Times New Roman" w:hAnsi="Times New Roman" w:eastAsia="宋体" w:cs="Times New Roman"/>
                <w:sz w:val="24"/>
                <w:szCs w:val="24"/>
                <w:lang w:val="en-US" w:eastAsia="zh-CN"/>
              </w:rPr>
              <w:t>具有明显的环境效益。</w:t>
            </w:r>
            <w:r>
              <w:rPr>
                <w:rFonts w:hint="default" w:ascii="Times New Roman" w:hAnsi="Times New Roman" w:eastAsia="宋体" w:cs="Times New Roman"/>
                <w:sz w:val="24"/>
                <w:szCs w:val="24"/>
                <w:lang w:val="en-US" w:eastAsia="zh-CN"/>
              </w:rPr>
              <w:t>因此项目与《云南省主体功能区规划》不冲突。</w:t>
            </w:r>
          </w:p>
          <w:p w14:paraId="04833A09">
            <w:pPr>
              <w:pStyle w:val="12"/>
              <w:spacing w:line="360" w:lineRule="auto"/>
              <w:ind w:left="1265" w:leftChars="0" w:hanging="1265" w:hangingChars="600"/>
            </w:pPr>
            <w:r>
              <w:rPr>
                <w:rFonts w:hint="eastAsia" w:ascii="宋体" w:hAnsi="宋体" w:eastAsia="宋体" w:cs="宋体"/>
                <w:b/>
                <w:bCs/>
                <w:color w:val="000000"/>
                <w:kern w:val="0"/>
                <w:sz w:val="21"/>
                <w:szCs w:val="21"/>
                <w:lang w:val="en-US" w:eastAsia="zh-CN" w:bidi="ar"/>
              </w:rPr>
              <w:drawing>
                <wp:inline distT="0" distB="0" distL="114300" distR="114300">
                  <wp:extent cx="4215130" cy="2959735"/>
                  <wp:effectExtent l="0" t="0" r="13970" b="12065"/>
                  <wp:docPr id="31" name="图片 31" descr="微信图片_2022121211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21212114240"/>
                          <pic:cNvPicPr>
                            <a:picLocks noChangeAspect="1"/>
                          </pic:cNvPicPr>
                        </pic:nvPicPr>
                        <pic:blipFill>
                          <a:blip r:embed="rId13"/>
                          <a:stretch>
                            <a:fillRect/>
                          </a:stretch>
                        </pic:blipFill>
                        <pic:spPr>
                          <a:xfrm>
                            <a:off x="0" y="0"/>
                            <a:ext cx="4215130" cy="2959735"/>
                          </a:xfrm>
                          <a:prstGeom prst="rect">
                            <a:avLst/>
                          </a:prstGeom>
                        </pic:spPr>
                      </pic:pic>
                    </a:graphicData>
                  </a:graphic>
                </wp:inline>
              </w:drawing>
            </w: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1-1</w:t>
            </w:r>
            <w:r>
              <w:rPr>
                <w:rFonts w:hint="eastAsia" w:ascii="宋体" w:hAnsi="宋体" w:eastAsia="宋体" w:cs="宋体"/>
                <w:b/>
                <w:bCs/>
                <w:color w:val="000000"/>
                <w:kern w:val="0"/>
                <w:sz w:val="21"/>
                <w:szCs w:val="21"/>
                <w:lang w:val="en-US" w:eastAsia="zh-CN" w:bidi="ar"/>
              </w:rPr>
              <w:t>项目与云南省主体功能区规划中的位置示意图</w:t>
            </w:r>
          </w:p>
          <w:p w14:paraId="46EC2B73">
            <w:pPr>
              <w:keepNext w:val="0"/>
              <w:keepLines w:val="0"/>
              <w:widowControl/>
              <w:suppressLineNumbers w:val="0"/>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6、与《云南省生态功能区划》分析</w:t>
            </w:r>
          </w:p>
          <w:p w14:paraId="2D0251E8">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根据《云南省生态功能区划》，云南省生态功能区共分一级区（生态区）</w:t>
            </w:r>
            <w:r>
              <w:rPr>
                <w:rFonts w:hint="default"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lang w:val="en-US" w:eastAsia="zh-CN"/>
              </w:rPr>
              <w:t>个，二级区（生态亚区）</w:t>
            </w:r>
            <w:r>
              <w:rPr>
                <w:rFonts w:hint="default" w:ascii="Times New Roman" w:hAnsi="Times New Roman" w:eastAsia="宋体" w:cs="Times New Roman"/>
                <w:sz w:val="24"/>
                <w:szCs w:val="24"/>
                <w:lang w:val="en-US" w:eastAsia="zh-CN"/>
              </w:rPr>
              <w:t>19</w:t>
            </w:r>
            <w:r>
              <w:rPr>
                <w:rFonts w:hint="eastAsia" w:ascii="Times New Roman" w:hAnsi="Times New Roman" w:eastAsia="宋体" w:cs="Times New Roman"/>
                <w:sz w:val="24"/>
                <w:szCs w:val="24"/>
                <w:lang w:val="en-US" w:eastAsia="zh-CN"/>
              </w:rPr>
              <w:t>个，三级区（生态功能区）</w:t>
            </w:r>
            <w:r>
              <w:rPr>
                <w:rFonts w:hint="default" w:ascii="Times New Roman" w:hAnsi="Times New Roman" w:eastAsia="宋体" w:cs="Times New Roman"/>
                <w:sz w:val="24"/>
                <w:szCs w:val="24"/>
                <w:lang w:val="en-US" w:eastAsia="zh-CN"/>
              </w:rPr>
              <w:t>65</w:t>
            </w:r>
            <w:r>
              <w:rPr>
                <w:rFonts w:hint="eastAsia" w:ascii="Times New Roman" w:hAnsi="Times New Roman" w:eastAsia="宋体" w:cs="Times New Roman"/>
                <w:sz w:val="24"/>
                <w:szCs w:val="24"/>
                <w:lang w:val="en-US" w:eastAsia="zh-CN"/>
              </w:rPr>
              <w:t xml:space="preserve">个。 </w:t>
            </w:r>
          </w:p>
          <w:p w14:paraId="016BF35A">
            <w:pPr>
              <w:topLinePunct/>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云南省生态功能区划》，本项目位于德宏州芒市，属于I季风热带北缘热带雨林生态区—I-3滇西南中山宽谷半常绿季雨林生态亚区—I-3-1大盈江、南畹河下游中山丘陵农业生态功能区，主要生态特征为中山丘陵地貌为主，年降水量1400-1700</w:t>
            </w:r>
            <w:r>
              <w:rPr>
                <w:rFonts w:hint="default" w:ascii="Times New Roman" w:hAnsi="Times New Roman" w:eastAsia="宋体" w:cs="Times New Roman"/>
                <w:color w:val="auto"/>
                <w:kern w:val="0"/>
                <w:sz w:val="24"/>
                <w:lang w:val="en-US" w:eastAsia="zh-CN"/>
              </w:rPr>
              <w:t>mm</w:t>
            </w:r>
            <w:r>
              <w:rPr>
                <w:rFonts w:hint="default" w:ascii="Times New Roman" w:hAnsi="Times New Roman" w:eastAsia="宋体" w:cs="Times New Roman"/>
                <w:color w:val="auto"/>
                <w:kern w:val="0"/>
                <w:sz w:val="24"/>
              </w:rPr>
              <w:t>，地带性植被类型为季风常绿阔叶林。地带性土壤类型为赤红壤、红壤，主要生态系统服务功能发展生态农业和以蔗糖为主热带作物、以澳洲坚果和柠檬为主的热带经济林。</w:t>
            </w:r>
          </w:p>
          <w:p w14:paraId="6E7D97B6">
            <w:pPr>
              <w:pStyle w:val="48"/>
              <w:ind w:firstLine="52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Cs w:val="22"/>
                <w:lang w:val="en-US" w:eastAsia="zh-CN"/>
              </w:rPr>
              <w:t>本项目为光伏电站的建设，</w:t>
            </w:r>
            <w:r>
              <w:rPr>
                <w:rFonts w:hint="eastAsia" w:ascii="Times New Roman" w:hAnsi="Times New Roman" w:eastAsia="宋体" w:cs="Times New Roman"/>
                <w:sz w:val="24"/>
                <w:szCs w:val="24"/>
                <w:lang w:val="en-US" w:eastAsia="zh-CN"/>
              </w:rPr>
              <w:t>本项目不涉及自然保护区、风景名胜区、饮用水源保护区、森林公园、世界自然遗产地等环境敏感区，不占用生态保护红线、生态公益林及基本农</w:t>
            </w:r>
            <w:r>
              <w:rPr>
                <w:rFonts w:hint="eastAsia" w:ascii="Times New Roman" w:hAnsi="Times New Roman" w:eastAsia="宋体" w:cs="Times New Roman"/>
                <w:color w:val="auto"/>
                <w:sz w:val="24"/>
                <w:szCs w:val="24"/>
                <w:lang w:val="en-US" w:eastAsia="zh-CN"/>
              </w:rPr>
              <w:t>田。项目建设占用的植被类型以</w:t>
            </w:r>
            <w:r>
              <w:rPr>
                <w:rFonts w:hint="eastAsia"/>
                <w:color w:val="auto"/>
                <w:lang w:eastAsia="zh-CN"/>
              </w:rPr>
              <w:t>茶树、果树</w:t>
            </w:r>
            <w:r>
              <w:rPr>
                <w:rFonts w:hint="eastAsia" w:ascii="Times New Roman" w:hAnsi="Times New Roman" w:eastAsia="宋体" w:cs="Times New Roman"/>
                <w:color w:val="auto"/>
                <w:sz w:val="24"/>
                <w:szCs w:val="24"/>
                <w:lang w:val="en-US" w:eastAsia="zh-CN"/>
              </w:rPr>
              <w:t>为主。项目所占用植被类型单一，群落结构简单，物种多样性较低</w:t>
            </w:r>
            <w:r>
              <w:rPr>
                <w:rFonts w:hint="eastAsia" w:ascii="Times New Roman" w:hAnsi="Times New Roman" w:eastAsia="宋体" w:cs="Times New Roman"/>
                <w:sz w:val="24"/>
                <w:szCs w:val="24"/>
                <w:lang w:val="en-US" w:eastAsia="zh-CN"/>
              </w:rPr>
              <w:t>，项目区不属于生物多样性富集区域，</w:t>
            </w:r>
            <w:r>
              <w:rPr>
                <w:rFonts w:hint="default" w:ascii="Times New Roman" w:hAnsi="Times New Roman" w:eastAsia="宋体" w:cs="Times New Roman"/>
                <w:color w:val="auto"/>
                <w:kern w:val="0"/>
                <w:szCs w:val="22"/>
                <w:lang w:val="en-US" w:eastAsia="zh-CN"/>
              </w:rPr>
              <w:t>光伏电站建设后将采取严格的水土保持措施和植被恢复措施，恢复周边植被，对于防止生态环境荒漠化是有益的</w:t>
            </w:r>
            <w:r>
              <w:rPr>
                <w:rFonts w:hint="eastAsia" w:ascii="Times New Roman" w:hAnsi="Times New Roman" w:eastAsia="宋体" w:cs="Times New Roman"/>
                <w:sz w:val="24"/>
                <w:szCs w:val="24"/>
                <w:lang w:val="en-US" w:eastAsia="zh-CN"/>
              </w:rPr>
              <w:t>，对区域的整体生态服务功能影响不大。项目符合《云南省生态功能区划》。</w:t>
            </w:r>
          </w:p>
          <w:p w14:paraId="1E8FCF01">
            <w:pPr>
              <w:pStyle w:val="12"/>
              <w:spacing w:line="360" w:lineRule="auto"/>
              <w:ind w:left="1265" w:leftChars="0" w:hanging="1265" w:hangingChars="600"/>
              <w:rPr>
                <w:rFonts w:hint="eastAsia" w:ascii="宋体" w:hAnsi="宋体" w:eastAsia="宋体" w:cs="宋体"/>
                <w:b/>
                <w:bCs/>
                <w:color w:val="000000"/>
                <w:kern w:val="0"/>
                <w:sz w:val="21"/>
                <w:szCs w:val="21"/>
                <w:lang w:val="en-US" w:eastAsia="zh-CN" w:bidi="ar"/>
              </w:rPr>
            </w:pPr>
            <w:r>
              <w:rPr>
                <w:rFonts w:hint="eastAsia" w:ascii="宋体" w:hAnsi="宋体" w:eastAsia="宋体" w:cs="宋体"/>
                <w:b/>
                <w:bCs/>
                <w:color w:val="000000"/>
                <w:kern w:val="0"/>
                <w:sz w:val="21"/>
                <w:szCs w:val="21"/>
                <w:lang w:val="en-US" w:eastAsia="zh-CN" w:bidi="ar"/>
              </w:rPr>
              <w:drawing>
                <wp:inline distT="0" distB="0" distL="114300" distR="114300">
                  <wp:extent cx="4143375" cy="2967990"/>
                  <wp:effectExtent l="0" t="0" r="9525" b="3810"/>
                  <wp:docPr id="32" name="图片 32" descr="18ef074d272a7b3c241f19516cb8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8ef074d272a7b3c241f19516cb894d"/>
                          <pic:cNvPicPr>
                            <a:picLocks noChangeAspect="1"/>
                          </pic:cNvPicPr>
                        </pic:nvPicPr>
                        <pic:blipFill>
                          <a:blip r:embed="rId14"/>
                          <a:stretch>
                            <a:fillRect/>
                          </a:stretch>
                        </pic:blipFill>
                        <pic:spPr>
                          <a:xfrm>
                            <a:off x="0" y="0"/>
                            <a:ext cx="4143375" cy="2967990"/>
                          </a:xfrm>
                          <a:prstGeom prst="rect">
                            <a:avLst/>
                          </a:prstGeom>
                        </pic:spPr>
                      </pic:pic>
                    </a:graphicData>
                  </a:graphic>
                </wp:inline>
              </w:drawing>
            </w:r>
          </w:p>
          <w:p w14:paraId="2F8E4BD2">
            <w:pPr>
              <w:pStyle w:val="12"/>
              <w:spacing w:line="360" w:lineRule="auto"/>
              <w:ind w:left="1265" w:leftChars="0" w:hanging="1265" w:hangingChars="600"/>
              <w:jc w:val="center"/>
              <w:rPr>
                <w:rFonts w:hint="default" w:ascii="Times New Roman" w:hAnsi="Times New Roman" w:eastAsia="宋体" w:cs="Times New Roman"/>
                <w:sz w:val="24"/>
                <w:szCs w:val="24"/>
                <w:lang w:val="en-US" w:eastAsia="zh-CN"/>
              </w:rPr>
            </w:pPr>
            <w:r>
              <w:rPr>
                <w:rFonts w:hint="eastAsia" w:ascii="宋体" w:hAnsi="宋体" w:eastAsia="宋体" w:cs="宋体"/>
                <w:b/>
                <w:bCs/>
                <w:color w:val="000000"/>
                <w:kern w:val="0"/>
                <w:sz w:val="21"/>
                <w:szCs w:val="21"/>
                <w:lang w:val="en-US" w:eastAsia="zh-CN" w:bidi="ar"/>
              </w:rPr>
              <w:t>图</w:t>
            </w:r>
            <w:r>
              <w:rPr>
                <w:rFonts w:hint="default" w:ascii="Times New Roman" w:hAnsi="Times New Roman" w:eastAsia="TimesNewRomanPS-BoldMT" w:cs="Times New Roman"/>
                <w:color w:val="000000"/>
                <w:kern w:val="0"/>
                <w:sz w:val="21"/>
                <w:szCs w:val="21"/>
                <w:lang w:val="en-US" w:eastAsia="zh-CN" w:bidi="ar"/>
              </w:rPr>
              <w:t>1-</w:t>
            </w:r>
            <w:r>
              <w:rPr>
                <w:rFonts w:hint="eastAsia" w:ascii="Times New Roman" w:hAnsi="Times New Roman" w:eastAsia="TimesNewRomanPS-BoldMT" w:cs="Times New Roman"/>
                <w:color w:val="000000"/>
                <w:kern w:val="0"/>
                <w:sz w:val="21"/>
                <w:szCs w:val="21"/>
                <w:lang w:val="en-US" w:eastAsia="zh-CN" w:bidi="ar"/>
              </w:rPr>
              <w:t>2</w:t>
            </w:r>
            <w:r>
              <w:rPr>
                <w:rFonts w:hint="eastAsia" w:ascii="宋体" w:hAnsi="宋体" w:eastAsia="宋体" w:cs="宋体"/>
                <w:b/>
                <w:bCs/>
                <w:color w:val="000000"/>
                <w:kern w:val="0"/>
                <w:sz w:val="21"/>
                <w:szCs w:val="21"/>
                <w:lang w:val="en-US" w:eastAsia="zh-CN" w:bidi="ar"/>
              </w:rPr>
              <w:t>项目与云南省生态功能区划中的位置示意图</w:t>
            </w:r>
          </w:p>
          <w:p w14:paraId="278E094E">
            <w:pPr>
              <w:keepNext w:val="0"/>
              <w:keepLines w:val="0"/>
              <w:widowControl/>
              <w:suppressLineNumbers w:val="0"/>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7、与《国家能源局关于支持光伏扶贫和规范光伏发电产业用地的意见》的符合性分析</w:t>
            </w:r>
          </w:p>
          <w:p w14:paraId="455E0E03">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根据《国家能源局关于支持光伏扶贫和规范光伏发电产业用地的意见》</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国土资规</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2017</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8号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各地应当依据国家光伏产业发展规划和本地区实际，加快编制本地区光伏发电规划，合理布局光伏发电建设项目。光伏发电规划应符合土地利用总体规划等相关规划，可以利用未利用地的，不得占用农用地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可以利用劣地的，不得占用好地。禁止以任何方式占用永久基本农田，严禁在国家相关法律法规和规划明确禁止的区域发展光伏发电项目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对使用永久基本农田以外的农用地开展光伏复合项目建设的，省级能源、国土资源</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主管部门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及</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同级有关部</w:t>
            </w:r>
            <w:r>
              <w:rPr>
                <w:rFonts w:hint="default" w:ascii="Times New Roman" w:hAnsi="Times New Roman" w:eastAsia="宋体" w:cs="Times New Roman"/>
                <w:sz w:val="24"/>
                <w:szCs w:val="24"/>
                <w:lang w:val="en-US" w:eastAsia="zh-CN"/>
              </w:rPr>
              <w:t>门，在保障农用地可持续利用的前提下，研究提出本地区光伏复合项目建设要求</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含光伏方阵架设高度</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、认定标准，并明确监管措施，避免对农业生产造成影响。其中对于使用永久基本农田以外的耕地布设光伏方阵的情形，应当从严提出要求，除桩基用地外，严禁硬化地面、破坏耕作层，严禁抛荒、撂荒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4A649863">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对于符合本地区光伏复合项目建设要求和认定标准的项目，变电站及运行管理中心、集电线路杆塔基础用地按建设用地管理，依法办理建设用地审批手续</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场内道路用地可按农村道路用地管理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利用农用地布设的光伏方阵可不改变原用地性质</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p>
          <w:p w14:paraId="2C0BBADF">
            <w:pPr>
              <w:pStyle w:val="48"/>
              <w:spacing w:line="360" w:lineRule="auto"/>
              <w:ind w:firstLine="520"/>
              <w:jc w:val="left"/>
              <w:rPr>
                <w:rFonts w:hint="default" w:ascii="宋体" w:hAnsi="宋体" w:eastAsia="宋体" w:cs="宋体"/>
                <w:b w:val="0"/>
                <w:bCs w:val="0"/>
                <w:spacing w:val="0"/>
                <w:kern w:val="2"/>
                <w:sz w:val="24"/>
                <w:szCs w:val="24"/>
                <w:lang w:val="en-US" w:eastAsia="zh-CN" w:bidi="ar-SA"/>
              </w:rPr>
            </w:pPr>
            <w:r>
              <w:rPr>
                <w:rFonts w:hint="eastAsia" w:ascii="Times New Roman" w:hAnsi="Times New Roman" w:eastAsia="宋体" w:cs="Times New Roman"/>
                <w:sz w:val="24"/>
                <w:szCs w:val="24"/>
                <w:lang w:val="en-US" w:eastAsia="zh-CN"/>
              </w:rPr>
              <w:t>符合性分析：根据</w:t>
            </w:r>
            <w:r>
              <w:rPr>
                <w:rFonts w:hint="eastAsia" w:ascii="宋体" w:hAnsi="宋体" w:eastAsia="宋体" w:cs="宋体"/>
                <w:b w:val="0"/>
                <w:bCs w:val="0"/>
                <w:spacing w:val="0"/>
                <w:kern w:val="2"/>
                <w:sz w:val="24"/>
                <w:szCs w:val="24"/>
                <w:lang w:val="en-US" w:eastAsia="zh-CN" w:bidi="ar-SA"/>
              </w:rPr>
              <w:t>《芒市自然资源局关于</w:t>
            </w:r>
            <w:r>
              <w:rPr>
                <w:rFonts w:hint="eastAsia" w:ascii="宋体" w:hAnsi="宋体" w:eastAsia="宋体" w:cs="宋体"/>
                <w:b w:val="0"/>
                <w:bCs w:val="0"/>
                <w:color w:val="auto"/>
                <w:spacing w:val="0"/>
                <w:kern w:val="2"/>
                <w:sz w:val="24"/>
                <w:szCs w:val="24"/>
                <w:lang w:val="en-US" w:eastAsia="zh-CN" w:bidi="ar-SA"/>
              </w:rPr>
              <w:t>商请协助开展芒市江东光伏发电项目资源核查工作的复函》（见附4）</w:t>
            </w:r>
            <w:r>
              <w:rPr>
                <w:rFonts w:hint="default" w:ascii="宋体" w:hAnsi="宋体" w:eastAsia="宋体" w:cs="宋体"/>
                <w:b w:val="0"/>
                <w:bCs w:val="0"/>
                <w:spacing w:val="0"/>
                <w:kern w:val="2"/>
                <w:sz w:val="24"/>
                <w:szCs w:val="24"/>
                <w:lang w:val="en-US" w:eastAsia="zh-CN" w:bidi="ar-SA"/>
              </w:rPr>
              <w:t>经核对芒市土地利用总体规划(2015-2020 年)，</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不占用永久基本农田和稳定耕地。经核对芒市生态保护红线(公开版和调整版)，该拟用地不占用芒市生态保护红线。</w:t>
            </w:r>
          </w:p>
          <w:p w14:paraId="09005F4C">
            <w:pPr>
              <w:spacing w:line="360" w:lineRule="auto"/>
              <w:ind w:firstLine="480"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占地</w:t>
            </w:r>
            <w:r>
              <w:rPr>
                <w:rFonts w:hint="eastAsia" w:ascii="宋体" w:hAnsi="宋体" w:eastAsia="宋体" w:cs="宋体"/>
                <w:b w:val="0"/>
                <w:bCs w:val="0"/>
                <w:spacing w:val="0"/>
                <w:kern w:val="2"/>
                <w:sz w:val="24"/>
                <w:szCs w:val="24"/>
                <w:lang w:val="en-US" w:eastAsia="zh-CN" w:bidi="ar-SA"/>
              </w:rPr>
              <w:t>类型主要为园地、林地、其他农用地。项目按照土地管理办法及相关政策项目已取得《建设项目用地预审与选址意见书》见附件5，根据《芒市人民政府关于认定芒市德天新能源有限公司光伏发电项目地类的批复》芒市人民政府同意将芒市德天新能源有限公司计划实施光伏发电项目在林业规划利用中的1958亩林地变更为非林地，不再纳入林地管理</w:t>
            </w:r>
            <w:r>
              <w:rPr>
                <w:rFonts w:hint="eastAsia" w:ascii="宋体" w:hAnsi="宋体" w:eastAsia="宋体" w:cs="宋体"/>
                <w:b w:val="0"/>
                <w:bCs w:val="0"/>
                <w:color w:val="auto"/>
                <w:spacing w:val="0"/>
                <w:kern w:val="2"/>
                <w:sz w:val="24"/>
                <w:szCs w:val="24"/>
                <w:lang w:val="en-US" w:eastAsia="zh-CN" w:bidi="ar-SA"/>
              </w:rPr>
              <w:t>（见附件3）。</w:t>
            </w:r>
            <w:r>
              <w:rPr>
                <w:rFonts w:hint="default" w:ascii="宋体" w:hAnsi="宋体" w:eastAsia="宋体" w:cs="宋体"/>
                <w:b w:val="0"/>
                <w:bCs w:val="0"/>
                <w:spacing w:val="0"/>
                <w:kern w:val="2"/>
                <w:sz w:val="24"/>
                <w:szCs w:val="24"/>
                <w:lang w:val="en-US" w:eastAsia="zh-CN" w:bidi="ar-SA"/>
              </w:rPr>
              <w:t>项目选用光伏组件采用固定倾角式的3米高支架，有效减少了工程占地面积，减少地表扰动，减少水土流失；同时支架采用3米高支架，支架下空间充足，能够保证下层植物的正常生长</w:t>
            </w:r>
            <w:r>
              <w:rPr>
                <w:rFonts w:hint="eastAsia" w:ascii="宋体" w:hAnsi="宋体" w:eastAsia="宋体" w:cs="宋体"/>
                <w:b w:val="0"/>
                <w:bCs w:val="0"/>
                <w:spacing w:val="0"/>
                <w:kern w:val="2"/>
                <w:sz w:val="24"/>
                <w:szCs w:val="24"/>
                <w:lang w:val="en-US" w:eastAsia="zh-CN" w:bidi="ar-SA"/>
              </w:rPr>
              <w:t>，项目</w:t>
            </w:r>
            <w:r>
              <w:rPr>
                <w:rFonts w:hint="default" w:ascii="宋体" w:hAnsi="宋体" w:eastAsia="宋体" w:cs="宋体"/>
                <w:b w:val="0"/>
                <w:bCs w:val="0"/>
                <w:spacing w:val="0"/>
                <w:kern w:val="2"/>
                <w:sz w:val="24"/>
                <w:szCs w:val="24"/>
                <w:lang w:val="en-US" w:eastAsia="zh-CN" w:bidi="ar-SA"/>
              </w:rPr>
              <w:t>用地</w:t>
            </w:r>
            <w:r>
              <w:rPr>
                <w:rFonts w:hint="eastAsia" w:ascii="宋体" w:hAnsi="宋体" w:eastAsia="宋体" w:cs="宋体"/>
                <w:b w:val="0"/>
                <w:bCs w:val="0"/>
                <w:spacing w:val="0"/>
                <w:kern w:val="2"/>
                <w:sz w:val="24"/>
                <w:szCs w:val="24"/>
                <w:lang w:val="en-US" w:eastAsia="zh-CN" w:bidi="ar-SA"/>
              </w:rPr>
              <w:t>满足《云南省能源局关于进一步支持光伏扶贫和规范光伏发电产业用地的通知》 (云自然资[2019]196号)的要求。且集电线路</w:t>
            </w:r>
            <w:r>
              <w:rPr>
                <w:rFonts w:hint="default" w:ascii="宋体" w:hAnsi="宋体" w:eastAsia="宋体" w:cs="宋体"/>
                <w:b w:val="0"/>
                <w:bCs w:val="0"/>
                <w:spacing w:val="0"/>
                <w:kern w:val="2"/>
                <w:sz w:val="24"/>
                <w:szCs w:val="24"/>
                <w:lang w:val="en-US" w:eastAsia="zh-CN" w:bidi="ar-SA"/>
              </w:rPr>
              <w:t>采用直埋</w:t>
            </w:r>
            <w:r>
              <w:rPr>
                <w:rFonts w:hint="eastAsia" w:ascii="宋体" w:hAnsi="宋体" w:eastAsia="宋体" w:cs="宋体"/>
                <w:b w:val="0"/>
                <w:bCs w:val="0"/>
                <w:spacing w:val="0"/>
                <w:kern w:val="2"/>
                <w:sz w:val="24"/>
                <w:szCs w:val="24"/>
                <w:lang w:val="en-US" w:eastAsia="zh-CN" w:bidi="ar-SA"/>
              </w:rPr>
              <w:t>及架空</w:t>
            </w:r>
            <w:r>
              <w:rPr>
                <w:rFonts w:hint="default" w:ascii="宋体" w:hAnsi="宋体" w:eastAsia="宋体" w:cs="宋体"/>
                <w:b w:val="0"/>
                <w:bCs w:val="0"/>
                <w:spacing w:val="0"/>
                <w:kern w:val="2"/>
                <w:sz w:val="24"/>
                <w:szCs w:val="24"/>
                <w:lang w:val="en-US" w:eastAsia="zh-CN" w:bidi="ar-SA"/>
              </w:rPr>
              <w:t>电缆方式敷设</w:t>
            </w:r>
            <w:r>
              <w:rPr>
                <w:rFonts w:hint="eastAsia" w:ascii="宋体" w:hAnsi="宋体" w:eastAsia="宋体" w:cs="宋体"/>
                <w:b w:val="0"/>
                <w:bCs w:val="0"/>
                <w:spacing w:val="0"/>
                <w:kern w:val="2"/>
                <w:sz w:val="24"/>
                <w:szCs w:val="24"/>
                <w:lang w:val="en-US" w:eastAsia="zh-CN" w:bidi="ar-SA"/>
              </w:rPr>
              <w:t>，因此，项目建设用地符合《国家能源局关于支持光伏扶贫和规范光伏发电产业用地的意见》的要求。</w:t>
            </w:r>
          </w:p>
          <w:p w14:paraId="7CC10EFD">
            <w:pPr>
              <w:spacing w:line="360" w:lineRule="auto"/>
              <w:ind w:firstLine="482" w:firstLineChars="200"/>
              <w:jc w:val="left"/>
              <w:rPr>
                <w:rFonts w:hint="eastAsia" w:ascii="Times New Roman" w:hAnsi="Times New Roman" w:eastAsia="宋体" w:cs="Times New Roman"/>
                <w:sz w:val="24"/>
                <w:szCs w:val="24"/>
                <w:lang w:val="en-US" w:eastAsia="zh-CN"/>
              </w:rPr>
            </w:pPr>
            <w:r>
              <w:rPr>
                <w:rFonts w:hint="eastAsia" w:ascii="宋体" w:hAnsi="宋体" w:eastAsia="宋体" w:cs="宋体"/>
                <w:b/>
                <w:bCs/>
                <w:kern w:val="2"/>
                <w:sz w:val="24"/>
                <w:szCs w:val="24"/>
                <w:lang w:val="en-US" w:eastAsia="zh-CN" w:bidi="ar-SA"/>
              </w:rPr>
              <w:t>8、与《云南省能源局关于进一步支持光伏扶贫和规范光伏发电产业用地的</w:t>
            </w:r>
            <w:r>
              <w:rPr>
                <w:rFonts w:hint="eastAsia" w:ascii="Times New Roman" w:hAnsi="Times New Roman" w:eastAsia="宋体" w:cs="Times New Roman"/>
                <w:b/>
                <w:bCs/>
                <w:sz w:val="24"/>
                <w:szCs w:val="24"/>
                <w:lang w:val="en-US" w:eastAsia="zh-CN"/>
              </w:rPr>
              <w:t>通知》的符合性</w:t>
            </w:r>
          </w:p>
          <w:p w14:paraId="6E1B4A05">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根据《云南省能源局关于进一步支持光伏扶贫和规范光伏发电产业用地的通知》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云自然资[2019]196号</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光伏复合项目指架设在一般耕地或其他农用地上的光伏方阵用地，满足光伏组件最低沿高于地面2.5m、高于最高水位0.6m</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桩基间列间距大于4m、行间距大于6.5m的架设要求，不破坏农业生产条件的可不改变原用地性质，除桩基用地外，严禁硬化地面、破坏耕作层，严禁抛荒、撂荒。采用直埋电缆方式敷设的集电线路用地，实行与项目光伏方阵用地同样的管理方式，场内道路可按农村道路用地管理。变电站、运行管理中心、集电线路杆塔基础等其他设施用地按建设用地管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4A3B1221">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宋体" w:hAnsi="宋体" w:eastAsia="宋体" w:cs="宋体"/>
                <w:b w:val="0"/>
                <w:bCs w:val="0"/>
                <w:sz w:val="24"/>
                <w:szCs w:val="24"/>
                <w:lang w:val="en-US" w:eastAsia="zh-CN"/>
              </w:rPr>
              <w:t>符合性分析</w:t>
            </w:r>
            <w:r>
              <w:rPr>
                <w:rFonts w:hint="eastAsia" w:ascii="宋体" w:hAnsi="宋体" w:eastAsia="宋体" w:cs="宋体"/>
                <w:b w:val="0"/>
                <w:bCs w:val="0"/>
                <w:sz w:val="24"/>
                <w:szCs w:val="24"/>
                <w:lang w:val="en-US" w:eastAsia="zh-CN"/>
              </w:rPr>
              <w:t>：</w:t>
            </w:r>
            <w:r>
              <w:rPr>
                <w:rFonts w:hint="default" w:ascii="宋体" w:hAnsi="宋体" w:eastAsia="宋体" w:cs="宋体"/>
                <w:b w:val="0"/>
                <w:bCs w:val="0"/>
                <w:sz w:val="24"/>
                <w:szCs w:val="24"/>
                <w:lang w:val="en-US" w:eastAsia="zh-CN"/>
              </w:rPr>
              <w:t>本项为光伏</w:t>
            </w:r>
            <w:r>
              <w:rPr>
                <w:rFonts w:hint="default" w:ascii="Times New Roman" w:hAnsi="Times New Roman" w:eastAsia="宋体" w:cs="Times New Roman"/>
                <w:sz w:val="24"/>
                <w:szCs w:val="24"/>
                <w:lang w:val="en-US" w:eastAsia="zh-CN"/>
              </w:rPr>
              <w:t>复合项目，由于占地区不涉及</w:t>
            </w:r>
            <w:r>
              <w:rPr>
                <w:rFonts w:hint="eastAsia" w:ascii="Times New Roman" w:hAnsi="Times New Roman" w:eastAsia="宋体" w:cs="Times New Roman"/>
                <w:sz w:val="24"/>
                <w:szCs w:val="24"/>
                <w:lang w:val="en-US" w:eastAsia="zh-CN"/>
              </w:rPr>
              <w:t>基本农田，项目</w:t>
            </w:r>
            <w:r>
              <w:rPr>
                <w:rFonts w:hint="default" w:ascii="Times New Roman" w:hAnsi="Times New Roman" w:eastAsia="宋体" w:cs="Times New Roman"/>
                <w:sz w:val="24"/>
                <w:szCs w:val="24"/>
                <w:lang w:val="en-US" w:eastAsia="zh-CN"/>
              </w:rPr>
              <w:t>占地</w:t>
            </w:r>
            <w:r>
              <w:rPr>
                <w:rFonts w:hint="eastAsia" w:ascii="Times New Roman" w:hAnsi="Times New Roman" w:eastAsia="宋体" w:cs="Times New Roman"/>
                <w:sz w:val="24"/>
                <w:szCs w:val="24"/>
                <w:lang w:val="en-US" w:eastAsia="zh-CN"/>
              </w:rPr>
              <w:t>类型主要为园地、林地、其他农用地</w:t>
            </w:r>
            <w:r>
              <w:rPr>
                <w:rFonts w:hint="default" w:ascii="Times New Roman" w:hAnsi="Times New Roman" w:eastAsia="宋体" w:cs="Times New Roman"/>
                <w:sz w:val="24"/>
                <w:szCs w:val="24"/>
                <w:lang w:val="en-US" w:eastAsia="zh-CN"/>
              </w:rPr>
              <w:t>，结合《云南省林业和草原局云南省能源局关于进一步规范光伏复合项目使用林草地有关事项的通知》(云林规(2021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b w:val="0"/>
                <w:bCs w:val="0"/>
                <w:sz w:val="24"/>
                <w:szCs w:val="24"/>
                <w:lang w:val="en-US" w:eastAsia="zh-CN"/>
              </w:rPr>
              <w:t>号</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的要求</w:t>
            </w:r>
            <w:r>
              <w:rPr>
                <w:rFonts w:hint="eastAsia" w:ascii="Times New Roman" w:hAnsi="Times New Roman" w:eastAsia="宋体" w:cs="Times New Roman"/>
                <w:b w:val="0"/>
                <w:bCs w:val="0"/>
                <w:sz w:val="24"/>
                <w:szCs w:val="24"/>
                <w:lang w:val="en-US" w:eastAsia="zh-CN"/>
              </w:rPr>
              <w:t>：“</w:t>
            </w:r>
            <w:r>
              <w:rPr>
                <w:rFonts w:hint="default" w:ascii="Times New Roman" w:hAnsi="Times New Roman" w:eastAsia="宋体" w:cs="Times New Roman"/>
                <w:b w:val="0"/>
                <w:bCs w:val="0"/>
                <w:sz w:val="24"/>
                <w:szCs w:val="24"/>
                <w:lang w:val="en-US" w:eastAsia="zh-CN"/>
              </w:rPr>
              <w:t>光伏复合项目在满足正常运营的同时，须保证电池组件阵列下方不得改变林草地用途，不得裸露地表、硬化或作其他用途，运营期电池组件阵列下方原有植被盖度达到30%以上，且具备自然恢复条件的，以自然恢复植被为主，不采取开挖补种、更替树种、除草等人工干预措施；原有植被盖度达到20%以上30%以下，且具备自然恢复条件的，采取补植补种修复植被；原有植被盖度低于20%的，采取</w:t>
            </w:r>
            <w:r>
              <w:rPr>
                <w:rFonts w:hint="default" w:ascii="Times New Roman" w:hAnsi="Times New Roman" w:eastAsia="宋体" w:cs="Times New Roman"/>
                <w:sz w:val="24"/>
                <w:szCs w:val="24"/>
                <w:lang w:val="en-US" w:eastAsia="zh-CN"/>
              </w:rPr>
              <w:t>人工种草等措施改良植被及土壤条件，防止水土流失和土壤侵蚀</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w:t>
            </w:r>
          </w:p>
          <w:p w14:paraId="76DC6043">
            <w:pPr>
              <w:spacing w:line="360" w:lineRule="auto"/>
              <w:ind w:firstLine="480" w:firstLineChars="200"/>
              <w:jc w:val="left"/>
              <w:rPr>
                <w:rFonts w:hint="default" w:ascii="Times New Roman" w:hAnsi="Times New Roman" w:cs="Times New Roman"/>
                <w:b/>
                <w:bCs/>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项目光伏区</w:t>
            </w:r>
            <w:r>
              <w:rPr>
                <w:rFonts w:hint="default" w:ascii="Times New Roman" w:hAnsi="Times New Roman" w:eastAsia="宋体" w:cs="Times New Roman"/>
                <w:sz w:val="24"/>
                <w:szCs w:val="24"/>
                <w:lang w:val="en-US" w:eastAsia="zh-CN"/>
              </w:rPr>
              <w:t>不改变原用地性质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。根据云林规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sz w:val="24"/>
                <w:szCs w:val="24"/>
                <w:lang w:val="en-US" w:eastAsia="zh-CN"/>
              </w:rPr>
              <w:t>2021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5号要求，本项目在光伏板占地原有植被盖度低于20%的区域，采取人工种草等措施改良植被及土壤条件，防止水土流失和土壤侵蚀。根据本项目可研报告，</w:t>
            </w:r>
            <w:r>
              <w:rPr>
                <w:rFonts w:hint="default" w:ascii="Times New Roman" w:hAnsi="Times New Roman" w:eastAsia="宋体" w:cs="Times New Roman"/>
                <w:b w:val="0"/>
                <w:bCs w:val="0"/>
                <w:spacing w:val="0"/>
                <w:kern w:val="2"/>
                <w:sz w:val="24"/>
                <w:szCs w:val="24"/>
                <w:lang w:val="en-US" w:eastAsia="zh-CN" w:bidi="ar-SA"/>
              </w:rPr>
              <w:t>项目选用光伏组件采用固定倾角式的3米高支架，有效减少了工程占地面积，减少地表扰动，减少</w:t>
            </w:r>
            <w:r>
              <w:rPr>
                <w:rFonts w:hint="default" w:ascii="宋体" w:hAnsi="宋体" w:eastAsia="宋体" w:cs="宋体"/>
                <w:b w:val="0"/>
                <w:bCs w:val="0"/>
                <w:spacing w:val="0"/>
                <w:kern w:val="2"/>
                <w:sz w:val="24"/>
                <w:szCs w:val="24"/>
                <w:lang w:val="en-US" w:eastAsia="zh-CN" w:bidi="ar-SA"/>
              </w:rPr>
              <w:t>水土流失；同时支架采用3米高支架，支架下空间充足，能够保证下层植物的正常生长</w:t>
            </w:r>
            <w:r>
              <w:rPr>
                <w:rFonts w:hint="default" w:ascii="Times New Roman" w:hAnsi="Times New Roman" w:eastAsia="宋体" w:cs="Times New Roman"/>
                <w:sz w:val="24"/>
                <w:szCs w:val="24"/>
                <w:lang w:val="en-US" w:eastAsia="zh-CN"/>
              </w:rPr>
              <w:t>。项目实施后光伏板区除桩基用地外，其他地面均不硬化、不破坏耕作层，不</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抛荒、撂荒，</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sz w:val="24"/>
                <w:szCs w:val="24"/>
                <w:lang w:val="en-US" w:eastAsia="zh-CN"/>
              </w:rPr>
              <w:t>采用直埋电缆方式敷设的集电线路用地，实行与项目光伏方阵用地同样的管理方式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项目建成后升压站用地变为建设用地严格按照《光伏发电站工程项目用地控制指标》要求控制，</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升压站用地已取得</w:t>
            </w:r>
            <w:r>
              <w:rPr>
                <w:rFonts w:hint="eastAsia" w:ascii="宋体" w:hAnsi="宋体" w:eastAsia="宋体" w:cs="宋体"/>
                <w:b w:val="0"/>
                <w:bCs w:val="0"/>
                <w:spacing w:val="0"/>
                <w:kern w:val="2"/>
                <w:sz w:val="24"/>
                <w:szCs w:val="24"/>
                <w:lang w:val="en-US" w:eastAsia="zh-CN" w:bidi="ar-SA"/>
              </w:rPr>
              <w:t>《建设项目用地预审与选址意见书》见附件5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，符合通知要求。</w:t>
            </w:r>
          </w:p>
          <w:p w14:paraId="5168FE18">
            <w:p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9、其它使用林地的规定符合性分析</w:t>
            </w:r>
          </w:p>
          <w:p w14:paraId="27BC28DA">
            <w:pPr>
              <w:spacing w:line="360" w:lineRule="auto"/>
              <w:ind w:firstLine="482"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sz w:val="24"/>
                <w:szCs w:val="24"/>
                <w:lang w:val="en-US" w:eastAsia="zh-CN"/>
              </w:rPr>
              <w:t>（1）与《国家林业局关于光伏电站建设使用林地有关问题的通知》（林资发（2015）153号）的符合性分析</w:t>
            </w:r>
          </w:p>
          <w:p w14:paraId="20403E3E">
            <w:pPr>
              <w:spacing w:line="360" w:lineRule="auto"/>
              <w:ind w:firstLine="480" w:firstLineChars="200"/>
              <w:jc w:val="left"/>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根据《国家林业局关于光伏电站建设使用林地有关问题的通知》（林资发（2015）153号），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光伏电站建设禁止占用自然保护区、国家公园、湿地、森林公园、濒危物种栖息地、天然林保护工程区等环境敏感区域的林地建设光伏电站。光伏电站的电池组件阵列禁止使用有林地、疏林地、未成林造林地、采伐迹地、火烧迹地，以及年降雨量400毫米以下区域覆盖度高于30%的灌木林地和年降雨量400毫米以上区域覆盖度高于50%的灌木林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338E5CE5">
            <w:pPr>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符合性分析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本项目光伏组件建设</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选址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全部避开自然保护区、国家公园、湿地、森林公园、濒危物种栖息地、天然林保护工程区</w:t>
            </w:r>
            <w:r>
              <w:rPr>
                <w:rFonts w:hint="eastAsia" w:ascii="宋体" w:hAnsi="宋体" w:eastAsia="宋体" w:cs="宋体"/>
                <w:b w:val="0"/>
                <w:bCs w:val="0"/>
                <w:spacing w:val="0"/>
                <w:kern w:val="2"/>
                <w:sz w:val="24"/>
                <w:szCs w:val="24"/>
                <w:lang w:val="en-US" w:eastAsia="zh-CN" w:bidi="ar-SA"/>
              </w:rPr>
              <w:t>。根据《芒</w:t>
            </w:r>
            <w:r>
              <w:rPr>
                <w:rFonts w:hint="eastAsia" w:ascii="宋体" w:hAnsi="宋体" w:eastAsia="宋体" w:cs="宋体"/>
                <w:b w:val="0"/>
                <w:bCs w:val="0"/>
                <w:color w:val="auto"/>
                <w:spacing w:val="0"/>
                <w:kern w:val="2"/>
                <w:sz w:val="24"/>
                <w:szCs w:val="24"/>
                <w:lang w:val="en-US" w:eastAsia="zh-CN" w:bidi="ar-SA"/>
              </w:rPr>
              <w:t>市自然资源局关于商请协助开展芒市江东光伏发电项目资源核查工作的复函》（见附件4），项目主要占用</w:t>
            </w:r>
            <w:r>
              <w:rPr>
                <w:rFonts w:hint="eastAsia" w:ascii="Times New Roman" w:hAnsi="Times New Roman" w:eastAsia="宋体" w:cs="Times New Roman"/>
                <w:color w:val="auto"/>
                <w:sz w:val="24"/>
                <w:szCs w:val="24"/>
                <w:lang w:val="en-US" w:eastAsia="zh-CN"/>
              </w:rPr>
              <w:t>园地、林地、其他农用地</w:t>
            </w:r>
            <w:r>
              <w:rPr>
                <w:rFonts w:hint="eastAsia" w:ascii="宋体" w:hAnsi="宋体" w:eastAsia="宋体" w:cs="宋体"/>
                <w:b w:val="0"/>
                <w:bCs w:val="0"/>
                <w:color w:val="auto"/>
                <w:spacing w:val="0"/>
                <w:kern w:val="2"/>
                <w:sz w:val="24"/>
                <w:szCs w:val="24"/>
                <w:lang w:val="en-US" w:eastAsia="zh-CN" w:bidi="ar-SA"/>
              </w:rPr>
              <w:t>，根据《芒市人民政府关于认定芒市德天新能源有限公司光伏发电项目地类的批复》项目用地不纳入林地管理（见附件3）。项目光伏阵列用地不纳入林地管理，项目不涉及占用</w:t>
            </w:r>
            <w:r>
              <w:rPr>
                <w:rFonts w:hint="default" w:ascii="宋体" w:hAnsi="宋体" w:eastAsia="宋体" w:cs="宋体"/>
                <w:b w:val="0"/>
                <w:bCs w:val="0"/>
                <w:color w:val="auto"/>
                <w:spacing w:val="0"/>
                <w:kern w:val="2"/>
                <w:sz w:val="24"/>
                <w:szCs w:val="24"/>
                <w:lang w:val="en-US" w:eastAsia="zh-CN" w:bidi="ar-SA"/>
              </w:rPr>
              <w:t>有林地、疏林地、未成林造林地、采伐</w:t>
            </w:r>
            <w:r>
              <w:rPr>
                <w:rFonts w:hint="default" w:ascii="Times New Roman" w:hAnsi="Times New Roman" w:eastAsia="宋体" w:cs="Times New Roman"/>
                <w:color w:val="auto"/>
                <w:sz w:val="24"/>
                <w:szCs w:val="24"/>
                <w:lang w:val="en-US" w:eastAsia="zh-CN"/>
              </w:rPr>
              <w:t>迹地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、火烧迹地。根据调查</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芒市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年平均降水量为</w:t>
            </w:r>
            <w:r>
              <w:rPr>
                <w:rFonts w:hint="default" w:ascii="Times New Roman" w:hAnsi="Times New Roman" w:eastAsia="宋体" w:cs="Times New Roman"/>
                <w:i w:val="0"/>
                <w:iCs w:val="0"/>
                <w:caps w:val="0"/>
                <w:color w:val="333333"/>
                <w:spacing w:val="0"/>
                <w:sz w:val="24"/>
                <w:szCs w:val="24"/>
                <w:shd w:val="clear" w:fill="FFFFFF"/>
              </w:rPr>
              <w:t>1300</w:t>
            </w:r>
            <w:r>
              <w:rPr>
                <w:rFonts w:hint="default" w:ascii="Times New Roman" w:hAnsi="Times New Roman" w:eastAsia="宋体" w:cs="Times New Roman"/>
                <w:i w:val="0"/>
                <w:iCs w:val="0"/>
                <w:caps w:val="0"/>
                <w:color w:val="333333"/>
                <w:spacing w:val="0"/>
                <w:sz w:val="24"/>
                <w:szCs w:val="24"/>
                <w:shd w:val="clear" w:fill="FFFFFF"/>
                <w:lang w:val="en-US" w:eastAsia="zh-CN"/>
              </w:rPr>
              <w:t>-</w:t>
            </w:r>
            <w:r>
              <w:rPr>
                <w:rFonts w:hint="default" w:ascii="Times New Roman" w:hAnsi="Times New Roman" w:eastAsia="宋体" w:cs="Times New Roman"/>
                <w:i w:val="0"/>
                <w:iCs w:val="0"/>
                <w:caps w:val="0"/>
                <w:color w:val="333333"/>
                <w:spacing w:val="0"/>
                <w:sz w:val="24"/>
                <w:szCs w:val="24"/>
                <w:shd w:val="clear" w:fill="FFFFFF"/>
              </w:rPr>
              <w:t>1653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mm，项目占地区灌木林地覆盖度低于50%，选址涉及林地为可供地。因此，项目建设满足使用林</w:t>
            </w:r>
            <w:r>
              <w:rPr>
                <w:rFonts w:hint="default" w:ascii="Times New Roman" w:hAnsi="Times New Roman" w:eastAsia="宋体" w:cs="Times New Roman"/>
                <w:sz w:val="24"/>
                <w:szCs w:val="24"/>
                <w:lang w:val="en-US" w:eastAsia="zh-CN"/>
              </w:rPr>
              <w:t>地的相关要求。</w:t>
            </w:r>
          </w:p>
          <w:p w14:paraId="001D2977">
            <w:pPr>
              <w:numPr>
                <w:ilvl w:val="0"/>
                <w:numId w:val="3"/>
              </w:numPr>
              <w:spacing w:line="360" w:lineRule="auto"/>
              <w:ind w:firstLine="482" w:firstLineChars="200"/>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与《云南省林业和草原局云南省能源局关于进一步规范光伏复合项目使用林草地有关事项的通知》 （云林规（2021）5号）的符合性分析</w:t>
            </w:r>
          </w:p>
          <w:p w14:paraId="681595B1">
            <w:pPr>
              <w:numPr>
                <w:ilvl w:val="0"/>
                <w:numId w:val="0"/>
              </w:numPr>
              <w:spacing w:line="360" w:lineRule="auto"/>
              <w:ind w:firstLine="480" w:firstLineChars="200"/>
              <w:jc w:val="left"/>
              <w:rPr>
                <w:rFonts w:hint="default"/>
                <w:lang w:val="en-US" w:eastAsia="zh-CN"/>
              </w:rPr>
            </w:pPr>
            <w:r>
              <w:rPr>
                <w:rFonts w:hint="default" w:ascii="Times New Roman" w:hAnsi="Times New Roman" w:cs="Times New Roman"/>
                <w:lang w:val="en-US" w:eastAsia="zh-CN"/>
              </w:rPr>
              <w:t>项目与云林规(2021) 5号通知的符合性分析见下表</w:t>
            </w:r>
            <w:r>
              <w:rPr>
                <w:rFonts w:hint="default"/>
                <w:lang w:val="en-US" w:eastAsia="zh-CN"/>
              </w:rPr>
              <w:t>。</w:t>
            </w:r>
          </w:p>
          <w:p w14:paraId="067A3C92">
            <w:pPr>
              <w:jc w:val="center"/>
              <w:rPr>
                <w:rFonts w:hint="default"/>
                <w:vertAlign w:val="baseline"/>
                <w:lang w:val="en-US" w:eastAsia="zh-CN"/>
              </w:rPr>
            </w:pPr>
            <w:r>
              <w:rPr>
                <w:rFonts w:hint="default" w:ascii="Times New Roman" w:hAnsi="Times New Roman" w:cs="Times New Roman"/>
                <w:b/>
                <w:bCs/>
                <w:sz w:val="21"/>
                <w:szCs w:val="21"/>
                <w:lang w:val="en-US" w:eastAsia="zh-CN"/>
              </w:rPr>
              <w:t>表1-</w:t>
            </w: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项目与“云林规(2021) 5号”的符合性分析</w:t>
            </w:r>
          </w:p>
          <w:tbl>
            <w:tblPr>
              <w:tblStyle w:val="22"/>
              <w:tblW w:w="64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4"/>
              <w:gridCol w:w="2553"/>
              <w:gridCol w:w="2343"/>
              <w:gridCol w:w="809"/>
            </w:tblGrid>
            <w:tr w14:paraId="4B140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325BFC62">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类别</w:t>
                  </w:r>
                </w:p>
              </w:tc>
              <w:tc>
                <w:tcPr>
                  <w:tcW w:w="2553" w:type="dxa"/>
                  <w:tcBorders>
                    <w:tl2br w:val="nil"/>
                    <w:tr2bl w:val="nil"/>
                  </w:tcBorders>
                  <w:vAlign w:val="center"/>
                </w:tcPr>
                <w:p w14:paraId="30126451">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云林规(2021) 5号要求</w:t>
                  </w:r>
                </w:p>
              </w:tc>
              <w:tc>
                <w:tcPr>
                  <w:tcW w:w="2343" w:type="dxa"/>
                  <w:tcBorders>
                    <w:tl2br w:val="nil"/>
                    <w:tr2bl w:val="nil"/>
                  </w:tcBorders>
                  <w:vAlign w:val="center"/>
                </w:tcPr>
                <w:p w14:paraId="48952AE8">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项目情况</w:t>
                  </w:r>
                </w:p>
              </w:tc>
              <w:tc>
                <w:tcPr>
                  <w:tcW w:w="809" w:type="dxa"/>
                  <w:tcBorders>
                    <w:tl2br w:val="nil"/>
                    <w:tr2bl w:val="nil"/>
                  </w:tcBorders>
                  <w:vAlign w:val="center"/>
                </w:tcPr>
                <w:p w14:paraId="716ECC51">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符合性</w:t>
                  </w:r>
                </w:p>
              </w:tc>
            </w:tr>
            <w:tr w14:paraId="11C00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4F85CDE7">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选址要求</w:t>
                  </w:r>
                </w:p>
              </w:tc>
              <w:tc>
                <w:tcPr>
                  <w:tcW w:w="2553" w:type="dxa"/>
                  <w:tcBorders>
                    <w:tl2br w:val="nil"/>
                    <w:tr2bl w:val="nil"/>
                  </w:tcBorders>
                  <w:vAlign w:val="center"/>
                </w:tcPr>
                <w:p w14:paraId="1E3FD077">
                  <w:pPr>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禁止在国家公园、自然保护区、森林公园、风景名胜区、草原公园等各类自然保护地，世界自然遗产地，野生动物重要栖息地，珍稀濒危和极小种群野生植物重要原生境，天然林保护重点区域、基本草原以及生态保护红线内建设。</w:t>
                  </w:r>
                </w:p>
              </w:tc>
              <w:tc>
                <w:tcPr>
                  <w:tcW w:w="2343" w:type="dxa"/>
                  <w:tcBorders>
                    <w:tl2br w:val="nil"/>
                    <w:tr2bl w:val="nil"/>
                  </w:tcBorders>
                  <w:vAlign w:val="center"/>
                </w:tcPr>
                <w:p w14:paraId="10C1335A">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根据项目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在芒市自然资源局、德宏州生态环境局芒市分局、芒市人民政府水利局、芒市文化和旅游局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选址</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查询</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意见，项目不涉及国家公园、自然保护区、森林公园、风景名胜区、草原公园、自然保护地、世界自然遗产地、野生动物重要栖息地、珍稀濒危和极小种群野生植物重要原生境、天然林保护重点区域、基本草原以及生态保护红线。</w:t>
                  </w:r>
                </w:p>
              </w:tc>
              <w:tc>
                <w:tcPr>
                  <w:tcW w:w="809" w:type="dxa"/>
                  <w:tcBorders>
                    <w:tl2br w:val="nil"/>
                    <w:tr2bl w:val="nil"/>
                  </w:tcBorders>
                  <w:vAlign w:val="center"/>
                </w:tcPr>
                <w:p w14:paraId="7D6ABED1">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62EA4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2D58EC97">
                  <w:pPr>
                    <w:spacing w:line="240" w:lineRule="auto"/>
                    <w:jc w:val="center"/>
                    <w:rPr>
                      <w:rFonts w:hint="default" w:ascii="Times New Roman" w:hAnsi="Times New Roman" w:cs="Times New Roman"/>
                      <w:sz w:val="21"/>
                      <w:szCs w:val="21"/>
                      <w:vertAlign w:val="baseline"/>
                      <w:lang w:val="en-US" w:eastAsia="zh-CN"/>
                    </w:rPr>
                  </w:pPr>
                </w:p>
              </w:tc>
              <w:tc>
                <w:tcPr>
                  <w:tcW w:w="2553" w:type="dxa"/>
                  <w:tcBorders>
                    <w:tl2br w:val="nil"/>
                    <w:tr2bl w:val="nil"/>
                  </w:tcBorders>
                  <w:vAlign w:val="center"/>
                </w:tcPr>
                <w:p w14:paraId="71E0EECA">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光伏复合项目的生产区（包括升压站、配电室、控制室、新建进场道路、新建场内检修道路、集电线路塔基等）、生活区（包括办公、住宿、食堂、活动场所、仓库等附属设施），</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禁止使用天然乔木林地；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施工期临时设置的弃渣场、取土场、砂石场、堆料场、拌合站、工棚、临时施工道路等，</w:t>
                  </w:r>
                  <w:r>
                    <w:rPr>
                      <w:rFonts w:hint="default" w:ascii="Times New Roman" w:hAnsi="Times New Roman" w:cs="Times New Roman"/>
                      <w:b/>
                      <w:bCs/>
                      <w:color w:val="000000" w:themeColor="text1"/>
                      <w:sz w:val="21"/>
                      <w:szCs w:val="21"/>
                      <w:vertAlign w:val="baseline"/>
                      <w:lang w:val="en-US" w:eastAsia="zh-CN"/>
                      <w14:textFill>
                        <w14:solidFill>
                          <w14:schemeClr w14:val="tx1"/>
                        </w14:solidFill>
                      </w14:textFill>
                    </w:rPr>
                    <w:t>禁止使用乔木林地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；电池组件阵列禁止使用有林地、疏林地、未成林造林地、采伐迹地</w:t>
                  </w:r>
                  <w: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t>、火烧迹地，以及年降雨量400毫米以下区域覆盖度高于30%的灌木林地和年降雨量400毫米以上区域覆盖度高于50%的灌木林地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w:t>
                  </w:r>
                </w:p>
                <w:p w14:paraId="3928461B">
                  <w:pPr>
                    <w:spacing w:line="240" w:lineRule="auto"/>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2343" w:type="dxa"/>
                  <w:tcBorders>
                    <w:tl2br w:val="nil"/>
                    <w:tr2bl w:val="nil"/>
                  </w:tcBorders>
                  <w:vAlign w:val="center"/>
                </w:tcPr>
                <w:p w14:paraId="794E8C01">
                  <w:pPr>
                    <w:pStyle w:val="8"/>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auto"/>
                      <w:sz w:val="21"/>
                      <w:szCs w:val="21"/>
                      <w:vertAlign w:val="baseline"/>
                      <w:lang w:val="en-US" w:eastAsia="zh-CN"/>
                    </w:rPr>
                    <w:t>项目主要占用园地、林地、其他农用地，根据《芒市人民政府关于认定芒市德天新能源有限公司光伏发电项目地类的批复》项目用地不纳入林地管理（见附件3）。项目光伏阵列用地不纳入林地管理</w:t>
                  </w:r>
                  <w:r>
                    <w:rPr>
                      <w:rFonts w:hint="eastAsia" w:ascii="Times New Roman" w:hAnsi="Times New Roman" w:cs="Times New Roman"/>
                      <w:color w:val="auto"/>
                      <w:sz w:val="21"/>
                      <w:szCs w:val="21"/>
                      <w:vertAlign w:val="baseline"/>
                      <w:lang w:val="en-US" w:eastAsia="zh-CN"/>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不涉及有林地、疏林地、未成林造林地、采伐迹地、火烧迹地、年降雨量400毫米以上区域覆盖度高于50%的灌木林地的占用</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不存在限制性因素。项目占地不涉及天然林保护工程区、天然林地和基本草原；项目建设不涉及使用自然保护区、森林公园、风景名胜区等重要生态区域内林地，项目占地区内没有国家级、省级、县级重点保护动植物和古树名木分布。</w:t>
                  </w:r>
                </w:p>
                <w:p w14:paraId="228B2FFA">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项目</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实施后拟</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采取以下措施</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①严格控制用地范围，不超范围</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用地</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；②做好施工人员爱护林木花草、保护野生动物的意识教育，大力宣传保护生物多样性的重要性，做到不乱砍滥伐林木，不随意践踏建设区以外的森林植被，不乱捕滥猎野生动物</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③尽量减少植被破坏，及时恢复植被</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④加强对承包商的环境保护和生物多样性保护的宣传教育，特别是有关法规、野生动植物的简易识别及保护法</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⑤依法办理用地手续，缴纳森林植被恢复费等措施，将对宜林地的影响降到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最</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低。</w:t>
                  </w:r>
                </w:p>
              </w:tc>
              <w:tc>
                <w:tcPr>
                  <w:tcW w:w="809" w:type="dxa"/>
                  <w:tcBorders>
                    <w:tl2br w:val="nil"/>
                    <w:tr2bl w:val="nil"/>
                  </w:tcBorders>
                  <w:vAlign w:val="center"/>
                </w:tcPr>
                <w:p w14:paraId="310A205C">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1F8365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74A444C6">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用地性质</w:t>
                  </w:r>
                </w:p>
              </w:tc>
              <w:tc>
                <w:tcPr>
                  <w:tcW w:w="2553" w:type="dxa"/>
                  <w:tcBorders>
                    <w:tl2br w:val="nil"/>
                    <w:tr2bl w:val="nil"/>
                  </w:tcBorders>
                  <w:vAlign w:val="center"/>
                </w:tcPr>
                <w:p w14:paraId="0F7103CF">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光伏复合项目生产区(包</w:t>
                  </w:r>
                </w:p>
                <w:p w14:paraId="11B04F83">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括升压站、配电室、控制室、集电线路塔基等)、生活区(包括办公、住宿、食堂、活动场所、仓库等附属设施)、电池组件阵列区箱变、新建进场道路、新建场内检修道路，</w:t>
                  </w:r>
                  <w:r>
                    <w:rPr>
                      <w:rFonts w:hint="default" w:ascii="Times New Roman" w:hAnsi="Times New Roman" w:cs="Times New Roman"/>
                      <w:b/>
                      <w:bCs/>
                      <w:sz w:val="21"/>
                      <w:szCs w:val="21"/>
                      <w:vertAlign w:val="baseline"/>
                      <w:lang w:val="en-US" w:eastAsia="zh-CN"/>
                    </w:rPr>
                    <w:t>应当办理占用林地手续;</w:t>
                  </w:r>
                  <w:r>
                    <w:rPr>
                      <w:rFonts w:hint="default" w:ascii="Times New Roman" w:hAnsi="Times New Roman" w:cs="Times New Roman"/>
                      <w:sz w:val="21"/>
                      <w:szCs w:val="21"/>
                      <w:vertAlign w:val="baseline"/>
                      <w:lang w:val="en-US" w:eastAsia="zh-CN"/>
                    </w:rPr>
                    <w:t>施工期临时设置的弃渣场、取土场、砂石场、堆料场、拌合站、工棚、地埋电缆槽以及临时施工道路应</w:t>
                  </w:r>
                  <w:r>
                    <w:rPr>
                      <w:rFonts w:hint="default" w:ascii="Times New Roman" w:hAnsi="Times New Roman" w:cs="Times New Roman"/>
                      <w:b/>
                      <w:bCs/>
                      <w:sz w:val="21"/>
                      <w:szCs w:val="21"/>
                      <w:vertAlign w:val="baseline"/>
                      <w:lang w:val="en-US" w:eastAsia="zh-CN"/>
                    </w:rPr>
                    <w:t>当办理临时占用林地手续</w:t>
                  </w:r>
                  <w:r>
                    <w:rPr>
                      <w:rFonts w:hint="default" w:ascii="Times New Roman" w:hAnsi="Times New Roman" w:cs="Times New Roman"/>
                      <w:sz w:val="21"/>
                      <w:szCs w:val="21"/>
                      <w:vertAlign w:val="baseline"/>
                      <w:lang w:val="en-US" w:eastAsia="zh-CN"/>
                    </w:rPr>
                    <w:t>。电池组件阵列使用林地由项目业主单位与林权权利人签订书面协议，通过租赁、作价入股等流转方式使用林地，在用地报批阶段明确用地红线范围，待光伏电站设施占用林地经审核同意后方可开展建设，不再办理使用林地许可手续。</w:t>
                  </w:r>
                </w:p>
              </w:tc>
              <w:tc>
                <w:tcPr>
                  <w:tcW w:w="2343" w:type="dxa"/>
                  <w:tcBorders>
                    <w:tl2br w:val="nil"/>
                    <w:tr2bl w:val="nil"/>
                  </w:tcBorders>
                  <w:vAlign w:val="center"/>
                </w:tcPr>
                <w:p w14:paraId="77F3CE1B">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项目按照土地管理办法及相关政策项目已取得《建设项目用地预审与选址意见书》见附件5根据《芒市自然资源局关于商请协助开展芒市江东光伏发电项目资源核查工作的复函》（见附件4），项目</w:t>
                  </w:r>
                  <w: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t>占地</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类型主要为园地、林地、其他农用地，根据《芒市人民政府关于认定芒市德天新能源有限公司光伏发电项目地类的批复》项目用地不纳入林地管理（见附件3）。项目施工</w:t>
                  </w:r>
                  <w:r>
                    <w:rPr>
                      <w:rFonts w:hint="default" w:ascii="Times New Roman" w:hAnsi="Times New Roman" w:cs="Times New Roman"/>
                      <w:sz w:val="21"/>
                      <w:szCs w:val="21"/>
                      <w:vertAlign w:val="baseline"/>
                      <w:lang w:val="en-US" w:eastAsia="zh-CN"/>
                    </w:rPr>
                    <w:t>期临时设置</w:t>
                  </w:r>
                  <w:r>
                    <w:rPr>
                      <w:rFonts w:hint="eastAsia" w:ascii="Times New Roman" w:hAnsi="Times New Roman" w:cs="Times New Roman"/>
                      <w:sz w:val="21"/>
                      <w:szCs w:val="21"/>
                      <w:vertAlign w:val="baseline"/>
                      <w:lang w:val="en-US" w:eastAsia="zh-CN"/>
                    </w:rPr>
                    <w:t>施工生产生活场地不涉及占用林地。</w:t>
                  </w:r>
                </w:p>
                <w:p w14:paraId="75BA05A7">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809" w:type="dxa"/>
                  <w:tcBorders>
                    <w:tl2br w:val="nil"/>
                    <w:tr2bl w:val="nil"/>
                  </w:tcBorders>
                  <w:vAlign w:val="center"/>
                </w:tcPr>
                <w:p w14:paraId="535D62AB">
                  <w:pPr>
                    <w:spacing w:line="240" w:lineRule="auto"/>
                    <w:jc w:val="left"/>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符合</w:t>
                  </w:r>
                </w:p>
              </w:tc>
            </w:tr>
            <w:tr w14:paraId="71DC9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4" w:hRule="atLeast"/>
              </w:trPr>
              <w:tc>
                <w:tcPr>
                  <w:tcW w:w="794" w:type="dxa"/>
                  <w:tcBorders>
                    <w:tl2br w:val="nil"/>
                    <w:tr2bl w:val="nil"/>
                  </w:tcBorders>
                  <w:vAlign w:val="center"/>
                </w:tcPr>
                <w:p w14:paraId="4BB14DEB">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建设标准</w:t>
                  </w:r>
                </w:p>
              </w:tc>
              <w:tc>
                <w:tcPr>
                  <w:tcW w:w="2553" w:type="dxa"/>
                  <w:tcBorders>
                    <w:tl2br w:val="nil"/>
                    <w:tr2bl w:val="nil"/>
                  </w:tcBorders>
                  <w:vAlign w:val="center"/>
                </w:tcPr>
                <w:p w14:paraId="7D0743E9">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电池组件阵列区在设计方面应当尽可能节约集约使用林地，光伏板最低沿与地面距离不得低于2.5m，电池组件阵列各排、列的布置间距应当符合《光伏电站设计规范》</w:t>
                  </w:r>
                </w:p>
                <w:p w14:paraId="74355663">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(GB 50797-2012)或《光伏发电站设计规范》(GB 50797-20XX)相关规定</w:t>
                  </w:r>
                </w:p>
              </w:tc>
              <w:tc>
                <w:tcPr>
                  <w:tcW w:w="2343" w:type="dxa"/>
                  <w:tcBorders>
                    <w:tl2br w:val="nil"/>
                    <w:tr2bl w:val="nil"/>
                  </w:tcBorders>
                  <w:vAlign w:val="center"/>
                </w:tcPr>
                <w:p w14:paraId="364B1D29">
                  <w:pPr>
                    <w:spacing w:line="240" w:lineRule="auto"/>
                    <w:jc w:val="left"/>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根据可研，</w:t>
                  </w:r>
                  <w:r>
                    <w:rPr>
                      <w:rFonts w:hint="default" w:ascii="宋体" w:hAnsi="宋体" w:eastAsia="宋体" w:cs="宋体"/>
                      <w:b w:val="0"/>
                      <w:bCs w:val="0"/>
                      <w:spacing w:val="0"/>
                      <w:kern w:val="2"/>
                      <w:sz w:val="21"/>
                      <w:szCs w:val="21"/>
                      <w:lang w:val="en-US" w:eastAsia="zh-CN" w:bidi="ar-SA"/>
                    </w:rPr>
                    <w:t>项目选用光伏组件采用固定倾角式的3米高支架</w:t>
                  </w:r>
                  <w:r>
                    <w:rPr>
                      <w:rFonts w:hint="default" w:ascii="Times New Roman" w:hAnsi="Times New Roman" w:cs="Times New Roman"/>
                      <w:sz w:val="21"/>
                      <w:szCs w:val="21"/>
                      <w:vertAlign w:val="baseline"/>
                      <w:lang w:val="en-US" w:eastAsia="zh-CN"/>
                    </w:rPr>
                    <w:t>，电池组件阵列各排、列的布置间距符合《光伏电站设计规范》</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GB 50797-2012</w:t>
                  </w:r>
                  <w:r>
                    <w:rPr>
                      <w:rFonts w:hint="eastAsia" w:ascii="Times New Roman" w:hAnsi="Times New Roman" w:cs="Times New Roman"/>
                      <w:sz w:val="21"/>
                      <w:szCs w:val="21"/>
                      <w:vertAlign w:val="baseline"/>
                      <w:lang w:val="en-US" w:eastAsia="zh-CN"/>
                    </w:rPr>
                    <w:t>）</w:t>
                  </w:r>
                  <w:r>
                    <w:rPr>
                      <w:rFonts w:hint="default" w:ascii="Times New Roman" w:hAnsi="Times New Roman" w:cs="Times New Roman"/>
                      <w:sz w:val="21"/>
                      <w:szCs w:val="21"/>
                      <w:vertAlign w:val="baseline"/>
                      <w:lang w:val="en-US" w:eastAsia="zh-CN"/>
                    </w:rPr>
                    <w:t>或《光伏发电站设计规范》相关规定要求。</w:t>
                  </w:r>
                </w:p>
              </w:tc>
              <w:tc>
                <w:tcPr>
                  <w:tcW w:w="809" w:type="dxa"/>
                  <w:tcBorders>
                    <w:tl2br w:val="nil"/>
                    <w:tr2bl w:val="nil"/>
                  </w:tcBorders>
                  <w:vAlign w:val="center"/>
                </w:tcPr>
                <w:p w14:paraId="7CCCF414">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r w14:paraId="4D620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94" w:type="dxa"/>
                  <w:tcBorders>
                    <w:tl2br w:val="nil"/>
                    <w:tr2bl w:val="nil"/>
                  </w:tcBorders>
                  <w:vAlign w:val="center"/>
                </w:tcPr>
                <w:p w14:paraId="0B470F23">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植被保护</w:t>
                  </w:r>
                </w:p>
              </w:tc>
              <w:tc>
                <w:tcPr>
                  <w:tcW w:w="2553" w:type="dxa"/>
                  <w:tcBorders>
                    <w:tl2br w:val="nil"/>
                    <w:tr2bl w:val="nil"/>
                  </w:tcBorders>
                  <w:vAlign w:val="center"/>
                </w:tcPr>
                <w:p w14:paraId="54C890DB">
                  <w:p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光伏复合项目在满足正常运营的同时，须保证电池组件阵列下方不得改变林草地用途，不得裸露地表、硬化或作其他用途。</w:t>
                  </w:r>
                </w:p>
              </w:tc>
              <w:tc>
                <w:tcPr>
                  <w:tcW w:w="2343" w:type="dxa"/>
                  <w:tcBorders>
                    <w:tl2br w:val="nil"/>
                    <w:tr2bl w:val="nil"/>
                  </w:tcBorders>
                  <w:vAlign w:val="center"/>
                </w:tcPr>
                <w:p w14:paraId="7B065D06">
                  <w:pPr>
                    <w:spacing w:line="240" w:lineRule="auto"/>
                    <w:jc w:val="both"/>
                    <w:rPr>
                      <w:rFonts w:hint="default" w:ascii="Times New Roman" w:hAnsi="Times New Roman" w:cs="Times New Roman"/>
                      <w:sz w:val="21"/>
                      <w:szCs w:val="21"/>
                      <w:vertAlign w:val="baseline"/>
                      <w:lang w:val="en-US" w:eastAsia="zh-CN"/>
                    </w:rPr>
                  </w:pPr>
                  <w:r>
                    <w:rPr>
                      <w:rFonts w:hint="eastAsia" w:ascii="Times New Roman" w:hAnsi="Times New Roman" w:eastAsia="宋体" w:cs="Times New Roman"/>
                      <w:sz w:val="21"/>
                      <w:szCs w:val="21"/>
                      <w:lang w:val="en-US" w:eastAsia="zh-CN"/>
                    </w:rPr>
                    <w:t>项目光伏区</w:t>
                  </w:r>
                  <w:r>
                    <w:rPr>
                      <w:rFonts w:hint="default" w:ascii="Times New Roman" w:hAnsi="Times New Roman" w:eastAsia="宋体" w:cs="Times New Roman"/>
                      <w:sz w:val="21"/>
                      <w:szCs w:val="21"/>
                      <w:lang w:val="en-US" w:eastAsia="zh-CN"/>
                    </w:rPr>
                    <w:t>为不改变</w:t>
                  </w:r>
                  <w:r>
                    <w:rPr>
                      <w:rFonts w:hint="eastAsia" w:ascii="Times New Roman" w:hAnsi="Times New Roman" w:eastAsia="宋体" w:cs="Times New Roman"/>
                      <w:sz w:val="21"/>
                      <w:szCs w:val="21"/>
                      <w:lang w:val="en-US" w:eastAsia="zh-CN"/>
                    </w:rPr>
                    <w:t>项目占地</w:t>
                  </w:r>
                  <w:r>
                    <w:rPr>
                      <w:rFonts w:hint="default" w:ascii="Times New Roman" w:hAnsi="Times New Roman" w:eastAsia="宋体" w:cs="Times New Roman"/>
                      <w:sz w:val="21"/>
                      <w:szCs w:val="21"/>
                      <w:lang w:val="en-US" w:eastAsia="zh-CN"/>
                    </w:rPr>
                    <w:t>用途，项目实施后光伏板区除桩基用地外，其他地面均不硬化、不破坏耕作层，不抛荒、撂荒，光伏厂区之间集电线</w:t>
                  </w:r>
                  <w:r>
                    <w:rPr>
                      <w:rFonts w:hint="default" w:ascii="宋体" w:hAnsi="宋体" w:eastAsia="宋体" w:cs="宋体"/>
                      <w:b w:val="0"/>
                      <w:bCs w:val="0"/>
                      <w:spacing w:val="0"/>
                      <w:kern w:val="2"/>
                      <w:sz w:val="21"/>
                      <w:szCs w:val="21"/>
                      <w:lang w:val="en-US" w:eastAsia="zh-CN" w:bidi="ar-SA"/>
                    </w:rPr>
                    <w:t>采用直埋电缆方式敷设</w:t>
                  </w:r>
                  <w:r>
                    <w:rPr>
                      <w:rFonts w:hint="default" w:ascii="Times New Roman" w:hAnsi="Times New Roman" w:eastAsia="宋体" w:cs="Times New Roman"/>
                      <w:sz w:val="21"/>
                      <w:szCs w:val="21"/>
                      <w:lang w:val="en-US" w:eastAsia="zh-CN"/>
                    </w:rPr>
                    <w:t>，项目建成后升压站用地变为建设用地，正在同步依法办理建设用地审批手续，符合通知要求。</w:t>
                  </w:r>
                </w:p>
              </w:tc>
              <w:tc>
                <w:tcPr>
                  <w:tcW w:w="809" w:type="dxa"/>
                  <w:tcBorders>
                    <w:tl2br w:val="nil"/>
                    <w:tr2bl w:val="nil"/>
                  </w:tcBorders>
                  <w:vAlign w:val="center"/>
                </w:tcPr>
                <w:p w14:paraId="63E69F41">
                  <w:pPr>
                    <w:spacing w:line="240" w:lineRule="auto"/>
                    <w:jc w:val="center"/>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符合</w:t>
                  </w:r>
                </w:p>
              </w:tc>
            </w:tr>
          </w:tbl>
          <w:p w14:paraId="05B9D2AA">
            <w:pPr>
              <w:spacing w:line="360" w:lineRule="auto"/>
              <w:ind w:firstLine="480" w:firstLineChars="200"/>
              <w:rPr>
                <w:rFonts w:hint="default"/>
                <w:lang w:val="en-US" w:eastAsia="zh-CN"/>
              </w:rPr>
            </w:pPr>
            <w:r>
              <w:rPr>
                <w:rFonts w:hint="default"/>
                <w:lang w:val="en-US" w:eastAsia="zh-CN"/>
              </w:rPr>
              <w:t>经上表分析可知，项目建设使用林地符合《云南省林业和草原局云南省能源局关于进一步规范光伏复合项目使用林草地有关事项的通知》的相关要求。</w:t>
            </w:r>
          </w:p>
          <w:p w14:paraId="11BAE31D">
            <w:pPr>
              <w:spacing w:line="360" w:lineRule="auto"/>
              <w:jc w:val="left"/>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10、与《输变电建设项目环境保护技术要求》的相符性分析</w:t>
            </w:r>
          </w:p>
          <w:p w14:paraId="0A2DE4F7">
            <w:pPr>
              <w:autoSpaceDE w:val="0"/>
              <w:autoSpaceDN w:val="0"/>
              <w:adjustRightInd w:val="0"/>
              <w:spacing w:line="360" w:lineRule="auto"/>
              <w:ind w:firstLine="480" w:firstLineChars="200"/>
              <w:jc w:val="left"/>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pP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本工程与《输变电建设项目环境保护技术要求》（HJ</w:t>
            </w:r>
            <w:r>
              <w:rPr>
                <w:rFonts w:hint="eastAsia" w:ascii="Times New Roman" w:hAnsi="Times New Roman" w:eastAsia="宋体" w:cs="Times New Roman"/>
                <w:color w:val="000000" w:themeColor="text1"/>
                <w:sz w:val="24"/>
                <w:shd w:val="clear" w:color="auto" w:fill="FFFFFF" w:themeFill="background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1113-2020）的相符性分析详见</w:t>
            </w:r>
            <w:r>
              <w:rPr>
                <w:rFonts w:hint="eastAsia" w:ascii="Times New Roman" w:hAnsi="Times New Roman" w:eastAsia="宋体" w:cs="Times New Roman"/>
                <w:lang w:val="en-US" w:eastAsia="zh-CN"/>
              </w:rPr>
              <w:t>1-3</w:t>
            </w:r>
            <w:r>
              <w:rPr>
                <w:rFonts w:hint="default" w:ascii="Times New Roman" w:hAnsi="Times New Roman" w:eastAsia="宋体" w:cs="Times New Roman"/>
                <w:color w:val="000000" w:themeColor="text1"/>
                <w:sz w:val="24"/>
                <w:shd w:val="clear" w:color="auto" w:fill="FFFFFF" w:themeFill="background1"/>
                <w14:textFill>
                  <w14:solidFill>
                    <w14:schemeClr w14:val="tx1"/>
                  </w14:solidFill>
                </w14:textFill>
              </w:rPr>
              <w:t>。</w:t>
            </w:r>
          </w:p>
          <w:p w14:paraId="56E4E125">
            <w:pPr>
              <w:pStyle w:val="7"/>
              <w:keepNext/>
              <w:rPr>
                <w:rFonts w:hint="eastAsia" w:ascii="宋体" w:hAnsi="宋体" w:eastAsia="宋体" w:cs="宋体"/>
                <w:b/>
                <w:bCs/>
              </w:rPr>
            </w:pPr>
            <w:bookmarkStart w:id="0" w:name="_Ref89793036"/>
            <w:r>
              <w:rPr>
                <w:rFonts w:hint="eastAsia" w:ascii="宋体" w:hAnsi="宋体" w:eastAsia="宋体" w:cs="宋体"/>
                <w:b/>
                <w:bCs/>
              </w:rPr>
              <w:t>表</w:t>
            </w:r>
            <w:bookmarkEnd w:id="0"/>
            <w:r>
              <w:rPr>
                <w:rFonts w:hint="eastAsia" w:ascii="宋体" w:hAnsi="宋体" w:eastAsia="宋体" w:cs="宋体"/>
                <w:b/>
                <w:bCs/>
                <w:lang w:val="en-US" w:eastAsia="zh-CN"/>
              </w:rPr>
              <w:t>1-3</w:t>
            </w:r>
            <w:r>
              <w:rPr>
                <w:rFonts w:hint="eastAsia" w:ascii="宋体" w:hAnsi="宋体" w:eastAsia="宋体" w:cs="宋体"/>
                <w:b/>
                <w:bCs/>
              </w:rPr>
              <w:t xml:space="preserve"> 本工程与《输变电建设项目环境保护技术要求》的相符性分析</w:t>
            </w:r>
          </w:p>
          <w:tbl>
            <w:tblPr>
              <w:tblStyle w:val="22"/>
              <w:tblW w:w="6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3434"/>
              <w:gridCol w:w="2526"/>
            </w:tblGrid>
            <w:tr w14:paraId="7808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445AABA3">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阶段</w:t>
                  </w:r>
                </w:p>
              </w:tc>
              <w:tc>
                <w:tcPr>
                  <w:tcW w:w="3434" w:type="dxa"/>
                  <w:vAlign w:val="center"/>
                </w:tcPr>
                <w:p w14:paraId="09A0C3D4">
                  <w:pPr>
                    <w:adjustRightInd w:val="0"/>
                    <w:snapToGrid w:val="0"/>
                    <w:jc w:val="center"/>
                    <w:rPr>
                      <w:rFonts w:eastAsiaTheme="minorEastAsia"/>
                      <w:b/>
                      <w:bCs/>
                      <w:sz w:val="21"/>
                      <w:szCs w:val="21"/>
                      <w:shd w:val="clear" w:color="auto" w:fill="FFFFFF" w:themeFill="background1"/>
                    </w:rPr>
                  </w:pPr>
                  <w:r>
                    <w:rPr>
                      <w:rFonts w:hint="eastAsia" w:eastAsiaTheme="minorEastAsia"/>
                      <w:b/>
                      <w:bCs/>
                      <w:sz w:val="21"/>
                      <w:szCs w:val="21"/>
                      <w:shd w:val="clear" w:color="auto" w:fill="FFFFFF" w:themeFill="background1"/>
                    </w:rPr>
                    <w:t>标准</w:t>
                  </w:r>
                  <w:r>
                    <w:rPr>
                      <w:rFonts w:eastAsiaTheme="minorEastAsia"/>
                      <w:b/>
                      <w:bCs/>
                      <w:sz w:val="21"/>
                      <w:szCs w:val="21"/>
                      <w:shd w:val="clear" w:color="auto" w:fill="FFFFFF" w:themeFill="background1"/>
                    </w:rPr>
                    <w:t>要求</w:t>
                  </w:r>
                </w:p>
              </w:tc>
              <w:tc>
                <w:tcPr>
                  <w:tcW w:w="2526" w:type="dxa"/>
                  <w:vAlign w:val="center"/>
                </w:tcPr>
                <w:p w14:paraId="0C7640D3">
                  <w:pPr>
                    <w:adjustRightInd w:val="0"/>
                    <w:snapToGrid w:val="0"/>
                    <w:jc w:val="center"/>
                    <w:rPr>
                      <w:rFonts w:eastAsiaTheme="minorEastAsia"/>
                      <w:b/>
                      <w:bCs/>
                      <w:sz w:val="21"/>
                      <w:szCs w:val="21"/>
                      <w:shd w:val="clear" w:color="auto" w:fill="FFFFFF" w:themeFill="background1"/>
                    </w:rPr>
                  </w:pPr>
                  <w:r>
                    <w:rPr>
                      <w:rFonts w:eastAsiaTheme="minorEastAsia"/>
                      <w:b/>
                      <w:bCs/>
                      <w:sz w:val="21"/>
                      <w:szCs w:val="21"/>
                      <w:shd w:val="clear" w:color="auto" w:fill="FFFFFF" w:themeFill="background1"/>
                    </w:rPr>
                    <w:t>相符性分析</w:t>
                  </w:r>
                </w:p>
              </w:tc>
            </w:tr>
            <w:tr w14:paraId="777DB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5C93C212">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选址</w:t>
                  </w:r>
                </w:p>
                <w:p w14:paraId="166E0E93">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选线</w:t>
                  </w:r>
                </w:p>
              </w:tc>
              <w:tc>
                <w:tcPr>
                  <w:tcW w:w="3434" w:type="dxa"/>
                  <w:vAlign w:val="center"/>
                </w:tcPr>
                <w:p w14:paraId="2ECE6E62">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1、输变电建设项目选址选线应符合生态保护红线管控要求，避让自然保护区、饮用水源保护区等环境敏感区。</w:t>
                  </w:r>
                </w:p>
                <w:p w14:paraId="505757BC">
                  <w:pPr>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2、原则上避免在0类声环境功能区建设变电工程。</w:t>
                  </w:r>
                </w:p>
              </w:tc>
              <w:tc>
                <w:tcPr>
                  <w:tcW w:w="2526" w:type="dxa"/>
                  <w:vAlign w:val="center"/>
                </w:tcPr>
                <w:p w14:paraId="3E3E07D0">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1、本工程选址选线避开了生态保护红线；避让了自然保护区、饮用水水源保护区等环境敏感区。</w:t>
                  </w:r>
                </w:p>
                <w:p w14:paraId="6B87A7AE">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2、本工程新建线路选线时避让了</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类声环境功能区。</w:t>
                  </w:r>
                </w:p>
              </w:tc>
            </w:tr>
            <w:tr w14:paraId="5BF0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51E02BF1">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设计</w:t>
                  </w:r>
                </w:p>
              </w:tc>
              <w:tc>
                <w:tcPr>
                  <w:tcW w:w="3434" w:type="dxa"/>
                  <w:vAlign w:val="center"/>
                </w:tcPr>
                <w:p w14:paraId="564C8EBE">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1、变电工程应设置足够容量的事故油池及其配套的拦截、防雨、防渗等措施和设施。一旦发生泄漏，应能及时进行拦截和处理，确保油及油水混合物全部收集、不外排。</w:t>
                  </w:r>
                </w:p>
                <w:p w14:paraId="242DA13D">
                  <w:pPr>
                    <w:adjustRightInd w:val="0"/>
                    <w:snapToGrid w:val="0"/>
                    <w:spacing w:line="240" w:lineRule="auto"/>
                    <w:jc w:val="left"/>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p w14:paraId="4AF9DA43">
                  <w:pPr>
                    <w:spacing w:line="240" w:lineRule="auto"/>
                    <w:rPr>
                      <w:rFonts w:hint="default" w:ascii="Times New Roman" w:hAnsi="Times New Roman" w:cs="Times New Roman"/>
                      <w:color w:val="000000" w:themeColor="text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3、输电线路应因地制宜合理选择塔基基础，在山丘区应采用全方位长短腿与不等高基础设计，以减少土石方开挖。输电线路无法避让集中林区时，应采取控制导线高度设计，以减少林木砍伐，保护生态环境。</w:t>
                  </w:r>
                </w:p>
              </w:tc>
              <w:tc>
                <w:tcPr>
                  <w:tcW w:w="2526" w:type="dxa"/>
                  <w:vAlign w:val="center"/>
                </w:tcPr>
                <w:p w14:paraId="5817991A">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1、</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升压站</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及箱变</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设置足够容量的事故油池及其配套的拦截、防雨、防渗等措施和设施。</w:t>
                  </w:r>
                </w:p>
                <w:p w14:paraId="0BDB6B2A">
                  <w:pPr>
                    <w:adjustRightInd w:val="0"/>
                    <w:snapToGrid w:val="0"/>
                    <w:spacing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2、</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站</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建设</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一座</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隔油池及</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化粪池</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及</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废水收集池</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升压站</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产生的生活污水经</w:t>
                  </w: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隔油池、</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化粪池</w:t>
                  </w:r>
                  <w:r>
                    <w:rPr>
                      <w:rFonts w:hint="eastAsia"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处理后暂存于废水收集池，</w:t>
                  </w:r>
                  <w:r>
                    <w:rPr>
                      <w:rFonts w:hint="default" w:ascii="Times New Roman" w:hAnsi="Times New Roman" w:eastAsia="宋体" w:cs="Times New Roman"/>
                      <w:color w:val="auto"/>
                      <w:sz w:val="21"/>
                      <w:szCs w:val="21"/>
                    </w:rPr>
                    <w:t>用于项目升压站</w:t>
                  </w:r>
                  <w:r>
                    <w:rPr>
                      <w:rFonts w:hint="eastAsia" w:ascii="Times New Roman" w:hAnsi="Times New Roman" w:eastAsia="宋体" w:cs="Times New Roman"/>
                      <w:color w:val="auto"/>
                      <w:sz w:val="21"/>
                      <w:szCs w:val="21"/>
                      <w:lang w:eastAsia="zh-CN"/>
                    </w:rPr>
                    <w:t>场区</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施肥</w:t>
                  </w:r>
                  <w:r>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t>，不外排。</w:t>
                  </w:r>
                </w:p>
                <w:p w14:paraId="2C9B46EA">
                  <w:pPr>
                    <w:adjustRightInd w:val="0"/>
                    <w:snapToGrid w:val="0"/>
                    <w:spacing w:line="240" w:lineRule="auto"/>
                    <w:ind w:firstLine="420" w:firstLineChars="200"/>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项目</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光伏板</w:t>
                  </w: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定期</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进行清洗，</w:t>
                  </w:r>
                  <w:r>
                    <w:rPr>
                      <w:rFonts w:hint="eastAsia"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清洗时的清洗废水产生量小。在对电池组件进行水清洗时，产生的废水经沉淀池处理后，作为光伏板下方的植被灌溉，不外排</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w:t>
                  </w:r>
                </w:p>
                <w:p w14:paraId="43F358FA">
                  <w:pPr>
                    <w:adjustRightInd w:val="0"/>
                    <w:snapToGrid w:val="0"/>
                    <w:spacing w:line="240" w:lineRule="auto"/>
                    <w:rPr>
                      <w:rFonts w:hint="default" w:ascii="Times New Roman" w:hAnsi="Times New Roman" w:cs="Times New Roman" w:eastAsiaTheme="minorEastAsia"/>
                      <w:color w:val="000000" w:themeColor="text1"/>
                      <w:sz w:val="21"/>
                      <w:szCs w:val="21"/>
                      <w:shd w:val="clear" w:color="auto" w:fill="FFFFFF" w:themeFill="background1"/>
                      <w14:textFill>
                        <w14:solidFill>
                          <w14:schemeClr w14:val="tx1"/>
                        </w14:solidFill>
                      </w14:textFill>
                    </w:rPr>
                  </w:pPr>
                  <w:r>
                    <w:rPr>
                      <w:rFonts w:hint="default" w:ascii="Times New Roman" w:hAnsi="Times New Roman" w:cs="Times New Roman"/>
                      <w:color w:val="000000" w:themeColor="text1"/>
                      <w:sz w:val="21"/>
                      <w:szCs w:val="21"/>
                      <w:shd w:val="clear" w:color="auto" w:fill="FFFFFF" w:themeFill="background1"/>
                      <w:lang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FFFFFF" w:themeFill="background1"/>
                      <w:lang w:val="en-US" w:eastAsia="zh-CN"/>
                      <w14:textFill>
                        <w14:solidFill>
                          <w14:schemeClr w14:val="tx1"/>
                        </w14:solidFill>
                      </w14:textFill>
                    </w:rPr>
                    <w:t>本项目110kV送出</w:t>
                  </w:r>
                  <w:r>
                    <w:rPr>
                      <w:rFonts w:hint="default" w:ascii="Times New Roman" w:hAnsi="Times New Roman" w:cs="Times New Roman" w:eastAsiaTheme="minorEastAsia"/>
                      <w:color w:val="000000" w:themeColor="text1"/>
                      <w:sz w:val="21"/>
                      <w:szCs w:val="21"/>
                      <w:shd w:val="clear" w:color="auto" w:fill="FFFFFF" w:themeFill="background1"/>
                      <w:lang w:val="en-US" w:eastAsia="zh-CN"/>
                      <w14:textFill>
                        <w14:solidFill>
                          <w14:schemeClr w14:val="tx1"/>
                        </w14:solidFill>
                      </w14:textFill>
                    </w:rPr>
                    <w:t>线路工程单独立项实施，不包括在本次评价范围内。</w:t>
                  </w:r>
                </w:p>
              </w:tc>
            </w:tr>
            <w:tr w14:paraId="536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1F2898EC">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施工期</w:t>
                  </w:r>
                </w:p>
              </w:tc>
              <w:tc>
                <w:tcPr>
                  <w:tcW w:w="3434" w:type="dxa"/>
                  <w:vAlign w:val="center"/>
                </w:tcPr>
                <w:p w14:paraId="10A7E079">
                  <w:pPr>
                    <w:adjustRightInd w:val="0"/>
                    <w:snapToGrid w:val="0"/>
                    <w:spacing w:line="320" w:lineRule="exact"/>
                    <w:rPr>
                      <w:rFonts w:eastAsiaTheme="minorEastAsia"/>
                      <w:sz w:val="21"/>
                      <w:szCs w:val="21"/>
                      <w:shd w:val="clear" w:color="auto" w:fill="FFFFFF" w:themeFill="background1"/>
                    </w:rPr>
                  </w:pPr>
                  <w:r>
                    <w:rPr>
                      <w:rFonts w:eastAsiaTheme="minorEastAsia"/>
                      <w:sz w:val="21"/>
                      <w:szCs w:val="21"/>
                      <w:shd w:val="clear" w:color="auto" w:fill="FFFFFF" w:themeFill="background1"/>
                    </w:rPr>
                    <w:t>输变电建设项目施工应落实设计文件、环境影响评价文件及其审批部门审批决定中提出的环境保护要求。设备采购和施工合同中应明确环境保护要求，环境保护措施的实施和环境保护设施的施工安装质量应符合设计和技术协议书、相关标准的要求。</w:t>
                  </w:r>
                </w:p>
              </w:tc>
              <w:tc>
                <w:tcPr>
                  <w:tcW w:w="2526" w:type="dxa"/>
                  <w:vAlign w:val="center"/>
                </w:tcPr>
                <w:p w14:paraId="7FF89C93">
                  <w:pPr>
                    <w:adjustRightInd w:val="0"/>
                    <w:snapToGrid w:val="0"/>
                    <w:spacing w:line="320" w:lineRule="exact"/>
                    <w:jc w:val="both"/>
                    <w:rPr>
                      <w:rFonts w:eastAsiaTheme="minorEastAsia"/>
                      <w:sz w:val="21"/>
                      <w:szCs w:val="21"/>
                      <w:shd w:val="clear" w:color="auto" w:fill="FFFFFF" w:themeFill="background1"/>
                    </w:rPr>
                  </w:pPr>
                  <w:r>
                    <w:rPr>
                      <w:rFonts w:eastAsiaTheme="minorEastAsia"/>
                      <w:sz w:val="21"/>
                      <w:szCs w:val="21"/>
                      <w:shd w:val="clear" w:color="auto" w:fill="FFFFFF" w:themeFill="background1"/>
                    </w:rPr>
                    <w:t>本环评依照环境保护相关法律法规、标准及规范要求，提出了一系列施工期生态环境、声环境、水环境、大气环境保护措施以及固体废物处置措施和要求，并将在项目建设过程中同时组织实施环境影响评价文件及其审批部门审批决定中提出的环境保护对策措施。</w:t>
                  </w:r>
                </w:p>
              </w:tc>
            </w:tr>
            <w:tr w14:paraId="5D5F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3" w:type="dxa"/>
                  <w:vAlign w:val="center"/>
                </w:tcPr>
                <w:p w14:paraId="218B0948">
                  <w:pPr>
                    <w:adjustRightInd w:val="0"/>
                    <w:snapToGrid w:val="0"/>
                    <w:jc w:val="center"/>
                    <w:rPr>
                      <w:rFonts w:eastAsiaTheme="minorEastAsia"/>
                      <w:sz w:val="21"/>
                      <w:szCs w:val="21"/>
                      <w:shd w:val="clear" w:color="auto" w:fill="FFFFFF" w:themeFill="background1"/>
                    </w:rPr>
                  </w:pPr>
                  <w:r>
                    <w:rPr>
                      <w:rFonts w:eastAsiaTheme="minorEastAsia"/>
                      <w:sz w:val="21"/>
                      <w:szCs w:val="21"/>
                      <w:shd w:val="clear" w:color="auto" w:fill="FFFFFF" w:themeFill="background1"/>
                    </w:rPr>
                    <w:t>运营期</w:t>
                  </w:r>
                </w:p>
              </w:tc>
              <w:tc>
                <w:tcPr>
                  <w:tcW w:w="3434" w:type="dxa"/>
                  <w:vAlign w:val="center"/>
                </w:tcPr>
                <w:p w14:paraId="20D9D9E1">
                  <w:pPr>
                    <w:adjustRightInd w:val="0"/>
                    <w:snapToGrid w:val="0"/>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1、运行期做好环境保护设施的维护和运行管理，加强巡查和检查，保障发挥环境保护作用。定期开展环境监测，确保电磁、噪声、废水排放符合GB 8702、GB 12348、GB 8978等国家标准要求，并及时解决公众合理的环境保护诉求。</w:t>
                  </w:r>
                </w:p>
                <w:p w14:paraId="2E65ECE2">
                  <w:pP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2、运行期应对事故油池的完好情况进行检查，确保无渗漏、无溢流。</w:t>
                  </w:r>
                </w:p>
                <w:p w14:paraId="5B00E3DC">
                  <w:pP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2526" w:type="dxa"/>
                  <w:vAlign w:val="center"/>
                </w:tcPr>
                <w:p w14:paraId="7DC8DADF">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1、在采取本报告提出的各项环保措施的前提下，可确保</w:t>
                  </w:r>
                  <w:r>
                    <w:rPr>
                      <w:rFonts w:hint="default" w:ascii="Times New Roman" w:hAnsi="Times New Roman" w:cs="Times New Roman"/>
                      <w:sz w:val="21"/>
                      <w:szCs w:val="21"/>
                      <w:shd w:val="clear" w:color="auto" w:fill="FFFFFF" w:themeFill="background1"/>
                      <w:lang w:eastAsia="zh-CN"/>
                    </w:rPr>
                    <w:t>升压站</w:t>
                  </w:r>
                  <w:r>
                    <w:rPr>
                      <w:rFonts w:hint="default" w:ascii="Times New Roman" w:hAnsi="Times New Roman" w:cs="Times New Roman" w:eastAsiaTheme="minorEastAsia"/>
                      <w:sz w:val="21"/>
                      <w:szCs w:val="21"/>
                      <w:shd w:val="clear" w:color="auto" w:fill="FFFFFF" w:themeFill="background1"/>
                    </w:rPr>
                    <w:t>产生的工频电场、工频磁场、噪声满足相应标准要求。</w:t>
                  </w:r>
                </w:p>
                <w:p w14:paraId="43A9F1F4">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2、通过加强运营期的环保设施维护，</w:t>
                  </w:r>
                  <w:r>
                    <w:rPr>
                      <w:rFonts w:hint="eastAsia" w:ascii="Times New Roman" w:hAnsi="Times New Roman" w:cs="Times New Roman"/>
                      <w:sz w:val="21"/>
                      <w:szCs w:val="21"/>
                      <w:shd w:val="clear" w:color="auto" w:fill="FFFFFF" w:themeFill="background1"/>
                      <w:lang w:eastAsia="zh-CN"/>
                    </w:rPr>
                    <w:t>项目事故池及危废间采取重点防渗措施</w:t>
                  </w:r>
                  <w:r>
                    <w:rPr>
                      <w:rFonts w:hint="default" w:ascii="Times New Roman" w:hAnsi="Times New Roman" w:cs="Times New Roman" w:eastAsiaTheme="minorEastAsia"/>
                      <w:sz w:val="21"/>
                      <w:szCs w:val="21"/>
                      <w:shd w:val="clear" w:color="auto" w:fill="FFFFFF" w:themeFill="background1"/>
                    </w:rPr>
                    <w:t>可确保事故油池无渗漏、无溢流。</w:t>
                  </w:r>
                </w:p>
                <w:p w14:paraId="66E7044C">
                  <w:pPr>
                    <w:adjustRightInd w:val="0"/>
                    <w:snapToGrid w:val="0"/>
                    <w:spacing w:line="320" w:lineRule="exac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3、运营过程中产生的废变压器油和废铅酸蓄电池作为危险废物</w:t>
                  </w:r>
                  <w:r>
                    <w:rPr>
                      <w:rFonts w:hint="default" w:ascii="Times New Roman" w:hAnsi="Times New Roman" w:cs="Times New Roman"/>
                      <w:sz w:val="21"/>
                      <w:szCs w:val="21"/>
                      <w:shd w:val="clear" w:color="auto" w:fill="FFFFFF" w:themeFill="background1"/>
                      <w:lang w:eastAsia="zh-CN"/>
                    </w:rPr>
                    <w:t>暂存于危废暂存间，</w:t>
                  </w:r>
                  <w:r>
                    <w:rPr>
                      <w:rFonts w:hint="default" w:ascii="Times New Roman" w:hAnsi="Times New Roman" w:cs="Times New Roman" w:eastAsiaTheme="minorEastAsia"/>
                      <w:sz w:val="21"/>
                      <w:szCs w:val="21"/>
                      <w:shd w:val="clear" w:color="auto" w:fill="FFFFFF" w:themeFill="background1"/>
                    </w:rPr>
                    <w:t>分别交由有危险废物处理资质的单位处理。</w:t>
                  </w:r>
                </w:p>
              </w:tc>
            </w:tr>
          </w:tbl>
          <w:p w14:paraId="0DBDC44B">
            <w:pPr>
              <w:autoSpaceDE w:val="0"/>
              <w:autoSpaceDN w:val="0"/>
              <w:adjustRightInd w:val="0"/>
              <w:snapToGrid w:val="0"/>
              <w:spacing w:beforeLines="50" w:afterLines="50" w:line="240" w:lineRule="auto"/>
              <w:ind w:firstLine="480" w:firstLineChars="200"/>
              <w:rPr>
                <w:rFonts w:hint="default" w:ascii="Times New Roman" w:hAnsi="Times New Roman" w:eastAsia="宋体" w:cs="Times New Roman"/>
                <w:sz w:val="24"/>
                <w:szCs w:val="24"/>
                <w:lang w:val="en-US" w:eastAsia="zh-CN"/>
              </w:rPr>
            </w:pPr>
          </w:p>
        </w:tc>
      </w:tr>
    </w:tbl>
    <w:p w14:paraId="3BE79622">
      <w:pPr>
        <w:numPr>
          <w:ilvl w:val="0"/>
          <w:numId w:val="0"/>
        </w:numPr>
        <w:spacing w:line="360" w:lineRule="auto"/>
        <w:ind w:firstLine="480" w:firstLineChars="200"/>
        <w:jc w:val="both"/>
        <w:rPr>
          <w:rFonts w:hint="eastAsia" w:ascii="宋体" w:hAnsi="宋体" w:eastAsia="宋体" w:cs="宋体"/>
          <w:b/>
          <w:bCs/>
          <w:sz w:val="24"/>
          <w:szCs w:val="24"/>
          <w:lang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eastAsiaTheme="minorEastAsia"/>
          <w:sz w:val="24"/>
          <w:shd w:val="clear" w:color="auto" w:fill="FFFFFF" w:themeFill="background1"/>
        </w:rPr>
        <w:t>综上所述，本工程建设满足《输变电建设项目环境保护技术要求》（HJ1113-2020）相关要求</w:t>
      </w:r>
    </w:p>
    <w:p w14:paraId="24D90178">
      <w:pPr>
        <w:pStyle w:val="20"/>
        <w:spacing w:line="240" w:lineRule="auto"/>
        <w:jc w:val="center"/>
        <w:outlineLvl w:val="0"/>
        <w:rPr>
          <w:rFonts w:hint="eastAsia" w:ascii="宋体" w:hAnsi="宋体" w:eastAsia="宋体" w:cs="宋体"/>
          <w:b/>
          <w:bCs/>
          <w:snapToGrid w:val="0"/>
          <w:color w:val="000000"/>
          <w:sz w:val="28"/>
          <w:szCs w:val="28"/>
        </w:rPr>
      </w:pPr>
      <w:r>
        <w:rPr>
          <w:rFonts w:hint="eastAsia" w:ascii="宋体" w:hAnsi="宋体" w:eastAsia="宋体" w:cs="宋体"/>
          <w:b/>
          <w:bCs/>
          <w:snapToGrid w:val="0"/>
          <w:color w:val="000000"/>
          <w:sz w:val="28"/>
          <w:szCs w:val="28"/>
        </w:rPr>
        <w:t>二、建设内容</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65"/>
      </w:tblGrid>
      <w:tr w14:paraId="023C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7AC44283">
            <w:pPr>
              <w:bidi w:val="0"/>
              <w:jc w:val="center"/>
              <w:rPr>
                <w:rFonts w:hint="default"/>
                <w:vertAlign w:val="baseline"/>
                <w:lang w:val="en-US" w:eastAsia="zh-CN"/>
              </w:rPr>
            </w:pPr>
            <w:r>
              <w:rPr>
                <w:rFonts w:hint="eastAsia"/>
                <w:vertAlign w:val="baseline"/>
                <w:lang w:val="en-US" w:eastAsia="zh-CN"/>
              </w:rPr>
              <w:t>地理位置</w:t>
            </w:r>
          </w:p>
        </w:tc>
        <w:tc>
          <w:tcPr>
            <w:tcW w:w="8065" w:type="dxa"/>
          </w:tcPr>
          <w:p w14:paraId="374CAD65">
            <w:pPr>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江东乡道坡茶厂、轩岗乡上邦瓦</w:t>
            </w:r>
            <w:r>
              <w:rPr>
                <w:rFonts w:hint="default" w:ascii="Times New Roman" w:hAnsi="Times New Roman" w:eastAsia="宋体" w:cs="Times New Roman"/>
                <w:b w:val="0"/>
                <w:bCs w:val="0"/>
                <w:color w:val="auto"/>
                <w:kern w:val="2"/>
                <w:sz w:val="24"/>
                <w:szCs w:val="24"/>
                <w:lang w:val="en-US" w:eastAsia="zh-CN" w:bidi="ar-SA"/>
              </w:rPr>
              <w:t>，场址中心距离芒市直线距离约18km。场址附近有数条道路通过，交通运输条件较为便利。场址地理坐标介</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于东经 98°23'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39.17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"～98°25'</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25.30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"、北纬 24°2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34.15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"～24°29'</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20.32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"之间，海拔在 1100m～1500m 之间。项目用地总规模为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项目布设26个光伏方阵，根据布置情况分为北片区及南片区。</w:t>
            </w:r>
            <w:r>
              <w:rPr>
                <w:rFonts w:hint="default" w:ascii="Times New Roman" w:hAnsi="Times New Roman" w:cs="Times New Roman"/>
              </w:rPr>
              <w:t>地理位置图见附图1。</w:t>
            </w:r>
          </w:p>
          <w:p w14:paraId="331FDD5C">
            <w:pPr>
              <w:pStyle w:val="43"/>
              <w:numPr>
                <w:ilvl w:val="0"/>
                <w:numId w:val="0"/>
              </w:numPr>
              <w:tabs>
                <w:tab w:val="left" w:pos="851"/>
                <w:tab w:val="clear" w:pos="425"/>
                <w:tab w:val="clear" w:pos="780"/>
              </w:tabs>
              <w:ind w:firstLine="482" w:firstLineChars="200"/>
              <w:outlineLvl w:val="2"/>
              <w:rPr>
                <w:rFonts w:hint="default"/>
                <w:lang w:val="en-US" w:eastAsia="zh-CN"/>
              </w:rPr>
            </w:pPr>
            <w:bookmarkStart w:id="1" w:name="_Toc23342"/>
            <w:bookmarkStart w:id="2" w:name="_Toc18464"/>
            <w:bookmarkStart w:id="3" w:name="_Toc380414825"/>
            <w:bookmarkStart w:id="4" w:name="_Toc197827031"/>
            <w:bookmarkStart w:id="5" w:name="_Toc71546579"/>
            <w:r>
              <w:rPr>
                <w:rFonts w:hint="default"/>
                <w:lang w:val="en-US" w:eastAsia="zh-CN"/>
              </w:rPr>
              <w:t>1、地形地貌</w:t>
            </w:r>
            <w:bookmarkEnd w:id="1"/>
            <w:bookmarkEnd w:id="2"/>
            <w:bookmarkEnd w:id="3"/>
            <w:bookmarkEnd w:id="4"/>
            <w:bookmarkEnd w:id="5"/>
          </w:p>
          <w:p w14:paraId="558F4973">
            <w:pPr>
              <w:spacing w:line="360" w:lineRule="auto"/>
              <w:ind w:firstLine="480" w:firstLineChars="200"/>
              <w:rPr>
                <w:rFonts w:hint="default" w:ascii="Times New Roman" w:hAnsi="Times New Roman" w:cs="Times New Roman"/>
                <w:lang w:val="en-US" w:eastAsia="zh-CN"/>
              </w:rPr>
            </w:pPr>
            <w:r>
              <w:rPr>
                <w:rFonts w:hint="default"/>
                <w:lang w:val="en-US" w:eastAsia="zh-CN"/>
              </w:rPr>
              <w:t>场址区岩（土）层以泥岩、砂质泥岩、粉砂岩、泥质细砂岩、泥灰岩为主，地表主要为杂</w:t>
            </w:r>
            <w:r>
              <w:rPr>
                <w:rFonts w:hint="default" w:ascii="Times New Roman" w:hAnsi="Times New Roman" w:cs="Times New Roman"/>
                <w:lang w:val="en-US" w:eastAsia="zh-CN"/>
              </w:rPr>
              <w:t>色碎石质粉土、粉质黏土层，且地下水位埋藏较深，不存在砂土液化问题。根据1:400万《中国地震动参数区划图》（GB18306-2015），工程区Ⅱ类场地</w:t>
            </w:r>
            <w:r>
              <w:rPr>
                <w:rFonts w:hint="eastAsia" w:ascii="Times New Roman" w:hAnsi="Times New Roman" w:cs="Times New Roman"/>
                <w:lang w:val="en-US" w:eastAsia="zh-CN"/>
              </w:rPr>
              <w:t>50</w:t>
            </w:r>
            <w:r>
              <w:rPr>
                <w:rFonts w:hint="default" w:ascii="Times New Roman" w:hAnsi="Times New Roman" w:cs="Times New Roman"/>
                <w:lang w:val="en-US" w:eastAsia="zh-CN"/>
              </w:rPr>
              <w:t>年超越概率10%的地震动峰值加速度为0.10g，相对应的地震基本烈度为Ⅶ度，地震动反应谱特征周期为0.45s。拟建场址总体为南向和北向缓坡地，大部分坡度在5°～25°之间，地形连续性好，总体起伏不大，区内不存在较大规模的滑坡、崩塌等不良物理地质现象，自然山坡稳定，整体上有布置光伏电站的地形地质条件。</w:t>
            </w:r>
          </w:p>
          <w:p w14:paraId="0BAAF05E">
            <w:pPr>
              <w:pStyle w:val="12"/>
              <w:ind w:left="0" w:leftChars="0" w:firstLine="0" w:firstLineChars="0"/>
            </w:pPr>
            <w:r>
              <w:drawing>
                <wp:inline distT="0" distB="0" distL="114300" distR="114300">
                  <wp:extent cx="4844415" cy="2712085"/>
                  <wp:effectExtent l="0" t="0" r="13335" b="1206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5"/>
                          <a:stretch>
                            <a:fillRect/>
                          </a:stretch>
                        </pic:blipFill>
                        <pic:spPr>
                          <a:xfrm>
                            <a:off x="0" y="0"/>
                            <a:ext cx="4844415" cy="2712085"/>
                          </a:xfrm>
                          <a:prstGeom prst="rect">
                            <a:avLst/>
                          </a:prstGeom>
                          <a:noFill/>
                          <a:ln>
                            <a:noFill/>
                          </a:ln>
                        </pic:spPr>
                      </pic:pic>
                    </a:graphicData>
                  </a:graphic>
                </wp:inline>
              </w:drawing>
            </w:r>
          </w:p>
          <w:p w14:paraId="07947C7D">
            <w:pPr>
              <w:adjustRightInd w:val="0"/>
              <w:snapToGrid w:val="0"/>
              <w:spacing w:line="360" w:lineRule="auto"/>
              <w:jc w:val="center"/>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2</w:t>
            </w:r>
            <w:r>
              <w:rPr>
                <w:rFonts w:hint="default" w:ascii="Times New Roman" w:hAnsi="Times New Roman" w:cs="Times New Roman"/>
              </w:rPr>
              <w:t>-1 场址区地形地貌</w:t>
            </w:r>
          </w:p>
          <w:p w14:paraId="70ABE018">
            <w:pPr>
              <w:pStyle w:val="43"/>
              <w:numPr>
                <w:ilvl w:val="0"/>
                <w:numId w:val="0"/>
              </w:numPr>
              <w:tabs>
                <w:tab w:val="left" w:pos="851"/>
                <w:tab w:val="clear" w:pos="425"/>
                <w:tab w:val="clear" w:pos="780"/>
              </w:tabs>
              <w:ind w:firstLine="482" w:firstLineChars="200"/>
              <w:outlineLvl w:val="2"/>
              <w:rPr>
                <w:rFonts w:hint="eastAsia"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2、工程地质</w:t>
            </w:r>
          </w:p>
          <w:p w14:paraId="00462E77">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2.1地层岩性</w:t>
            </w:r>
          </w:p>
          <w:p w14:paraId="00E5FBD4">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eastAsia" w:cs="Times New Roman" w:eastAsiaTheme="minorEastAsia"/>
                <w:color w:val="auto"/>
                <w:kern w:val="2"/>
                <w:sz w:val="24"/>
                <w:szCs w:val="24"/>
                <w:lang w:val="en-US" w:eastAsia="zh-CN" w:bidi="ar-SA"/>
              </w:rPr>
              <w:t>项目区</w:t>
            </w:r>
            <w:r>
              <w:rPr>
                <w:rFonts w:hint="default" w:ascii="Times New Roman" w:hAnsi="Times New Roman" w:cs="Times New Roman" w:eastAsiaTheme="minorEastAsia"/>
                <w:color w:val="auto"/>
                <w:kern w:val="2"/>
                <w:sz w:val="24"/>
                <w:szCs w:val="24"/>
                <w:lang w:val="en-US" w:eastAsia="zh-CN" w:bidi="ar-SA"/>
              </w:rPr>
              <w:t>出露地层相对较复杂，除第四系覆盖层外，有中元古界勐凤单元（Pt2M）的黑云二长花岗岩及广喊岩组（Pt2g）的霏细岩、浅粒岩、片麻状花岗岩和中生界晚白垩系芒棒河系列大石头单元（K2D）的细粒白云二长花岗岩。</w:t>
            </w:r>
            <w:r>
              <w:rPr>
                <w:rFonts w:hint="eastAsia" w:cs="Times New Roman" w:eastAsiaTheme="minorEastAsia"/>
                <w:color w:val="auto"/>
                <w:kern w:val="2"/>
                <w:sz w:val="24"/>
                <w:szCs w:val="24"/>
                <w:lang w:val="en-US" w:eastAsia="zh-CN" w:bidi="ar-SA"/>
              </w:rPr>
              <w:t>项目区</w:t>
            </w:r>
            <w:r>
              <w:rPr>
                <w:rFonts w:hint="default" w:ascii="Times New Roman" w:hAnsi="Times New Roman" w:cs="Times New Roman" w:eastAsiaTheme="minorEastAsia"/>
                <w:color w:val="auto"/>
                <w:kern w:val="2"/>
                <w:sz w:val="24"/>
                <w:szCs w:val="24"/>
                <w:lang w:val="en-US" w:eastAsia="zh-CN" w:bidi="ar-SA"/>
              </w:rPr>
              <w:t>内出露地层由老至新分述如下：</w:t>
            </w:r>
          </w:p>
          <w:p w14:paraId="61FC20FE">
            <w:pPr>
              <w:pStyle w:val="32"/>
              <w:widowControl w:val="0"/>
              <w:numPr>
                <w:ilvl w:val="0"/>
                <w:numId w:val="0"/>
              </w:numPr>
              <w:ind w:firstLine="480" w:firstLineChars="200"/>
              <w:jc w:val="both"/>
              <w:rPr>
                <w:rFonts w:hint="default" w:ascii="Times New Roman" w:hAnsi="Times New Roman" w:cs="Times New Roman" w:eastAsiaTheme="minorEastAsia"/>
                <w:color w:val="auto"/>
                <w:kern w:val="2"/>
                <w:sz w:val="24"/>
                <w:szCs w:val="24"/>
                <w:lang w:val="en-US" w:eastAsia="zh-CN" w:bidi="ar-SA"/>
              </w:rPr>
            </w:pPr>
            <w:r>
              <w:rPr>
                <w:rFonts w:hint="eastAsia" w:cs="Times New Roman" w:eastAsiaTheme="minorEastAsia"/>
                <w:color w:val="auto"/>
                <w:kern w:val="2"/>
                <w:sz w:val="24"/>
                <w:szCs w:val="24"/>
                <w:lang w:val="en-US" w:eastAsia="zh-CN" w:bidi="ar-SA"/>
              </w:rPr>
              <w:t>（1）</w:t>
            </w:r>
            <w:r>
              <w:rPr>
                <w:rFonts w:hint="default" w:ascii="Times New Roman" w:hAnsi="Times New Roman" w:cs="Times New Roman" w:eastAsiaTheme="minorEastAsia"/>
                <w:color w:val="auto"/>
                <w:kern w:val="2"/>
                <w:sz w:val="24"/>
                <w:szCs w:val="24"/>
                <w:lang w:val="en-US" w:eastAsia="zh-CN" w:bidi="ar-SA"/>
              </w:rPr>
              <w:t>中元古界勐凤单元（Pt2M）：灰、浅灰色中细粒黑云二长花岗岩，地表风化层呈褐黄、浅灰黄色。偶见石英脉侵入，岩石具中细粒花岗结构，片麻状构造。一般矿物成分及含量：石英28%～30%，更长石26%～30%，低微斜长石28%～30%、黑云母8%～10%。经历多期变形和变质作用</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岩石中典型的黑云二长花岗岩面貌保留较少。</w:t>
            </w:r>
          </w:p>
          <w:p w14:paraId="5EF492E8">
            <w:pPr>
              <w:pStyle w:val="32"/>
              <w:widowControl w:val="0"/>
              <w:numPr>
                <w:ilvl w:val="0"/>
                <w:numId w:val="0"/>
              </w:numPr>
              <w:ind w:firstLine="480" w:firstLineChars="20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（2）中元古界高黎贡山群广喊岩组（Pt2g）</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岩性主要有霏细岩、浅粒岩</w:t>
            </w:r>
            <w:r>
              <w:rPr>
                <w:rFonts w:hint="eastAsia"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片麻状花岗岩。主要分布于</w:t>
            </w:r>
            <w:r>
              <w:rPr>
                <w:rFonts w:hint="eastAsia" w:cs="Times New Roman" w:eastAsiaTheme="minorEastAsia"/>
                <w:color w:val="auto"/>
                <w:kern w:val="2"/>
                <w:sz w:val="24"/>
                <w:szCs w:val="24"/>
                <w:lang w:val="en-US" w:eastAsia="zh-CN" w:bidi="ar-SA"/>
              </w:rPr>
              <w:t>光伏区，</w:t>
            </w:r>
            <w:r>
              <w:rPr>
                <w:rFonts w:hint="default" w:ascii="Times New Roman" w:hAnsi="Times New Roman" w:cs="Times New Roman" w:eastAsiaTheme="minorEastAsia"/>
                <w:color w:val="auto"/>
                <w:kern w:val="2"/>
                <w:sz w:val="24"/>
                <w:szCs w:val="24"/>
                <w:lang w:val="en-US" w:eastAsia="zh-CN" w:bidi="ar-SA"/>
              </w:rPr>
              <w:t>与上覆地层呈不整合接触。</w:t>
            </w:r>
          </w:p>
          <w:p w14:paraId="7E20022D">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（3）中生界晚白垩系芒棒河系列大石头单元（K2D）：灰、灰白色细粒白云二长花岗岩，地表风化呈褐黄、紫红色。岩石具细粒（粒径 0.8mm～2mm）花岗结构，块状构造。一般矿物成分及含量为：石英 28%～29%，低正微长石 35%～41%，更长石（An=20～27）27%～32%、白云母3%～5%。</w:t>
            </w:r>
            <w:r>
              <w:rPr>
                <w:rFonts w:hint="eastAsia" w:cs="Times New Roman" w:eastAsiaTheme="minorEastAsia"/>
                <w:color w:val="auto"/>
                <w:kern w:val="2"/>
                <w:sz w:val="24"/>
                <w:szCs w:val="24"/>
                <w:lang w:val="en-US" w:eastAsia="zh-CN" w:bidi="ar-SA"/>
              </w:rPr>
              <w:t>为</w:t>
            </w:r>
            <w:r>
              <w:rPr>
                <w:rFonts w:hint="default" w:ascii="Times New Roman" w:hAnsi="Times New Roman" w:cs="Times New Roman" w:eastAsiaTheme="minorEastAsia"/>
                <w:color w:val="auto"/>
                <w:kern w:val="2"/>
                <w:sz w:val="24"/>
                <w:szCs w:val="24"/>
                <w:lang w:val="en-US" w:eastAsia="zh-CN" w:bidi="ar-SA"/>
              </w:rPr>
              <w:t>纳木关逆冲断层（F19）间主要地层，与</w:t>
            </w:r>
            <w:r>
              <w:rPr>
                <w:rFonts w:hint="eastAsia" w:cs="Times New Roman" w:eastAsiaTheme="minorEastAsia"/>
                <w:color w:val="auto"/>
                <w:kern w:val="2"/>
                <w:sz w:val="24"/>
                <w:szCs w:val="24"/>
                <w:lang w:val="en-US" w:eastAsia="zh-CN" w:bidi="ar-SA"/>
              </w:rPr>
              <w:t>光伏区</w:t>
            </w:r>
            <w:r>
              <w:rPr>
                <w:rFonts w:hint="default" w:ascii="Times New Roman" w:hAnsi="Times New Roman" w:cs="Times New Roman" w:eastAsiaTheme="minorEastAsia"/>
                <w:color w:val="auto"/>
                <w:kern w:val="2"/>
                <w:sz w:val="24"/>
                <w:szCs w:val="24"/>
                <w:lang w:val="en-US" w:eastAsia="zh-CN" w:bidi="ar-SA"/>
              </w:rPr>
              <w:t>中元古界勐凤单元（Pt2M）地层呈断层接触。</w:t>
            </w:r>
          </w:p>
          <w:p w14:paraId="54560049">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（4）第四系覆盖层（Q4）</w:t>
            </w:r>
          </w:p>
          <w:p w14:paraId="2EDE2780">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①残坡积层（Qeld）：褐红、褐黄及浅灰黄色含碎、砾石粉质粘土夹少量块石。碎、砾石成分主要为强风化浅粒岩、花岗岩，一般粒径0.2cm～3.0cm，含量一般约为 10%～15%；块石成分为强、弱风化浅粒岩、花岗岩，最大块径30cm～50cm。该层广泛分布于山坡地表，厚度一般0.5m～4m，局部可达6m。</w:t>
            </w:r>
          </w:p>
          <w:p w14:paraId="2B614593">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②滑坡堆积层(Qdel)：碎砾石质粉质粘土混少量块石，堆积物较松散，厚度一般2m~5m。</w:t>
            </w:r>
          </w:p>
          <w:p w14:paraId="597550A4">
            <w:pPr>
              <w:pStyle w:val="32"/>
              <w:widowControl w:val="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③洪冲积层（Qpal）：碎、砾石土混少量漂石、孤石及中、粗砂。碎、砾石成分主要为花岗岩及浅粒岩，次棱角状、次圆状。分布于河床两岸及河谷地带，厚度一般2m～15m。</w:t>
            </w:r>
          </w:p>
          <w:p w14:paraId="5EF6CADB">
            <w:pPr>
              <w:spacing w:line="360" w:lineRule="auto"/>
              <w:ind w:firstLine="480" w:firstLineChars="200"/>
              <w:jc w:val="left"/>
              <w:rPr>
                <w:rFonts w:hint="default" w:ascii="Times New Roman" w:hAnsi="Times New Roman" w:eastAsia="宋体" w:cs="Times New Roman"/>
                <w:color w:val="auto"/>
                <w:spacing w:val="4"/>
                <w:sz w:val="24"/>
              </w:rPr>
            </w:pPr>
            <w:r>
              <w:rPr>
                <w:rFonts w:hint="default" w:ascii="Times New Roman" w:hAnsi="Times New Roman" w:cs="Times New Roman"/>
                <w:lang w:val="en-US" w:eastAsia="zh-CN"/>
              </w:rPr>
              <w:t>2.2</w:t>
            </w:r>
            <w:r>
              <w:rPr>
                <w:rFonts w:hint="default" w:ascii="Times New Roman" w:hAnsi="Times New Roman" w:eastAsia="宋体" w:cs="Times New Roman"/>
                <w:color w:val="auto"/>
                <w:spacing w:val="4"/>
                <w:sz w:val="24"/>
              </w:rPr>
              <w:t>地质构造</w:t>
            </w:r>
          </w:p>
          <w:p w14:paraId="0301B775">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根据区域地质资料，场址区处于区域性龙陵—瑞丽断裂（F15）北西侧，区域地质构造背景复杂。根据地面地质测绘，库区主要发育</w:t>
            </w:r>
            <w:r>
              <w:rPr>
                <w:rFonts w:hint="default" w:ascii="Times New Roman" w:hAnsi="Times New Roman" w:cs="Times New Roman"/>
                <w:lang w:val="en-US" w:eastAsia="zh-CN"/>
              </w:rPr>
              <w:t>1</w:t>
            </w:r>
            <w:r>
              <w:rPr>
                <w:rFonts w:hint="default" w:ascii="Times New Roman" w:hAnsi="Times New Roman" w:cs="Times New Roman"/>
              </w:rPr>
              <w:t>条属Ⅰ级结构面纳木关逆冲断层（F19），该断层走向N60° E</w:t>
            </w:r>
            <w:r>
              <w:rPr>
                <w:rFonts w:hint="eastAsia" w:ascii="Times New Roman" w:hAnsi="Times New Roman" w:cs="Times New Roman"/>
                <w:lang w:eastAsia="zh-CN"/>
              </w:rPr>
              <w:t>，</w:t>
            </w:r>
            <w:r>
              <w:rPr>
                <w:rFonts w:hint="default" w:ascii="Times New Roman" w:hAnsi="Times New Roman" w:cs="Times New Roman"/>
              </w:rPr>
              <w:t>倾NW，倾角35°～50°</w:t>
            </w:r>
            <w:r>
              <w:rPr>
                <w:rFonts w:hint="default" w:ascii="Times New Roman" w:hAnsi="Times New Roman" w:cs="Times New Roman"/>
                <w:lang w:eastAsia="zh-CN"/>
              </w:rPr>
              <w:t>，</w:t>
            </w:r>
            <w:r>
              <w:rPr>
                <w:rFonts w:hint="default" w:ascii="Times New Roman" w:hAnsi="Times New Roman" w:cs="Times New Roman"/>
              </w:rPr>
              <w:t>根据库区两岸冲沟 C7、C8 沟口探槽揭露性状，破碎带宽度20m～35m</w:t>
            </w:r>
            <w:r>
              <w:rPr>
                <w:rFonts w:hint="default" w:ascii="Times New Roman" w:hAnsi="Times New Roman" w:cs="Times New Roman"/>
                <w:lang w:eastAsia="zh-CN"/>
              </w:rPr>
              <w:t>，</w:t>
            </w:r>
            <w:r>
              <w:rPr>
                <w:rFonts w:hint="default" w:ascii="Times New Roman" w:hAnsi="Times New Roman" w:cs="Times New Roman"/>
              </w:rPr>
              <w:t>主要由构造角砾岩、断层泥组成，胶结中等。</w:t>
            </w:r>
          </w:p>
          <w:p w14:paraId="528855C8">
            <w:pPr>
              <w:pStyle w:val="12"/>
              <w:spacing w:line="360" w:lineRule="auto"/>
              <w:rPr>
                <w:rFonts w:hint="default" w:eastAsiaTheme="minorEastAsia"/>
                <w:lang w:val="en-US" w:eastAsia="zh-CN"/>
              </w:rPr>
            </w:pPr>
            <w:r>
              <w:rPr>
                <w:rFonts w:hint="eastAsia" w:ascii="Times New Roman" w:hAnsi="Times New Roman" w:cs="Times New Roman"/>
                <w:lang w:val="en-US" w:eastAsia="zh-CN"/>
              </w:rPr>
              <w:t>2.3水文地质</w:t>
            </w:r>
          </w:p>
          <w:p w14:paraId="5A799B88">
            <w:pPr>
              <w:spacing w:line="360" w:lineRule="auto"/>
              <w:ind w:firstLine="480" w:firstLineChars="200"/>
              <w:rPr>
                <w:rFonts w:hint="eastAsia" w:ascii="宋体" w:hAnsi="宋体" w:eastAsia="宋体" w:cs="宋体"/>
              </w:rPr>
            </w:pPr>
            <w:r>
              <w:rPr>
                <w:rFonts w:hint="eastAsia" w:ascii="宋体" w:hAnsi="宋体" w:eastAsia="宋体" w:cs="宋体"/>
              </w:rPr>
              <w:t>场地位于山坡地带，水文地质条件较为简单，根据地下水的赋存条件、水动力特征，结合含水介质的组合状况，将地下水类型划分为第四系松散层孔隙水和基岩裂隙水两种类型。第四系松散层孔隙潜水含水介质主要为砂、卵砾石层，具强～中等透水，分布于河床及两岸沟谷地带；此外场地内地表普遍发育第四系残坡积层含砾粘性土，其中赋存上层滞水，一般雨季临时含水，旱季多蒸发疏干。基岩裂隙潜水主要赋存于基岩节理裂隙中，其分布与赋存受岩性和裂隙发育特征所控制，场地内岩体风化裂隙较发育，利于大气降水入渗补给与赋存。</w:t>
            </w:r>
          </w:p>
          <w:p w14:paraId="349F7029">
            <w:pPr>
              <w:pStyle w:val="12"/>
              <w:spacing w:line="360" w:lineRule="auto"/>
              <w:rPr>
                <w:rFonts w:hint="default" w:ascii="Times New Roman" w:hAnsi="Times New Roman" w:cs="Times New Roman"/>
                <w:lang w:val="en-US" w:eastAsia="zh-CN"/>
              </w:rPr>
            </w:pPr>
            <w:r>
              <w:rPr>
                <w:rFonts w:hint="eastAsia" w:ascii="Times New Roman" w:hAnsi="Times New Roman" w:cs="Times New Roman"/>
                <w:lang w:val="en-US" w:eastAsia="zh-CN"/>
              </w:rPr>
              <w:t>2.4不利地质现象</w:t>
            </w:r>
          </w:p>
          <w:p w14:paraId="3F2D3CB8">
            <w:pPr>
              <w:spacing w:line="360" w:lineRule="auto"/>
              <w:ind w:firstLine="480" w:firstLineChars="200"/>
              <w:rPr>
                <w:rFonts w:hint="default" w:ascii="Times New Roman" w:hAnsi="Times New Roman" w:eastAsia="宋体" w:cs="Times New Roman"/>
                <w:color w:val="auto"/>
                <w:spacing w:val="4"/>
                <w:sz w:val="24"/>
              </w:rPr>
            </w:pPr>
            <w:r>
              <w:rPr>
                <w:rFonts w:hint="eastAsia" w:ascii="宋体" w:hAnsi="宋体" w:eastAsia="宋体" w:cs="宋体"/>
              </w:rPr>
              <w:t>场地内植被总体较好，覆盖率相对较高，两岸缓坡地带多为经济林地。未见大规模的滑坡、崩塌、泥石流等不良物理地质现象。</w:t>
            </w:r>
            <w:r>
              <w:rPr>
                <w:rFonts w:hint="default" w:ascii="Times New Roman" w:hAnsi="Times New Roman" w:eastAsia="宋体" w:cs="Times New Roman"/>
                <w:color w:val="auto"/>
                <w:spacing w:val="4"/>
                <w:sz w:val="24"/>
              </w:rPr>
              <w:t>场地附近不良地质作用主要为岩溶及小型冲沟。</w:t>
            </w:r>
          </w:p>
          <w:p w14:paraId="5203B17D">
            <w:pPr>
              <w:spacing w:line="360" w:lineRule="auto"/>
              <w:ind w:firstLine="498"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pacing w:val="4"/>
                <w:sz w:val="24"/>
              </w:rPr>
              <w:t>3</w:t>
            </w:r>
            <w:r>
              <w:rPr>
                <w:rFonts w:hint="default" w:ascii="Times New Roman" w:hAnsi="Times New Roman" w:eastAsia="宋体" w:cs="Times New Roman"/>
                <w:b/>
                <w:bCs/>
                <w:color w:val="auto"/>
                <w:sz w:val="24"/>
                <w:szCs w:val="24"/>
                <w:lang w:bidi="ar"/>
              </w:rPr>
              <w:t>、河流水系</w:t>
            </w:r>
          </w:p>
          <w:p w14:paraId="37B6A8F8">
            <w:pPr>
              <w:autoSpaceDE w:val="0"/>
              <w:autoSpaceDN w:val="0"/>
              <w:spacing w:line="360" w:lineRule="auto"/>
              <w:ind w:firstLine="480" w:firstLineChars="200"/>
              <w:rPr>
                <w:rFonts w:hint="default" w:ascii="Times New Roman" w:hAnsi="Times New Roman" w:eastAsia="宋体" w:cs="Times New Roman"/>
                <w:snapToGrid w:val="0"/>
                <w:color w:val="auto"/>
                <w:kern w:val="0"/>
                <w:sz w:val="24"/>
                <w:szCs w:val="24"/>
              </w:rPr>
            </w:pPr>
            <w:bookmarkStart w:id="6" w:name="_Hlk73691300"/>
            <w:bookmarkStart w:id="7" w:name="_Toc24040"/>
            <w:bookmarkStart w:id="8" w:name="_Toc380414830"/>
            <w:r>
              <w:rPr>
                <w:rFonts w:hint="default" w:ascii="Times New Roman" w:hAnsi="Times New Roman" w:eastAsia="宋体" w:cs="Times New Roman"/>
                <w:color w:val="auto"/>
                <w:sz w:val="24"/>
              </w:rPr>
              <w:t>芒市水系主要有</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三江四河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。三江：大盈江、瑞丽江（陇川江）、怒江；四河：芒市河、南晚河、户撒河、芒东河（萝卜坝河）。芒市年平均总产水量31.8亿m³，其中地表水23.11亿m³，地下水8.69亿m³。</w:t>
            </w:r>
            <w:r>
              <w:rPr>
                <w:rFonts w:hint="default" w:ascii="Times New Roman" w:hAnsi="Times New Roman" w:eastAsia="宋体" w:cs="Times New Roman"/>
                <w:color w:val="auto"/>
                <w:sz w:val="24"/>
                <w:szCs w:val="24"/>
                <w:lang w:bidi="ar"/>
              </w:rPr>
              <w:t>芒市年均地表水量为23.11亿m</w:t>
            </w:r>
            <w:r>
              <w:rPr>
                <w:rFonts w:hint="default" w:ascii="Times New Roman" w:hAnsi="Times New Roman" w:eastAsia="宋体" w:cs="Times New Roman"/>
                <w:color w:val="auto"/>
                <w:sz w:val="24"/>
                <w:szCs w:val="24"/>
                <w:vertAlign w:val="superscript"/>
                <w:lang w:bidi="ar"/>
              </w:rPr>
              <w:t>3</w:t>
            </w:r>
            <w:r>
              <w:rPr>
                <w:rFonts w:hint="default" w:ascii="Times New Roman" w:hAnsi="Times New Roman" w:eastAsia="宋体" w:cs="Times New Roman"/>
                <w:color w:val="auto"/>
                <w:sz w:val="24"/>
                <w:szCs w:val="24"/>
                <w:lang w:bidi="ar"/>
              </w:rPr>
              <w:t>，河流分别属于伊洛瓦底江和怒江水系。其中伊洛瓦底江流域面积为2360km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，占全市总流域面积的80.5%，流域内水系发育呈叶脉状，有大小河流139条，主要河流有南乃河、芒岗河、户阳河、邵址河、板过河、二级支流主要有放马桥河、中河、户养河、轩岗河等；怒江流域面积为570.7km</w:t>
            </w:r>
            <w:r>
              <w:rPr>
                <w:rFonts w:hint="default" w:ascii="Times New Roman" w:hAnsi="Times New Roman" w:eastAsia="宋体" w:cs="Times New Roman"/>
                <w:color w:val="auto"/>
                <w:sz w:val="24"/>
                <w:szCs w:val="24"/>
                <w:vertAlign w:val="superscript"/>
                <w:lang w:bidi="ar"/>
              </w:rPr>
              <w:t>2</w:t>
            </w:r>
            <w:r>
              <w:rPr>
                <w:rFonts w:hint="default" w:ascii="Times New Roman" w:hAnsi="Times New Roman" w:eastAsia="宋体" w:cs="Times New Roman"/>
                <w:color w:val="auto"/>
                <w:sz w:val="24"/>
                <w:szCs w:val="24"/>
                <w:lang w:bidi="ar"/>
              </w:rPr>
              <w:t>，占全市总流域面积的19.5%，流域内水系发育呈叶脉状，有大小河流90条，主要支流有：朗油河、即毕河、万马河、清水河和芒辛河等。</w:t>
            </w:r>
          </w:p>
          <w:bookmarkEnd w:id="6"/>
          <w:p w14:paraId="1E18E265">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lang w:bidi="ar"/>
              </w:rPr>
              <w:t>根据调查，距离项目光伏方阵</w:t>
            </w:r>
            <w:r>
              <w:rPr>
                <w:rFonts w:hint="eastAsia" w:ascii="宋体" w:hAnsi="宋体" w:eastAsia="宋体" w:cs="宋体"/>
                <w:b w:val="0"/>
                <w:bCs w:val="0"/>
                <w:spacing w:val="0"/>
                <w:kern w:val="2"/>
                <w:sz w:val="24"/>
                <w:szCs w:val="24"/>
                <w:lang w:val="en-US" w:eastAsia="zh-CN" w:bidi="ar-SA"/>
              </w:rPr>
              <w:t>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w:t>
            </w:r>
            <w:r>
              <w:rPr>
                <w:rFonts w:hint="default" w:ascii="Times New Roman" w:hAnsi="Times New Roman" w:eastAsia="宋体" w:cs="Times New Roman"/>
                <w:color w:val="auto"/>
                <w:sz w:val="24"/>
                <w:szCs w:val="24"/>
              </w:rPr>
              <w:t>。项目在施工及运行过程中不会对河流水系造成影响。</w:t>
            </w:r>
            <w:r>
              <w:rPr>
                <w:rFonts w:hint="default" w:ascii="Times New Roman" w:hAnsi="Times New Roman" w:eastAsia="宋体" w:cs="Times New Roman"/>
                <w:color w:val="auto"/>
                <w:kern w:val="0"/>
                <w:sz w:val="24"/>
                <w:szCs w:val="24"/>
                <w:lang w:bidi="ar"/>
              </w:rPr>
              <w:t xml:space="preserve"> </w:t>
            </w:r>
          </w:p>
          <w:p w14:paraId="1D53FCBF">
            <w:pPr>
              <w:spacing w:line="360" w:lineRule="auto"/>
              <w:ind w:firstLine="482" w:firstLineChars="200"/>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4、土壤</w:t>
            </w:r>
            <w:bookmarkEnd w:id="7"/>
            <w:bookmarkEnd w:id="8"/>
          </w:p>
          <w:p w14:paraId="05AF3BF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bidi="ar"/>
              </w:rPr>
              <w:t>芒市共有9个土类，16个亚类，35个土属，58个土种。其中：砖红壤性红壤面积260.2万亩，占总面积的58.1%，共分为2个亚类，10个土属，15个土种，主要分布在海拔150米以下的山地、坝区阶地和低丘。红壤面积78.8万亩，占总面积的17.6%，共分为2个亚类，6个土属，9个土种。主要分布在海拔1500m-2000m之间山地。黄壤面积26万亩，占总面积的5.8%，共分为2个土属，3个土种</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w:t>
            </w:r>
            <w:r>
              <w:rPr>
                <w:rFonts w:hint="eastAsia" w:ascii="Times New Roman" w:hAnsi="Times New Roman" w:eastAsia="宋体" w:cs="Times New Roman"/>
                <w:color w:val="auto"/>
                <w:sz w:val="24"/>
                <w:szCs w:val="24"/>
                <w:lang w:eastAsia="zh-CN" w:bidi="ar"/>
              </w:rPr>
              <w:t>海拔</w:t>
            </w:r>
            <w:r>
              <w:rPr>
                <w:rFonts w:hint="default" w:ascii="Times New Roman" w:hAnsi="Times New Roman" w:eastAsia="宋体" w:cs="Times New Roman"/>
                <w:color w:val="auto"/>
                <w:sz w:val="24"/>
                <w:szCs w:val="24"/>
                <w:lang w:bidi="ar"/>
              </w:rPr>
              <w:t>2000m-2600m之间山地。棕壤面积1.8万亩，占总面积的0.4%</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主要分布在海拔2630m-2889m之间山地，土壤发育慢，矿质风化程度低，含砾砂多，保水保肥力差，共分为3个亚类，7个土属，22个土种。石灰岩面积30万亩，占总面积的6.7%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分布零散不成带域，主要在勐嘎镇，东山乡的部分地区，质地较粘细，保水保肥力强。紫色土面积7.6万亩，占总面积的1.7%</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三台山乡、法帕镇的部分地区，土质偏粘，保水保肥力强，冲积土面积2.4万亩，占总面积的0.5%。主要分布在芒市大河流两岸的河漫滩平地上，质地砂性，保水保肥力差。沼泽土面积1123亩，占总面积的0.03%</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主要分布在芒市、芒里的部分地区，土壤质地粘细含水多。</w:t>
            </w:r>
          </w:p>
          <w:p w14:paraId="268402C7">
            <w:pPr>
              <w:spacing w:line="360" w:lineRule="auto"/>
              <w:ind w:firstLine="480" w:firstLineChars="200"/>
              <w:rPr>
                <w:rFonts w:hint="eastAsia" w:ascii="Times New Roman" w:hAnsi="Times New Roman" w:eastAsia="宋体" w:cs="Times New Roman"/>
                <w:color w:val="auto"/>
                <w:sz w:val="24"/>
                <w:szCs w:val="24"/>
                <w:lang w:eastAsia="zh-CN" w:bidi="ar"/>
              </w:rPr>
            </w:pPr>
            <w:r>
              <w:rPr>
                <w:rFonts w:hint="default" w:ascii="Times New Roman" w:hAnsi="Times New Roman" w:eastAsia="宋体" w:cs="Times New Roman"/>
                <w:color w:val="auto"/>
                <w:sz w:val="24"/>
                <w:szCs w:val="24"/>
                <w:lang w:bidi="ar"/>
              </w:rPr>
              <w:t>根据现场踏勘，项目区内主要土壤种类为黄棕壤</w:t>
            </w:r>
            <w:r>
              <w:rPr>
                <w:rFonts w:hint="eastAsia" w:ascii="Times New Roman" w:hAnsi="Times New Roman" w:eastAsia="宋体" w:cs="Times New Roman"/>
                <w:color w:val="auto"/>
                <w:sz w:val="24"/>
                <w:szCs w:val="24"/>
                <w:lang w:eastAsia="zh-CN" w:bidi="ar"/>
              </w:rPr>
              <w:t>。</w:t>
            </w:r>
          </w:p>
          <w:p w14:paraId="665BFEEF">
            <w:pPr>
              <w:numPr>
                <w:ilvl w:val="0"/>
                <w:numId w:val="4"/>
              </w:numPr>
              <w:spacing w:line="360" w:lineRule="auto"/>
              <w:ind w:left="480" w:leftChars="0" w:firstLine="0" w:firstLineChars="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sz w:val="24"/>
                <w:szCs w:val="24"/>
                <w:lang w:val="en-US" w:eastAsia="zh-CN" w:bidi="ar"/>
              </w:rPr>
              <w:t>水土流失</w:t>
            </w:r>
          </w:p>
          <w:p w14:paraId="5D849C14">
            <w:pPr>
              <w:widowControl/>
              <w:spacing w:line="360" w:lineRule="auto"/>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kern w:val="2"/>
                <w:sz w:val="24"/>
                <w:szCs w:val="24"/>
                <w:lang w:val="en-US" w:eastAsia="zh-CN" w:bidi="ar"/>
              </w:rPr>
              <w:t>据《云南省2004年土壤侵蚀现状遥感调查报告》，工程所在的芒市水土流失面积占总面积的33.34%，所占比重相对较小，水土流失面积中，以轻度和中度侵蚀为主，极强度和剧烈侵蚀所占比重很少。根据水利部办公厅文件〔2013〕188 号公告《全国水土保持规划国家级水</w:t>
            </w:r>
            <w:r>
              <w:rPr>
                <w:rFonts w:hint="eastAsia" w:ascii="Times New Roman" w:hAnsi="Times New Roman" w:eastAsia="宋体" w:cs="Times New Roman"/>
                <w:color w:val="auto"/>
                <w:kern w:val="2"/>
                <w:sz w:val="24"/>
                <w:szCs w:val="24"/>
                <w:lang w:val="en-US" w:eastAsia="zh-CN" w:bidi="ar"/>
              </w:rPr>
              <w:t>土</w:t>
            </w:r>
            <w:r>
              <w:rPr>
                <w:rFonts w:hint="default" w:ascii="Times New Roman" w:hAnsi="Times New Roman" w:eastAsia="宋体" w:cs="Times New Roman"/>
                <w:color w:val="auto"/>
                <w:kern w:val="2"/>
                <w:sz w:val="24"/>
                <w:szCs w:val="24"/>
                <w:lang w:val="en-US" w:eastAsia="zh-CN" w:bidi="ar"/>
              </w:rPr>
              <w:t>流失重点预防区和重点治理区复核划分成果》，本项目所在的芒市不属于国家级水土流失重点预防区和重点治理区，同时根据《云南省人民政府关于划分水土流失重点防治区的公告》(云政发〔2007〕165 号），项目区属云南省水土保持重点治理</w:t>
            </w:r>
            <w:r>
              <w:rPr>
                <w:rFonts w:hint="default" w:ascii="Times New Roman" w:hAnsi="Times New Roman" w:eastAsia="宋体" w:cs="Times New Roman"/>
                <w:color w:val="auto"/>
                <w:sz w:val="24"/>
                <w:szCs w:val="24"/>
                <w:lang w:val="en-US" w:eastAsia="zh-CN" w:bidi="ar"/>
              </w:rPr>
              <w:t>区，故水土流失防治执行二级标准。</w:t>
            </w:r>
          </w:p>
          <w:p w14:paraId="19AA12F5">
            <w:pPr>
              <w:widowControl/>
              <w:spacing w:line="360" w:lineRule="auto"/>
              <w:ind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芒市水土流失区域主要分布在山区、半山区交界地带，这些地带地形起伏大，山坡陡峻。沟谷深切，倾斜度较大。水土流失类型以水力侵蚀为主，主要表现为面蚀、沟蚀。</w:t>
            </w:r>
          </w:p>
          <w:p w14:paraId="1457C8BE">
            <w:pPr>
              <w:widowControl/>
              <w:spacing w:line="360" w:lineRule="auto"/>
              <w:ind w:firstLine="480" w:firstLineChars="200"/>
              <w:rPr>
                <w:rFonts w:hint="default"/>
                <w:lang w:val="en-US" w:eastAsia="zh-CN"/>
              </w:rPr>
            </w:pPr>
            <w:r>
              <w:rPr>
                <w:rFonts w:hint="eastAsia" w:ascii="Times New Roman" w:hAnsi="Times New Roman" w:eastAsia="宋体" w:cs="Times New Roman"/>
                <w:color w:val="auto"/>
                <w:sz w:val="24"/>
                <w:szCs w:val="24"/>
                <w:lang w:val="en-US" w:eastAsia="zh-CN" w:bidi="ar"/>
              </w:rPr>
              <w:t>根据调查，</w:t>
            </w:r>
            <w:r>
              <w:rPr>
                <w:rFonts w:hint="default" w:ascii="Times New Roman" w:hAnsi="Times New Roman" w:eastAsia="宋体" w:cs="Times New Roman"/>
                <w:color w:val="auto"/>
                <w:sz w:val="24"/>
                <w:szCs w:val="24"/>
                <w:lang w:val="en-US" w:eastAsia="zh-CN" w:bidi="ar"/>
              </w:rPr>
              <w:t>本工程建设区天然状态下平均土壤侵蚀模数为483t/km</w:t>
            </w:r>
            <w:r>
              <w:rPr>
                <w:rFonts w:hint="default" w:ascii="Times New Roman" w:hAnsi="Times New Roman" w:eastAsia="宋体" w:cs="Times New Roman"/>
                <w:color w:val="auto"/>
                <w:sz w:val="24"/>
                <w:szCs w:val="24"/>
                <w:vertAlign w:val="superscript"/>
                <w:lang w:val="en-US" w:eastAsia="zh-CN" w:bidi="ar"/>
              </w:rPr>
              <w:t>2</w:t>
            </w:r>
            <w:r>
              <w:rPr>
                <w:rFonts w:hint="default" w:ascii="Times New Roman" w:hAnsi="Times New Roman" w:eastAsia="宋体" w:cs="Times New Roman"/>
                <w:color w:val="auto"/>
                <w:sz w:val="24"/>
                <w:szCs w:val="24"/>
                <w:lang w:val="en-US" w:eastAsia="zh-CN" w:bidi="ar"/>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w:t>
            </w:r>
            <w:r>
              <w:rPr>
                <w:rFonts w:hint="eastAsia" w:ascii="Times New Roman" w:hAnsi="Times New Roman" w:eastAsia="宋体" w:cs="Times New Roman"/>
                <w:color w:val="auto"/>
                <w:sz w:val="24"/>
                <w:szCs w:val="24"/>
                <w:lang w:val="en-US" w:eastAsia="zh-CN" w:bidi="ar"/>
              </w:rPr>
              <w:t>园地</w:t>
            </w:r>
            <w:r>
              <w:rPr>
                <w:rFonts w:hint="default" w:ascii="Times New Roman" w:hAnsi="Times New Roman" w:eastAsia="宋体" w:cs="Times New Roman"/>
                <w:color w:val="auto"/>
                <w:sz w:val="24"/>
                <w:szCs w:val="24"/>
                <w:lang w:val="en-US" w:eastAsia="zh-CN" w:bidi="ar"/>
              </w:rPr>
              <w:t>，植被覆盖较好，具有较好的水土保持功能。</w:t>
            </w:r>
          </w:p>
        </w:tc>
      </w:tr>
      <w:tr w14:paraId="60B7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9" w:hRule="atLeast"/>
        </w:trPr>
        <w:tc>
          <w:tcPr>
            <w:tcW w:w="457" w:type="dxa"/>
            <w:vAlign w:val="center"/>
          </w:tcPr>
          <w:p w14:paraId="61C8089C">
            <w:pPr>
              <w:bidi w:val="0"/>
              <w:jc w:val="center"/>
              <w:rPr>
                <w:rFonts w:hint="eastAsia"/>
                <w:vertAlign w:val="baseline"/>
                <w:lang w:val="en-US" w:eastAsia="zh-CN"/>
              </w:rPr>
            </w:pPr>
            <w:r>
              <w:rPr>
                <w:rFonts w:ascii="Times New Roman" w:hAnsi="Times New Roman"/>
                <w:color w:val="000000"/>
                <w:kern w:val="0"/>
                <w:sz w:val="24"/>
              </w:rPr>
              <w:t>项目组成及规模</w:t>
            </w:r>
          </w:p>
        </w:tc>
        <w:tc>
          <w:tcPr>
            <w:tcW w:w="8065" w:type="dxa"/>
          </w:tcPr>
          <w:p w14:paraId="65F35E9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一、主体工程</w:t>
            </w:r>
          </w:p>
          <w:p w14:paraId="4838865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lang w:eastAsia="zh-CN"/>
              </w:rPr>
            </w:pPr>
            <w:r>
              <w:rPr>
                <w:rFonts w:hint="eastAsia" w:ascii="Times New Roman" w:hAnsi="Times New Roman" w:cs="Times New Roman"/>
                <w:b/>
                <w:bCs/>
                <w:lang w:val="en-US" w:eastAsia="zh-CN"/>
              </w:rPr>
              <w:t>1</w:t>
            </w:r>
            <w:r>
              <w:rPr>
                <w:rFonts w:hint="eastAsia" w:ascii="Times New Roman" w:hAnsi="Times New Roman" w:cs="Times New Roman"/>
                <w:b/>
                <w:bCs/>
                <w:lang w:eastAsia="zh-CN"/>
              </w:rPr>
              <w:t>、项目基本情况</w:t>
            </w:r>
          </w:p>
          <w:p w14:paraId="68B229D8">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lang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1）项目名称：</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芒市江东光伏发电项目</w:t>
            </w:r>
          </w:p>
          <w:p w14:paraId="1EC39FF5">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（2）建设地点：江东乡道坡茶厂、轩岗乡上邦瓦</w:t>
            </w:r>
          </w:p>
          <w:p w14:paraId="652D8287">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（3）建设单位：芒市德天新能源有限公司</w:t>
            </w:r>
          </w:p>
          <w:p w14:paraId="44F910A8">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（4）建设性质：新建</w:t>
            </w:r>
          </w:p>
          <w:p w14:paraId="3ADDAA9D">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（5）总投资和环保投资：总投资31050万元，环保投资262.5万元。</w:t>
            </w:r>
          </w:p>
          <w:p w14:paraId="46183D56">
            <w:pPr>
              <w:spacing w:line="360" w:lineRule="auto"/>
              <w:ind w:firstLine="480" w:firstLineChars="200"/>
              <w:jc w:val="left"/>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（6）建设内容及规模：</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项目用地总规模为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升压站</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占地面积约</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8970</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，项目设置26个光伏方阵，根据布置情况分为北片区及南片区，光伏阵列占地面积约1032255</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2</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2F4CF811">
            <w:pPr>
              <w:spacing w:line="360" w:lineRule="auto"/>
              <w:ind w:firstLine="480" w:firstLineChars="200"/>
              <w:jc w:val="left"/>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本项目安装容量 88MWp，额定容量69MW。共计分成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auto"/>
                <w:sz w:val="24"/>
                <w:szCs w:val="24"/>
                <w:lang w:val="en-US" w:eastAsia="zh-CN" w:bidi="ar"/>
              </w:rPr>
              <w:t>全部采用650Wp双面双玻电池组件，320kW组串式逆变器，采用固定支架运行方式</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。每个3.2MW、2MW、1.6MW、1MW 光伏方阵电力经箱变升压至35kV后，通过35kV电缆分接箱并联至35kV集电线路，</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采用3回集电线路汇集电力输送至 110kV 升压站。</w:t>
            </w:r>
          </w:p>
          <w:p w14:paraId="0C7CAAEA">
            <w:pPr>
              <w:spacing w:line="360" w:lineRule="auto"/>
              <w:ind w:firstLine="480" w:firstLineChars="200"/>
              <w:jc w:val="left"/>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工程拟在光伏电站内建设110kV升</w:t>
            </w:r>
            <w:r>
              <w:rPr>
                <w:rFonts w:hint="eastAsia" w:ascii="Times New Roman" w:hAnsi="Times New Roman" w:eastAsia="宋体" w:cs="Times New Roman"/>
                <w:color w:val="auto"/>
                <w:sz w:val="24"/>
                <w:szCs w:val="24"/>
                <w:lang w:val="en-US" w:eastAsia="zh-CN" w:bidi="ar"/>
              </w:rPr>
              <w:t>压站1座，主变容量为1×69MVA，</w:t>
            </w:r>
            <w:r>
              <w:rPr>
                <w:rFonts w:hint="default" w:ascii="Times New Roman" w:hAnsi="Times New Roman" w:eastAsia="宋体" w:cs="Times New Roman"/>
                <w:color w:val="auto"/>
                <w:sz w:val="24"/>
                <w:szCs w:val="24"/>
                <w:lang w:val="en-US" w:eastAsia="zh-CN" w:bidi="ar"/>
              </w:rPr>
              <w:t>升压站内布置</w:t>
            </w:r>
            <w:r>
              <w:rPr>
                <w:rFonts w:hint="eastAsia" w:ascii="Times New Roman" w:hAnsi="Times New Roman" w:eastAsia="宋体" w:cs="Times New Roman"/>
                <w:color w:val="auto"/>
                <w:sz w:val="24"/>
                <w:szCs w:val="24"/>
                <w:lang w:val="en-US" w:eastAsia="zh-CN" w:bidi="ar"/>
              </w:rPr>
              <w:t>生活区及生产区。</w:t>
            </w:r>
            <w:r>
              <w:rPr>
                <w:rFonts w:hint="default" w:ascii="Times New Roman" w:hAnsi="Times New Roman" w:eastAsia="宋体" w:cs="Times New Roman"/>
                <w:color w:val="auto"/>
                <w:sz w:val="24"/>
                <w:szCs w:val="24"/>
                <w:lang w:val="en-US" w:eastAsia="zh-CN" w:bidi="ar"/>
              </w:rPr>
              <w:t>升压站总布置将场地划分为生产区和生活区两部分</w:t>
            </w:r>
            <w:r>
              <w:rPr>
                <w:rFonts w:hint="eastAsia" w:ascii="Times New Roman" w:hAnsi="Times New Roman" w:eastAsia="宋体" w:cs="Times New Roman"/>
                <w:color w:val="auto"/>
                <w:sz w:val="24"/>
                <w:szCs w:val="24"/>
                <w:lang w:val="en-US" w:eastAsia="zh-CN" w:bidi="ar"/>
              </w:rPr>
              <w:t>。生活区设有生活楼、回车平台、危废暂存间及场内绿化。生产区</w:t>
            </w:r>
            <w:r>
              <w:rPr>
                <w:rFonts w:hint="default" w:ascii="Times New Roman" w:hAnsi="Times New Roman" w:eastAsia="宋体" w:cs="Times New Roman"/>
                <w:color w:val="auto"/>
                <w:sz w:val="24"/>
                <w:szCs w:val="24"/>
                <w:lang w:val="en-US" w:eastAsia="zh-CN" w:bidi="ar"/>
              </w:rPr>
              <w:t>布置户外GIS、SVG无功补偿装置和配电装置</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生产预制舱、主变、事故油池、电池储能仓</w:t>
            </w:r>
            <w:r>
              <w:rPr>
                <w:rFonts w:hint="eastAsia" w:ascii="Times New Roman" w:hAnsi="Times New Roman" w:eastAsia="宋体" w:cs="Times New Roman"/>
                <w:color w:val="auto"/>
                <w:sz w:val="24"/>
                <w:szCs w:val="24"/>
                <w:lang w:val="en-US" w:eastAsia="zh-CN" w:bidi="ar"/>
              </w:rPr>
              <w:t>及附属用房。电站以1回110kV线路接入110kV轩岗变，输出线路长度约为12km</w:t>
            </w:r>
            <w:r>
              <w:rPr>
                <w:rFonts w:hint="default" w:ascii="Times New Roman" w:hAnsi="Times New Roman" w:eastAsia="宋体" w:cs="Times New Roman"/>
                <w:color w:val="auto"/>
                <w:sz w:val="24"/>
                <w:szCs w:val="24"/>
                <w:lang w:val="en-US" w:eastAsia="zh-CN" w:bidi="ar"/>
              </w:rPr>
              <w:t>单独立项实施，单独履行环保手续</w:t>
            </w:r>
            <w:r>
              <w:rPr>
                <w:rFonts w:hint="eastAsia" w:ascii="Times New Roman" w:hAnsi="Times New Roman" w:eastAsia="宋体" w:cs="Times New Roman"/>
                <w:color w:val="auto"/>
                <w:sz w:val="24"/>
                <w:szCs w:val="24"/>
                <w:lang w:val="en-US" w:eastAsia="zh-CN" w:bidi="ar"/>
              </w:rPr>
              <w:t>。不属于本项目建设内容和评价对</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象。且本次评价不包含项目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110kV升压站电磁环境影响</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评价。</w:t>
            </w:r>
          </w:p>
          <w:p w14:paraId="460906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2、工程组成</w:t>
            </w:r>
          </w:p>
          <w:p w14:paraId="0B2504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工程主要由主体工程光伏阵列、逆变器、升压站、集电线路</w:t>
            </w:r>
            <w:r>
              <w:rPr>
                <w:rFonts w:hint="eastAsia" w:ascii="Times New Roman" w:hAnsi="Times New Roman" w:eastAsia="宋体" w:cs="Times New Roman"/>
                <w:color w:val="auto"/>
                <w:kern w:val="0"/>
                <w:sz w:val="24"/>
                <w:szCs w:val="24"/>
                <w:lang w:eastAsia="zh-CN"/>
              </w:rPr>
              <w:t>以及</w:t>
            </w:r>
            <w:r>
              <w:rPr>
                <w:rFonts w:hint="default" w:ascii="Times New Roman" w:hAnsi="Times New Roman" w:eastAsia="宋体" w:cs="Times New Roman"/>
                <w:color w:val="auto"/>
                <w:kern w:val="0"/>
                <w:sz w:val="24"/>
                <w:szCs w:val="24"/>
              </w:rPr>
              <w:t>公辅工程</w:t>
            </w:r>
            <w:r>
              <w:rPr>
                <w:rFonts w:hint="eastAsia" w:ascii="Times New Roman" w:hAnsi="Times New Roman" w:eastAsia="宋体" w:cs="Times New Roman"/>
                <w:color w:val="auto"/>
                <w:kern w:val="0"/>
                <w:sz w:val="24"/>
                <w:szCs w:val="24"/>
                <w:lang w:eastAsia="zh-CN"/>
              </w:rPr>
              <w:t>和</w:t>
            </w:r>
            <w:r>
              <w:rPr>
                <w:rFonts w:hint="default" w:ascii="Times New Roman" w:hAnsi="Times New Roman" w:eastAsia="宋体" w:cs="Times New Roman"/>
                <w:color w:val="auto"/>
                <w:kern w:val="0"/>
                <w:sz w:val="24"/>
                <w:szCs w:val="24"/>
              </w:rPr>
              <w:t>环保工程组成。</w:t>
            </w:r>
            <w:r>
              <w:rPr>
                <w:rFonts w:hint="eastAsia" w:ascii="Times New Roman" w:hAnsi="Times New Roman" w:eastAsia="宋体" w:cs="Times New Roman"/>
                <w:color w:val="auto"/>
                <w:kern w:val="0"/>
                <w:sz w:val="24"/>
                <w:szCs w:val="24"/>
                <w:lang w:eastAsia="zh-CN"/>
              </w:rPr>
              <w:t>本项目工程组成情况详细表2-1。</w:t>
            </w:r>
          </w:p>
          <w:p w14:paraId="0CBA6611">
            <w:pPr>
              <w:adjustRightInd w:val="0"/>
              <w:snapToGrid w:val="0"/>
              <w:spacing w:line="240" w:lineRule="auto"/>
              <w:ind w:firstLine="482"/>
              <w:jc w:val="center"/>
              <w:rPr>
                <w:rFonts w:ascii="Times New Roman" w:hAnsi="Times New Roman"/>
                <w:b/>
                <w:color w:val="auto"/>
                <w:sz w:val="21"/>
                <w:szCs w:val="21"/>
              </w:rPr>
            </w:pPr>
          </w:p>
          <w:p w14:paraId="154819ED">
            <w:pPr>
              <w:adjustRightInd w:val="0"/>
              <w:snapToGrid w:val="0"/>
              <w:spacing w:line="240" w:lineRule="auto"/>
              <w:ind w:firstLine="211" w:firstLineChars="100"/>
              <w:jc w:val="center"/>
              <w:rPr>
                <w:rFonts w:ascii="Times New Roman" w:hAnsi="Times New Roman"/>
                <w:b/>
                <w:color w:val="auto"/>
                <w:sz w:val="21"/>
                <w:szCs w:val="21"/>
              </w:rPr>
            </w:pPr>
            <w:r>
              <w:rPr>
                <w:rFonts w:ascii="Times New Roman" w:hAnsi="Times New Roman"/>
                <w:b/>
                <w:color w:val="auto"/>
                <w:sz w:val="21"/>
                <w:szCs w:val="21"/>
              </w:rPr>
              <w:t>表2-1  项目组成明细表</w:t>
            </w:r>
          </w:p>
          <w:tbl>
            <w:tblPr>
              <w:tblStyle w:val="22"/>
              <w:tblW w:w="781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6"/>
              <w:gridCol w:w="488"/>
              <w:gridCol w:w="1018"/>
              <w:gridCol w:w="5163"/>
              <w:gridCol w:w="661"/>
            </w:tblGrid>
            <w:tr w14:paraId="3721A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tcBorders>
                    <w:tl2br w:val="nil"/>
                    <w:tr2bl w:val="nil"/>
                  </w:tcBorders>
                  <w:vAlign w:val="center"/>
                </w:tcPr>
                <w:p w14:paraId="0602A6E4">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分类</w:t>
                  </w:r>
                </w:p>
              </w:tc>
              <w:tc>
                <w:tcPr>
                  <w:tcW w:w="6669" w:type="dxa"/>
                  <w:gridSpan w:val="3"/>
                  <w:tcBorders>
                    <w:tl2br w:val="nil"/>
                    <w:tr2bl w:val="nil"/>
                  </w:tcBorders>
                  <w:vAlign w:val="center"/>
                </w:tcPr>
                <w:p w14:paraId="45AE1A2C">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本项目内容及规模</w:t>
                  </w:r>
                </w:p>
              </w:tc>
              <w:tc>
                <w:tcPr>
                  <w:tcW w:w="661" w:type="dxa"/>
                  <w:tcBorders>
                    <w:tl2br w:val="nil"/>
                    <w:tr2bl w:val="nil"/>
                  </w:tcBorders>
                  <w:vAlign w:val="center"/>
                </w:tcPr>
                <w:p w14:paraId="3CCD27A3">
                  <w:pPr>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备注</w:t>
                  </w:r>
                </w:p>
              </w:tc>
            </w:tr>
            <w:tr w14:paraId="0B725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0E45285E">
                  <w:pPr>
                    <w:spacing w:line="240" w:lineRule="auto"/>
                    <w:jc w:val="center"/>
                    <w:rPr>
                      <w:rFonts w:hint="default" w:ascii="Times New Roman" w:hAnsi="Times New Roman" w:eastAsia="宋体" w:cs="Times New Roman"/>
                      <w:sz w:val="21"/>
                      <w:szCs w:val="21"/>
                      <w:lang w:val="en-US" w:eastAsia="zh-CN"/>
                    </w:rPr>
                  </w:pPr>
                </w:p>
                <w:p w14:paraId="4C40B333">
                  <w:pPr>
                    <w:spacing w:line="240" w:lineRule="auto"/>
                    <w:jc w:val="center"/>
                    <w:rPr>
                      <w:rFonts w:hint="default" w:ascii="Times New Roman" w:hAnsi="Times New Roman" w:eastAsia="宋体" w:cs="Times New Roman"/>
                      <w:sz w:val="21"/>
                      <w:szCs w:val="21"/>
                      <w:lang w:val="en-US" w:eastAsia="zh-CN"/>
                    </w:rPr>
                  </w:pPr>
                </w:p>
                <w:p w14:paraId="4FFD4ACB">
                  <w:pPr>
                    <w:spacing w:line="240" w:lineRule="auto"/>
                    <w:jc w:val="center"/>
                    <w:rPr>
                      <w:rFonts w:hint="default" w:ascii="Times New Roman" w:hAnsi="Times New Roman" w:eastAsia="宋体" w:cs="Times New Roman"/>
                      <w:sz w:val="21"/>
                      <w:szCs w:val="21"/>
                      <w:lang w:val="en-US" w:eastAsia="zh-CN"/>
                    </w:rPr>
                  </w:pPr>
                </w:p>
                <w:p w14:paraId="1AA57AB7">
                  <w:pPr>
                    <w:spacing w:line="240" w:lineRule="auto"/>
                    <w:jc w:val="center"/>
                    <w:rPr>
                      <w:rFonts w:hint="default" w:ascii="Times New Roman" w:hAnsi="Times New Roman" w:eastAsia="宋体" w:cs="Times New Roman"/>
                      <w:sz w:val="21"/>
                      <w:szCs w:val="21"/>
                      <w:lang w:val="en-US" w:eastAsia="zh-CN"/>
                    </w:rPr>
                  </w:pPr>
                </w:p>
                <w:p w14:paraId="75753B28">
                  <w:pPr>
                    <w:spacing w:line="240" w:lineRule="auto"/>
                    <w:jc w:val="center"/>
                    <w:rPr>
                      <w:rFonts w:hint="default" w:ascii="Times New Roman" w:hAnsi="Times New Roman" w:eastAsia="宋体" w:cs="Times New Roman"/>
                      <w:sz w:val="21"/>
                      <w:szCs w:val="21"/>
                      <w:lang w:val="en-US" w:eastAsia="zh-CN"/>
                    </w:rPr>
                  </w:pPr>
                </w:p>
                <w:p w14:paraId="47E63DF7">
                  <w:pPr>
                    <w:spacing w:line="240" w:lineRule="auto"/>
                    <w:jc w:val="center"/>
                    <w:rPr>
                      <w:rFonts w:hint="default" w:ascii="Times New Roman" w:hAnsi="Times New Roman" w:eastAsia="宋体" w:cs="Times New Roman"/>
                      <w:sz w:val="21"/>
                      <w:szCs w:val="21"/>
                      <w:lang w:val="en-US" w:eastAsia="zh-CN"/>
                    </w:rPr>
                  </w:pPr>
                </w:p>
                <w:p w14:paraId="42324905">
                  <w:pPr>
                    <w:spacing w:line="240" w:lineRule="auto"/>
                    <w:jc w:val="center"/>
                    <w:rPr>
                      <w:rFonts w:hint="default" w:ascii="Times New Roman" w:hAnsi="Times New Roman" w:eastAsia="宋体" w:cs="Times New Roman"/>
                      <w:sz w:val="21"/>
                      <w:szCs w:val="21"/>
                      <w:lang w:val="en-US" w:eastAsia="zh-CN"/>
                    </w:rPr>
                  </w:pPr>
                </w:p>
                <w:p w14:paraId="42ACDA1D">
                  <w:pPr>
                    <w:spacing w:line="240" w:lineRule="auto"/>
                    <w:jc w:val="center"/>
                    <w:rPr>
                      <w:rFonts w:hint="default" w:ascii="Times New Roman" w:hAnsi="Times New Roman" w:eastAsia="宋体" w:cs="Times New Roman"/>
                      <w:sz w:val="21"/>
                      <w:szCs w:val="21"/>
                      <w:lang w:val="en-US" w:eastAsia="zh-CN"/>
                    </w:rPr>
                  </w:pPr>
                </w:p>
                <w:p w14:paraId="09A75C6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w:t>
                  </w:r>
                </w:p>
                <w:p w14:paraId="171750D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体</w:t>
                  </w:r>
                </w:p>
                <w:p w14:paraId="1CFBB8B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工</w:t>
                  </w:r>
                </w:p>
                <w:p w14:paraId="369B30D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程</w:t>
                  </w:r>
                </w:p>
                <w:p w14:paraId="1FC189FA">
                  <w:pPr>
                    <w:spacing w:line="240" w:lineRule="auto"/>
                    <w:jc w:val="center"/>
                    <w:rPr>
                      <w:rFonts w:hint="default" w:ascii="Times New Roman" w:hAnsi="Times New Roman" w:eastAsia="宋体" w:cs="Times New Roman"/>
                      <w:sz w:val="21"/>
                      <w:szCs w:val="21"/>
                      <w:lang w:val="en-US" w:eastAsia="zh-CN"/>
                    </w:rPr>
                  </w:pPr>
                </w:p>
                <w:p w14:paraId="0976A189">
                  <w:pPr>
                    <w:spacing w:line="240" w:lineRule="auto"/>
                    <w:jc w:val="center"/>
                    <w:rPr>
                      <w:rFonts w:hint="default" w:ascii="Times New Roman" w:hAnsi="Times New Roman" w:eastAsia="宋体" w:cs="Times New Roman"/>
                      <w:sz w:val="21"/>
                      <w:szCs w:val="21"/>
                      <w:lang w:val="en-US" w:eastAsia="zh-CN"/>
                    </w:rPr>
                  </w:pPr>
                </w:p>
                <w:p w14:paraId="406D374C">
                  <w:pPr>
                    <w:spacing w:line="240" w:lineRule="auto"/>
                    <w:jc w:val="center"/>
                    <w:rPr>
                      <w:rFonts w:hint="default" w:ascii="Times New Roman" w:hAnsi="Times New Roman" w:eastAsia="宋体" w:cs="Times New Roman"/>
                      <w:sz w:val="21"/>
                      <w:szCs w:val="21"/>
                      <w:lang w:val="en-US" w:eastAsia="zh-CN"/>
                    </w:rPr>
                  </w:pPr>
                </w:p>
                <w:p w14:paraId="69A23316">
                  <w:pPr>
                    <w:spacing w:line="240" w:lineRule="auto"/>
                    <w:jc w:val="center"/>
                    <w:rPr>
                      <w:rFonts w:hint="default" w:ascii="Times New Roman" w:hAnsi="Times New Roman" w:eastAsia="宋体" w:cs="Times New Roman"/>
                      <w:sz w:val="21"/>
                      <w:szCs w:val="21"/>
                      <w:lang w:val="en-US" w:eastAsia="zh-CN"/>
                    </w:rPr>
                  </w:pPr>
                </w:p>
                <w:p w14:paraId="211222B5">
                  <w:pPr>
                    <w:spacing w:line="240" w:lineRule="auto"/>
                    <w:jc w:val="center"/>
                    <w:rPr>
                      <w:rFonts w:hint="default" w:ascii="Times New Roman" w:hAnsi="Times New Roman" w:eastAsia="宋体" w:cs="Times New Roman"/>
                      <w:sz w:val="21"/>
                      <w:szCs w:val="21"/>
                      <w:lang w:val="en-US" w:eastAsia="zh-CN"/>
                    </w:rPr>
                  </w:pPr>
                </w:p>
                <w:p w14:paraId="3876EB32">
                  <w:pPr>
                    <w:spacing w:line="240" w:lineRule="auto"/>
                    <w:jc w:val="center"/>
                    <w:rPr>
                      <w:rFonts w:hint="default" w:ascii="Times New Roman" w:hAnsi="Times New Roman" w:eastAsia="宋体" w:cs="Times New Roman"/>
                      <w:sz w:val="21"/>
                      <w:szCs w:val="21"/>
                      <w:lang w:val="en-US" w:eastAsia="zh-CN"/>
                    </w:rPr>
                  </w:pPr>
                </w:p>
                <w:p w14:paraId="511A99B5">
                  <w:pPr>
                    <w:spacing w:line="240" w:lineRule="auto"/>
                    <w:jc w:val="center"/>
                    <w:rPr>
                      <w:rFonts w:hint="default" w:ascii="Times New Roman" w:hAnsi="Times New Roman" w:eastAsia="宋体" w:cs="Times New Roman"/>
                      <w:sz w:val="21"/>
                      <w:szCs w:val="21"/>
                      <w:lang w:val="en-US" w:eastAsia="zh-CN"/>
                    </w:rPr>
                  </w:pPr>
                </w:p>
                <w:p w14:paraId="69CA538A">
                  <w:pPr>
                    <w:spacing w:line="240" w:lineRule="auto"/>
                    <w:jc w:val="center"/>
                    <w:rPr>
                      <w:rFonts w:hint="default" w:ascii="Times New Roman" w:hAnsi="Times New Roman" w:eastAsia="宋体" w:cs="Times New Roman"/>
                      <w:sz w:val="21"/>
                      <w:szCs w:val="21"/>
                      <w:lang w:val="en-US" w:eastAsia="zh-CN"/>
                    </w:rPr>
                  </w:pPr>
                </w:p>
                <w:p w14:paraId="314B5A0B">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21FE741D">
                  <w:pPr>
                    <w:spacing w:line="240" w:lineRule="auto"/>
                    <w:jc w:val="center"/>
                    <w:rPr>
                      <w:rFonts w:hint="default" w:ascii="Times New Roman" w:hAnsi="Times New Roman" w:eastAsia="宋体" w:cs="Times New Roman"/>
                      <w:sz w:val="21"/>
                      <w:szCs w:val="21"/>
                      <w:lang w:val="en-US" w:eastAsia="zh-CN"/>
                    </w:rPr>
                  </w:pPr>
                </w:p>
                <w:p w14:paraId="72E35CC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光伏组件</w:t>
                  </w:r>
                </w:p>
              </w:tc>
              <w:tc>
                <w:tcPr>
                  <w:tcW w:w="5163" w:type="dxa"/>
                  <w:tcBorders>
                    <w:tl2br w:val="nil"/>
                    <w:tr2bl w:val="nil"/>
                  </w:tcBorders>
                  <w:vAlign w:val="center"/>
                </w:tcPr>
                <w:p w14:paraId="334A9FF3">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本项目</w:t>
                  </w:r>
                  <w:r>
                    <w:rPr>
                      <w:rFonts w:hint="default" w:ascii="Times New Roman" w:hAnsi="Times New Roman" w:eastAsia="宋体" w:cs="Times New Roman"/>
                      <w:sz w:val="21"/>
                      <w:szCs w:val="21"/>
                      <w:lang w:val="en-US" w:eastAsia="zh-CN"/>
                    </w:rPr>
                    <w:t>安装容量88MWp，额定容量为69MW</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全部采用650Wp双面双玻电池组件</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块光伏组件组成</w:t>
                  </w: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val="en-US" w:eastAsia="zh-CN"/>
                    </w:rPr>
                    <w:t>个光伏组串，每个3.2MW光伏方阵采用210个光伏组串</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每个2MW光伏方阵采用126个光伏组串、每个1.6MW 光伏方阵采用 105个光伏组串、每个1MW光伏方阵采用63个光伏组串</w:t>
                  </w:r>
                  <w:r>
                    <w:rPr>
                      <w:rFonts w:hint="eastAsia" w:ascii="Times New Roman" w:hAnsi="Times New Roman" w:eastAsia="宋体" w:cs="Times New Roman"/>
                      <w:sz w:val="21"/>
                      <w:szCs w:val="21"/>
                      <w:lang w:val="en-US" w:eastAsia="zh-CN"/>
                    </w:rPr>
                    <w:t>。本次工程共有16个3.2MW、8个2MW、1个1.6MW 及1个1MW方阵。</w:t>
                  </w:r>
                </w:p>
              </w:tc>
              <w:tc>
                <w:tcPr>
                  <w:tcW w:w="661" w:type="dxa"/>
                  <w:tcBorders>
                    <w:tl2br w:val="nil"/>
                    <w:tr2bl w:val="nil"/>
                  </w:tcBorders>
                  <w:vAlign w:val="center"/>
                </w:tcPr>
                <w:p w14:paraId="64E9C6AC">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0C679B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0504F8B">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B2DF758">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支架</w:t>
                  </w:r>
                </w:p>
              </w:tc>
              <w:tc>
                <w:tcPr>
                  <w:tcW w:w="5163" w:type="dxa"/>
                  <w:tcBorders>
                    <w:tl2br w:val="nil"/>
                    <w:tr2bl w:val="nil"/>
                  </w:tcBorders>
                  <w:vAlign w:val="center"/>
                </w:tcPr>
                <w:p w14:paraId="1E6072D7">
                  <w:pPr>
                    <w:spacing w:line="240" w:lineRule="auto"/>
                    <w:jc w:val="left"/>
                    <w:rPr>
                      <w:rFonts w:hint="eastAsia"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项目</w:t>
                  </w:r>
                  <w:r>
                    <w:rPr>
                      <w:rFonts w:hint="default" w:ascii="Times New Roman" w:hAnsi="Times New Roman" w:eastAsia="宋体" w:cs="Times New Roman"/>
                      <w:sz w:val="21"/>
                      <w:szCs w:val="21"/>
                      <w:lang w:val="en-US" w:eastAsia="zh-CN"/>
                    </w:rPr>
                    <w:t>光伏支架由30块2384mm×1303mm 单晶硅光伏组件按 2（行</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×15（列）的布置方式组成一个支架单元，</w:t>
                  </w:r>
                  <w:r>
                    <w:rPr>
                      <w:rFonts w:hint="eastAsia" w:ascii="Times New Roman" w:hAnsi="Times New Roman" w:eastAsia="宋体" w:cs="Times New Roman"/>
                      <w:sz w:val="21"/>
                      <w:szCs w:val="21"/>
                      <w:lang w:val="en-US" w:eastAsia="zh-CN"/>
                    </w:rPr>
                    <w:t>固定</w:t>
                  </w:r>
                  <w:r>
                    <w:rPr>
                      <w:rFonts w:hint="default" w:ascii="Times New Roman" w:hAnsi="Times New Roman" w:eastAsia="宋体" w:cs="Times New Roman"/>
                      <w:sz w:val="21"/>
                      <w:szCs w:val="21"/>
                      <w:lang w:val="en-US" w:eastAsia="zh-CN"/>
                    </w:rPr>
                    <w:t>支架倾角为22°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光伏组件最低端离地距离3m</w:t>
                  </w:r>
                  <w:r>
                    <w:rPr>
                      <w:rFonts w:hint="eastAsia" w:ascii="Times New Roman" w:hAnsi="Times New Roman" w:eastAsia="宋体" w:cs="Times New Roman"/>
                      <w:sz w:val="21"/>
                      <w:szCs w:val="21"/>
                      <w:lang w:val="en-US" w:eastAsia="zh-CN"/>
                    </w:rPr>
                    <w:t>，光</w:t>
                  </w:r>
                  <w:r>
                    <w:rPr>
                      <w:rFonts w:hint="default" w:ascii="Times New Roman" w:hAnsi="Times New Roman" w:eastAsia="宋体" w:cs="Times New Roman"/>
                      <w:sz w:val="21"/>
                      <w:szCs w:val="21"/>
                      <w:lang w:val="en-US" w:eastAsia="zh-CN"/>
                    </w:rPr>
                    <w:t>伏支架采用单桩支架结构</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桩基列间距为4.4m</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6049E2F0">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0A078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5CADED1">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7C8987A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逆变器</w:t>
                  </w:r>
                </w:p>
              </w:tc>
              <w:tc>
                <w:tcPr>
                  <w:tcW w:w="5163" w:type="dxa"/>
                  <w:tcBorders>
                    <w:tl2br w:val="nil"/>
                    <w:tr2bl w:val="nil"/>
                  </w:tcBorders>
                  <w:vAlign w:val="center"/>
                </w:tcPr>
                <w:p w14:paraId="00AE4C39">
                  <w:pPr>
                    <w:spacing w:line="240" w:lineRule="auto"/>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光伏厂区采用</w:t>
                  </w:r>
                  <w:r>
                    <w:rPr>
                      <w:rFonts w:hint="eastAsia" w:ascii="Times New Roman" w:hAnsi="Times New Roman" w:eastAsia="宋体" w:cs="Times New Roman"/>
                      <w:sz w:val="21"/>
                      <w:szCs w:val="21"/>
                      <w:lang w:val="en-US" w:eastAsia="zh-CN"/>
                    </w:rPr>
                    <w:t>320</w:t>
                  </w:r>
                  <w:r>
                    <w:rPr>
                      <w:rFonts w:hint="default" w:ascii="Times New Roman" w:hAnsi="Times New Roman" w:eastAsia="宋体" w:cs="Times New Roman"/>
                      <w:sz w:val="21"/>
                      <w:szCs w:val="21"/>
                      <w:lang w:val="en-US" w:eastAsia="zh-CN"/>
                    </w:rPr>
                    <w:t>kW组串式逆变器，1MW单个子方阵采用3台320kW组串式逆变器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1.6MW单个子方阵采用5台320kW组串式逆变器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2MW单个子方阵采用6台320kW组串式逆变器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3.2MW单个子方阵采用10台320kW组串式逆变器</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1E54A19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AC20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AB0AF20">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522353E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箱式变压器</w:t>
                  </w:r>
                </w:p>
              </w:tc>
              <w:tc>
                <w:tcPr>
                  <w:tcW w:w="5163" w:type="dxa"/>
                  <w:tcBorders>
                    <w:tl2br w:val="nil"/>
                    <w:tr2bl w:val="nil"/>
                  </w:tcBorders>
                  <w:vAlign w:val="center"/>
                </w:tcPr>
                <w:p w14:paraId="4B8B5000">
                  <w:pPr>
                    <w:spacing w:line="240" w:lineRule="auto"/>
                    <w:jc w:val="center"/>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每个方阵布置35kV箱式变压器一台，</w:t>
                  </w:r>
                  <w:r>
                    <w:rPr>
                      <w:rFonts w:hint="eastAsia" w:ascii="Times New Roman" w:hAnsi="Times New Roman" w:eastAsia="宋体" w:cs="Times New Roman"/>
                      <w:sz w:val="21"/>
                      <w:szCs w:val="21"/>
                      <w:lang w:val="en-US" w:eastAsia="zh-CN"/>
                    </w:rPr>
                    <w:t>共26个箱变。</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箱变与基础顶部预埋钢板焊接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0C8E8A2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19218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0F6606D">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67F1E0D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35kv电缆分接箱</w:t>
                  </w:r>
                </w:p>
              </w:tc>
              <w:tc>
                <w:tcPr>
                  <w:tcW w:w="5163" w:type="dxa"/>
                  <w:tcBorders>
                    <w:tl2br w:val="nil"/>
                    <w:tr2bl w:val="nil"/>
                  </w:tcBorders>
                  <w:vAlign w:val="center"/>
                </w:tcPr>
                <w:p w14:paraId="71D24B08">
                  <w:pPr>
                    <w:tabs>
                      <w:tab w:val="left" w:pos="508"/>
                      <w:tab w:val="center" w:pos="2531"/>
                    </w:tabs>
                    <w:spacing w:line="240" w:lineRule="auto"/>
                    <w:jc w:val="left"/>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光伏厂区</w:t>
                  </w:r>
                  <w:r>
                    <w:rPr>
                      <w:rFonts w:hint="eastAsia" w:ascii="Times New Roman" w:hAnsi="Times New Roman" w:eastAsia="宋体" w:cs="Times New Roman"/>
                      <w:sz w:val="21"/>
                      <w:szCs w:val="21"/>
                      <w:lang w:val="en-US" w:eastAsia="zh-CN"/>
                    </w:rPr>
                    <w:t>于</w:t>
                  </w:r>
                  <w:r>
                    <w:rPr>
                      <w:rFonts w:hint="default" w:ascii="Times New Roman" w:hAnsi="Times New Roman" w:eastAsia="宋体" w:cs="Times New Roman"/>
                      <w:sz w:val="21"/>
                      <w:szCs w:val="21"/>
                      <w:lang w:val="en-US" w:eastAsia="zh-CN"/>
                    </w:rPr>
                    <w:t>适当位置设置35kV电缆分接箱</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基础为砌体结构筏板基础</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电缆分接箱与基础顶部预埋钢板焊接</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61D0AD00">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D6460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0809B55">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61282104">
                  <w:pPr>
                    <w:tabs>
                      <w:tab w:val="left" w:pos="508"/>
                      <w:tab w:val="center" w:pos="2531"/>
                    </w:tabs>
                    <w:spacing w:line="240" w:lineRule="auto"/>
                    <w:ind w:firstLine="210" w:firstLineChars="1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集电线路</w:t>
                  </w:r>
                </w:p>
              </w:tc>
              <w:tc>
                <w:tcPr>
                  <w:tcW w:w="5163" w:type="dxa"/>
                  <w:tcBorders>
                    <w:tl2br w:val="nil"/>
                    <w:tr2bl w:val="nil"/>
                  </w:tcBorders>
                  <w:vAlign w:val="center"/>
                </w:tcPr>
                <w:p w14:paraId="3F7EE2E4">
                  <w:pPr>
                    <w:keepNext w:val="0"/>
                    <w:keepLines w:val="0"/>
                    <w:widowControl/>
                    <w:suppressLineNumbers w:val="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项目共设</w:t>
                  </w:r>
                  <w:r>
                    <w:rPr>
                      <w:rFonts w:hint="default" w:ascii="Times New Roman" w:hAnsi="Times New Roman" w:eastAsia="宋体" w:cs="Times New Roman"/>
                      <w:sz w:val="21"/>
                      <w:szCs w:val="21"/>
                      <w:lang w:val="en-US" w:eastAsia="zh-CN"/>
                    </w:rPr>
                    <w:t>3</w:t>
                  </w:r>
                  <w:r>
                    <w:rPr>
                      <w:rFonts w:hint="eastAsia" w:ascii="Times New Roman" w:hAnsi="Times New Roman" w:eastAsia="宋体" w:cs="Times New Roman"/>
                      <w:sz w:val="21"/>
                      <w:szCs w:val="21"/>
                      <w:lang w:val="en-US" w:eastAsia="zh-CN"/>
                    </w:rPr>
                    <w:t>回</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集电线路，汇集电能送入11</w:t>
                  </w:r>
                  <w:r>
                    <w:rPr>
                      <w:rFonts w:hint="default" w:ascii="Times New Roman" w:hAnsi="Times New Roman" w:eastAsia="宋体" w:cs="Times New Roman"/>
                      <w:sz w:val="21"/>
                      <w:szCs w:val="21"/>
                      <w:lang w:val="en-US" w:eastAsia="zh-CN"/>
                    </w:rPr>
                    <w:t>0kV</w:t>
                  </w:r>
                  <w:r>
                    <w:rPr>
                      <w:rFonts w:hint="eastAsia" w:ascii="Times New Roman" w:hAnsi="Times New Roman" w:eastAsia="宋体" w:cs="Times New Roman"/>
                      <w:sz w:val="21"/>
                      <w:szCs w:val="21"/>
                      <w:lang w:val="en-US" w:eastAsia="zh-CN"/>
                    </w:rPr>
                    <w:t>升压站。集电线路采用</w:t>
                  </w:r>
                  <w:r>
                    <w:rPr>
                      <w:rFonts w:hint="default" w:ascii="Times New Roman" w:hAnsi="Times New Roman" w:eastAsia="宋体" w:cs="Times New Roman"/>
                      <w:sz w:val="21"/>
                      <w:szCs w:val="21"/>
                      <w:lang w:val="en-US" w:eastAsia="zh-CN"/>
                    </w:rPr>
                    <w:t>35kV</w:t>
                  </w:r>
                  <w:r>
                    <w:rPr>
                      <w:rFonts w:hint="eastAsia" w:ascii="Times New Roman" w:hAnsi="Times New Roman" w:eastAsia="宋体" w:cs="Times New Roman"/>
                      <w:sz w:val="21"/>
                      <w:szCs w:val="21"/>
                      <w:lang w:val="en-US" w:eastAsia="zh-CN"/>
                    </w:rPr>
                    <w:t>直埋电缆敷设及架空线路混合形式。</w:t>
                  </w:r>
                </w:p>
              </w:tc>
              <w:tc>
                <w:tcPr>
                  <w:tcW w:w="661" w:type="dxa"/>
                  <w:tcBorders>
                    <w:tl2br w:val="nil"/>
                    <w:tr2bl w:val="nil"/>
                  </w:tcBorders>
                  <w:vAlign w:val="center"/>
                </w:tcPr>
                <w:p w14:paraId="123B4276">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076BB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071D8576">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6AD50070">
                  <w:pPr>
                    <w:tabs>
                      <w:tab w:val="left" w:pos="508"/>
                      <w:tab w:val="center" w:pos="2531"/>
                    </w:tabs>
                    <w:spacing w:line="240" w:lineRule="auto"/>
                    <w:ind w:firstLine="210" w:firstLineChars="1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升压站</w:t>
                  </w:r>
                </w:p>
              </w:tc>
              <w:tc>
                <w:tcPr>
                  <w:tcW w:w="5163" w:type="dxa"/>
                  <w:tcBorders>
                    <w:tl2br w:val="nil"/>
                    <w:tr2bl w:val="nil"/>
                  </w:tcBorders>
                  <w:vAlign w:val="center"/>
                </w:tcPr>
                <w:p w14:paraId="681096B8">
                  <w:pPr>
                    <w:tabs>
                      <w:tab w:val="left" w:pos="508"/>
                      <w:tab w:val="center" w:pos="2531"/>
                    </w:tabs>
                    <w:spacing w:line="240" w:lineRule="auto"/>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本项目新建110kV升压站一座，</w:t>
                  </w:r>
                  <w:r>
                    <w:rPr>
                      <w:rFonts w:hint="eastAsia" w:ascii="Times New Roman" w:hAnsi="Times New Roman" w:eastAsia="宋体" w:cs="Times New Roman"/>
                      <w:sz w:val="21"/>
                      <w:szCs w:val="21"/>
                      <w:lang w:val="en-US" w:eastAsia="zh-CN"/>
                    </w:rPr>
                    <w:t>本期设置1台69MVA的主变。</w:t>
                  </w:r>
                  <w:r>
                    <w:rPr>
                      <w:rFonts w:hint="default" w:ascii="Times New Roman" w:hAnsi="Times New Roman" w:eastAsia="宋体" w:cs="Times New Roman"/>
                      <w:sz w:val="21"/>
                      <w:szCs w:val="21"/>
                      <w:lang w:val="en-US" w:eastAsia="zh-CN"/>
                    </w:rPr>
                    <w:t>升压站总布置将场地划分为生产区和生活区两部分</w:t>
                  </w:r>
                  <w:r>
                    <w:rPr>
                      <w:rFonts w:hint="eastAsia" w:ascii="Times New Roman" w:hAnsi="Times New Roman" w:eastAsia="宋体" w:cs="Times New Roman"/>
                      <w:sz w:val="21"/>
                      <w:szCs w:val="21"/>
                      <w:lang w:val="en-US" w:eastAsia="zh-CN"/>
                    </w:rPr>
                    <w:t>。生活区设有生活楼、回车平台、危废暂存间及场内绿化。生产区</w:t>
                  </w:r>
                  <w:r>
                    <w:rPr>
                      <w:rFonts w:hint="default" w:ascii="Times New Roman" w:hAnsi="Times New Roman" w:eastAsia="宋体" w:cs="Times New Roman"/>
                      <w:sz w:val="21"/>
                      <w:szCs w:val="21"/>
                      <w:lang w:val="en-US" w:eastAsia="zh-CN"/>
                    </w:rPr>
                    <w:t>布置户外GIS、SVG无功补偿装置和配电装置</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生产预制舱、主变、事故油池、电池储能仓</w:t>
                  </w:r>
                  <w:r>
                    <w:rPr>
                      <w:rFonts w:hint="eastAsia" w:ascii="Times New Roman" w:hAnsi="Times New Roman" w:eastAsia="宋体" w:cs="Times New Roman"/>
                      <w:sz w:val="21"/>
                      <w:szCs w:val="21"/>
                      <w:lang w:val="en-US" w:eastAsia="zh-CN"/>
                    </w:rPr>
                    <w:t>及附属用房。</w:t>
                  </w:r>
                </w:p>
              </w:tc>
              <w:tc>
                <w:tcPr>
                  <w:tcW w:w="661" w:type="dxa"/>
                  <w:tcBorders>
                    <w:tl2br w:val="nil"/>
                    <w:tr2bl w:val="nil"/>
                  </w:tcBorders>
                  <w:vAlign w:val="center"/>
                </w:tcPr>
                <w:p w14:paraId="49A88B16">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5321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6977BA0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辅助工程</w:t>
                  </w:r>
                </w:p>
              </w:tc>
              <w:tc>
                <w:tcPr>
                  <w:tcW w:w="1506" w:type="dxa"/>
                  <w:gridSpan w:val="2"/>
                  <w:tcBorders>
                    <w:tl2br w:val="nil"/>
                    <w:tr2bl w:val="nil"/>
                  </w:tcBorders>
                  <w:vAlign w:val="center"/>
                </w:tcPr>
                <w:p w14:paraId="27568D0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生活办公楼</w:t>
                  </w:r>
                </w:p>
              </w:tc>
              <w:tc>
                <w:tcPr>
                  <w:tcW w:w="5163" w:type="dxa"/>
                  <w:tcBorders>
                    <w:tl2br w:val="nil"/>
                    <w:tr2bl w:val="nil"/>
                  </w:tcBorders>
                  <w:vAlign w:val="center"/>
                </w:tcPr>
                <w:p w14:paraId="357EB1B3">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位于升压站</w:t>
                  </w:r>
                  <w:r>
                    <w:rPr>
                      <w:rFonts w:hint="eastAsia" w:ascii="Times New Roman" w:hAnsi="Times New Roman" w:eastAsia="宋体" w:cs="Times New Roman"/>
                      <w:color w:val="auto"/>
                      <w:sz w:val="21"/>
                      <w:szCs w:val="21"/>
                      <w:lang w:val="en-US" w:eastAsia="zh-CN"/>
                    </w:rPr>
                    <w:t>北侧</w:t>
                  </w:r>
                  <w:r>
                    <w:rPr>
                      <w:rFonts w:hint="default" w:ascii="Times New Roman" w:hAnsi="Times New Roman" w:eastAsia="宋体" w:cs="Times New Roman"/>
                      <w:color w:val="auto"/>
                      <w:sz w:val="21"/>
                      <w:szCs w:val="21"/>
                      <w:lang w:val="en-US" w:eastAsia="zh-CN"/>
                    </w:rPr>
                    <w:t>，框架结构，生活楼长32m，宽16m，层高为3.6m，建筑面积512m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。内部布置厨房、餐厅、会议室、值班办公室、公共卫生间等房间。</w:t>
                  </w:r>
                </w:p>
              </w:tc>
              <w:tc>
                <w:tcPr>
                  <w:tcW w:w="661" w:type="dxa"/>
                  <w:tcBorders>
                    <w:tl2br w:val="nil"/>
                    <w:tr2bl w:val="nil"/>
                  </w:tcBorders>
                  <w:vAlign w:val="center"/>
                </w:tcPr>
                <w:p w14:paraId="0E1A0842">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1C181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71E78759">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70DB4B51">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附属用房</w:t>
                  </w:r>
                </w:p>
              </w:tc>
              <w:tc>
                <w:tcPr>
                  <w:tcW w:w="5163" w:type="dxa"/>
                  <w:tcBorders>
                    <w:tl2br w:val="nil"/>
                    <w:tr2bl w:val="nil"/>
                  </w:tcBorders>
                  <w:vAlign w:val="center"/>
                </w:tcPr>
                <w:p w14:paraId="66031C99">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位于生产区升压站东南侧，</w:t>
                  </w:r>
                  <w:r>
                    <w:rPr>
                      <w:rFonts w:hint="default" w:ascii="Times New Roman" w:hAnsi="Times New Roman" w:eastAsia="宋体" w:cs="Times New Roman"/>
                      <w:color w:val="auto"/>
                      <w:sz w:val="21"/>
                      <w:szCs w:val="21"/>
                      <w:lang w:val="en-US" w:eastAsia="zh-CN"/>
                    </w:rPr>
                    <w:t>地上为一层框架结构建筑物，长 12.4m，宽 10.656m，建筑面积为132.13m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，层高 3.9m，</w:t>
                  </w:r>
                  <w:r>
                    <w:rPr>
                      <w:rFonts w:hint="eastAsia" w:ascii="Times New Roman" w:hAnsi="Times New Roman" w:eastAsia="宋体" w:cs="Times New Roman"/>
                      <w:color w:val="auto"/>
                      <w:sz w:val="21"/>
                      <w:szCs w:val="21"/>
                      <w:lang w:val="en-US" w:eastAsia="zh-CN"/>
                    </w:rPr>
                    <w:t>设水泵房、消防水池。</w:t>
                  </w:r>
                </w:p>
              </w:tc>
              <w:tc>
                <w:tcPr>
                  <w:tcW w:w="661" w:type="dxa"/>
                  <w:tcBorders>
                    <w:tl2br w:val="nil"/>
                    <w:tr2bl w:val="nil"/>
                  </w:tcBorders>
                  <w:vAlign w:val="center"/>
                </w:tcPr>
                <w:p w14:paraId="688CA574">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5B10B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5F26BDF">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6BAE9FE8">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道路</w:t>
                  </w:r>
                </w:p>
              </w:tc>
              <w:tc>
                <w:tcPr>
                  <w:tcW w:w="5163" w:type="dxa"/>
                  <w:tcBorders>
                    <w:tl2br w:val="nil"/>
                    <w:tr2bl w:val="nil"/>
                  </w:tcBorders>
                  <w:vAlign w:val="center"/>
                </w:tcPr>
                <w:p w14:paraId="68C73E57">
                  <w:pPr>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6"/>
                      <w:sz w:val="21"/>
                      <w:szCs w:val="21"/>
                    </w:rPr>
                    <w:t xml:space="preserve">场区道路：路基宽度为 </w:t>
                  </w:r>
                  <w:r>
                    <w:rPr>
                      <w:rFonts w:hint="default" w:ascii="Times New Roman" w:hAnsi="Times New Roman" w:eastAsia="宋体" w:cs="Times New Roman"/>
                      <w:color w:val="auto"/>
                      <w:sz w:val="21"/>
                      <w:szCs w:val="21"/>
                    </w:rPr>
                    <w:t>4.5m</w:t>
                  </w:r>
                  <w:r>
                    <w:rPr>
                      <w:rFonts w:hint="default" w:ascii="Times New Roman" w:hAnsi="Times New Roman" w:eastAsia="宋体" w:cs="Times New Roman"/>
                      <w:color w:val="auto"/>
                      <w:spacing w:val="-9"/>
                      <w:sz w:val="21"/>
                      <w:szCs w:val="21"/>
                    </w:rPr>
                    <w:t xml:space="preserve">，路面宽度为 </w:t>
                  </w:r>
                  <w:r>
                    <w:rPr>
                      <w:rFonts w:hint="default" w:ascii="Times New Roman" w:hAnsi="Times New Roman" w:eastAsia="宋体" w:cs="Times New Roman"/>
                      <w:color w:val="auto"/>
                      <w:sz w:val="21"/>
                      <w:szCs w:val="21"/>
                    </w:rPr>
                    <w:t>3.5m</w:t>
                  </w:r>
                  <w:r>
                    <w:rPr>
                      <w:rFonts w:hint="default" w:ascii="Times New Roman" w:hAnsi="Times New Roman" w:eastAsia="宋体" w:cs="Times New Roman"/>
                      <w:color w:val="auto"/>
                      <w:spacing w:val="-11"/>
                      <w:sz w:val="21"/>
                      <w:szCs w:val="21"/>
                    </w:rPr>
                    <w:t xml:space="preserve">，路面采用 </w:t>
                  </w:r>
                  <w:r>
                    <w:rPr>
                      <w:rFonts w:hint="default" w:ascii="Times New Roman" w:hAnsi="Times New Roman" w:eastAsia="宋体" w:cs="Times New Roman"/>
                      <w:color w:val="auto"/>
                      <w:sz w:val="21"/>
                      <w:szCs w:val="21"/>
                    </w:rPr>
                    <w:t>20cm 泥结碎石面层</w:t>
                  </w:r>
                  <w:r>
                    <w:rPr>
                      <w:rFonts w:hint="default" w:ascii="Times New Roman" w:hAnsi="Times New Roman" w:eastAsia="宋体" w:cs="Times New Roman"/>
                      <w:color w:val="auto"/>
                      <w:sz w:val="21"/>
                      <w:szCs w:val="21"/>
                      <w:lang w:eastAsia="zh-CN"/>
                    </w:rPr>
                    <w:t>；</w:t>
                  </w:r>
                </w:p>
                <w:p w14:paraId="2F1E6548">
                  <w:pPr>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升压站进站道路：路基宽度5.0m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路面宽度4.0m，为15cm水泥混凝土面层+20cm级配碎石基层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6"/>
                      <w:sz w:val="21"/>
                      <w:szCs w:val="21"/>
                    </w:rPr>
                    <w:t xml:space="preserve">场内道路改扩建长度约 </w:t>
                  </w:r>
                  <w:r>
                    <w:rPr>
                      <w:rFonts w:hint="default" w:ascii="Times New Roman" w:hAnsi="Times New Roman" w:eastAsia="宋体" w:cs="Times New Roman"/>
                      <w:color w:val="auto"/>
                      <w:spacing w:val="-4"/>
                      <w:sz w:val="21"/>
                      <w:szCs w:val="21"/>
                    </w:rPr>
                    <w:t>3.8km</w:t>
                  </w:r>
                  <w:r>
                    <w:rPr>
                      <w:rFonts w:hint="default" w:ascii="Times New Roman" w:hAnsi="Times New Roman" w:eastAsia="宋体" w:cs="Times New Roman"/>
                      <w:color w:val="auto"/>
                      <w:spacing w:val="-9"/>
                      <w:sz w:val="21"/>
                      <w:szCs w:val="21"/>
                      <w:lang w:eastAsia="zh-CN"/>
                    </w:rPr>
                    <w:t>，</w:t>
                  </w:r>
                  <w:r>
                    <w:rPr>
                      <w:rFonts w:hint="default" w:ascii="Times New Roman" w:hAnsi="Times New Roman" w:eastAsia="宋体" w:cs="Times New Roman"/>
                      <w:color w:val="auto"/>
                      <w:spacing w:val="-9"/>
                      <w:sz w:val="21"/>
                      <w:szCs w:val="21"/>
                    </w:rPr>
                    <w:t>进站道路长约</w:t>
                  </w:r>
                  <w:r>
                    <w:rPr>
                      <w:rFonts w:hint="default" w:ascii="Times New Roman" w:hAnsi="Times New Roman" w:eastAsia="宋体" w:cs="Times New Roman"/>
                      <w:color w:val="auto"/>
                      <w:spacing w:val="-3"/>
                      <w:sz w:val="21"/>
                      <w:szCs w:val="21"/>
                    </w:rPr>
                    <w:t>0.65km</w:t>
                  </w:r>
                  <w:r>
                    <w:rPr>
                      <w:rFonts w:hint="default" w:ascii="Times New Roman" w:hAnsi="Times New Roman" w:eastAsia="宋体" w:cs="Times New Roman"/>
                      <w:color w:val="auto"/>
                      <w:spacing w:val="-3"/>
                      <w:sz w:val="21"/>
                      <w:szCs w:val="21"/>
                      <w:lang w:eastAsia="zh-CN"/>
                    </w:rPr>
                    <w:t>，</w:t>
                  </w:r>
                  <w:r>
                    <w:rPr>
                      <w:rFonts w:hint="default" w:ascii="Times New Roman" w:hAnsi="Times New Roman" w:eastAsia="宋体" w:cs="Times New Roman"/>
                      <w:color w:val="auto"/>
                      <w:spacing w:val="-6"/>
                      <w:sz w:val="21"/>
                      <w:szCs w:val="21"/>
                    </w:rPr>
                    <w:t>无新建道路。在每条施工道</w:t>
                  </w:r>
                  <w:r>
                    <w:rPr>
                      <w:rFonts w:hint="default" w:ascii="Times New Roman" w:hAnsi="Times New Roman" w:eastAsia="宋体" w:cs="Times New Roman"/>
                      <w:color w:val="auto"/>
                      <w:spacing w:val="-11"/>
                      <w:sz w:val="21"/>
                      <w:szCs w:val="21"/>
                    </w:rPr>
                    <w:t xml:space="preserve">路末端设置 </w:t>
                  </w:r>
                  <w:r>
                    <w:rPr>
                      <w:rFonts w:hint="default" w:ascii="Times New Roman" w:hAnsi="Times New Roman" w:eastAsia="宋体" w:cs="Times New Roman"/>
                      <w:color w:val="auto"/>
                      <w:sz w:val="21"/>
                      <w:szCs w:val="21"/>
                    </w:rPr>
                    <w:t>16m×16m的调车平台</w:t>
                  </w:r>
                  <w:r>
                    <w:rPr>
                      <w:rFonts w:hint="default" w:ascii="Times New Roman" w:hAnsi="Times New Roman" w:eastAsia="宋体" w:cs="Times New Roman"/>
                      <w:color w:val="auto"/>
                      <w:sz w:val="21"/>
                      <w:szCs w:val="21"/>
                      <w:lang w:eastAsia="zh-CN"/>
                    </w:rPr>
                    <w:t>。</w:t>
                  </w:r>
                </w:p>
              </w:tc>
              <w:tc>
                <w:tcPr>
                  <w:tcW w:w="661" w:type="dxa"/>
                  <w:tcBorders>
                    <w:tl2br w:val="nil"/>
                    <w:tr2bl w:val="nil"/>
                  </w:tcBorders>
                  <w:vAlign w:val="center"/>
                </w:tcPr>
                <w:p w14:paraId="02E633F6">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4480C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DDBB5A7">
                  <w:pPr>
                    <w:spacing w:line="240" w:lineRule="auto"/>
                    <w:jc w:val="center"/>
                    <w:rPr>
                      <w:rFonts w:hint="default" w:ascii="Times New Roman" w:hAnsi="Times New Roman" w:eastAsia="宋体" w:cs="Times New Roman"/>
                      <w:color w:val="auto"/>
                      <w:sz w:val="21"/>
                      <w:szCs w:val="21"/>
                      <w:lang w:val="en-US" w:eastAsia="zh-CN"/>
                    </w:rPr>
                  </w:pPr>
                </w:p>
              </w:tc>
              <w:tc>
                <w:tcPr>
                  <w:tcW w:w="1506" w:type="dxa"/>
                  <w:gridSpan w:val="2"/>
                  <w:tcBorders>
                    <w:tl2br w:val="nil"/>
                    <w:tr2bl w:val="nil"/>
                  </w:tcBorders>
                  <w:vAlign w:val="center"/>
                </w:tcPr>
                <w:p w14:paraId="3B4C077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围栏</w:t>
                  </w:r>
                </w:p>
              </w:tc>
              <w:tc>
                <w:tcPr>
                  <w:tcW w:w="5163" w:type="dxa"/>
                  <w:tcBorders>
                    <w:tl2br w:val="nil"/>
                    <w:tr2bl w:val="nil"/>
                  </w:tcBorders>
                  <w:vAlign w:val="center"/>
                </w:tcPr>
                <w:p w14:paraId="7FC8A187">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沿光伏发电场阵列外侧设置钢丝网围栏，围栏高度 1.8m，采用直径4mm的浸塑钢丝，网片间距为 150×75mm，立柱采用直径 50mm的浸塑钢管，立柱布置间距为3m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钢丝网围栏总长45.5km，其上布置安全监控设备在入口处（ 场内施工道路接入点）设置对开钢大门。</w:t>
                  </w:r>
                </w:p>
              </w:tc>
              <w:tc>
                <w:tcPr>
                  <w:tcW w:w="661" w:type="dxa"/>
                  <w:tcBorders>
                    <w:tl2br w:val="nil"/>
                    <w:tr2bl w:val="nil"/>
                  </w:tcBorders>
                  <w:vAlign w:val="center"/>
                </w:tcPr>
                <w:p w14:paraId="18B6B634">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77889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598E853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506" w:type="dxa"/>
                  <w:gridSpan w:val="2"/>
                  <w:tcBorders>
                    <w:tl2br w:val="nil"/>
                    <w:tr2bl w:val="nil"/>
                  </w:tcBorders>
                  <w:vAlign w:val="center"/>
                </w:tcPr>
                <w:p w14:paraId="297FE38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p w14:paraId="46D8754D">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3E42F44C">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施工期：</w:t>
                  </w:r>
                  <w:r>
                    <w:rPr>
                      <w:rFonts w:hint="eastAsia" w:ascii="Times New Roman" w:hAnsi="Times New Roman" w:eastAsia="宋体" w:cs="Times New Roman"/>
                      <w:color w:val="auto"/>
                      <w:sz w:val="21"/>
                      <w:szCs w:val="21"/>
                      <w:lang w:val="en-US" w:eastAsia="zh-CN"/>
                    </w:rPr>
                    <w:t>施工用电可由场址附近 10kV 线路引接作为电源，距离较远处施工及紧急备用电源采用柴油发电机供电。</w:t>
                  </w:r>
                </w:p>
                <w:p w14:paraId="4B3D8EA2">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运营期：</w:t>
                  </w:r>
                  <w:r>
                    <w:rPr>
                      <w:rFonts w:hint="eastAsia" w:ascii="Times New Roman" w:hAnsi="Times New Roman" w:eastAsia="宋体" w:cs="Times New Roman"/>
                      <w:color w:val="auto"/>
                      <w:sz w:val="21"/>
                      <w:szCs w:val="21"/>
                      <w:lang w:val="en-US" w:eastAsia="zh-CN"/>
                    </w:rPr>
                    <w:t>本升压站站用电采用双电源供电，单母线分段接线。主供电源引自35kV母线，备用电源引自附近10kV电网，设置1台10kV变压器接于外引电源做为站用变。箱变采用配置负荷开关+隔离开关，两侧采用电缆出线，箱变低压侧设置一台变压器，作为箱变内部照明、检修、加热电源。</w:t>
                  </w:r>
                </w:p>
              </w:tc>
              <w:tc>
                <w:tcPr>
                  <w:tcW w:w="661" w:type="dxa"/>
                  <w:tcBorders>
                    <w:tl2br w:val="nil"/>
                    <w:tr2bl w:val="nil"/>
                  </w:tcBorders>
                  <w:vAlign w:val="center"/>
                </w:tcPr>
                <w:p w14:paraId="7305969E">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4F509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0EA99EC">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293990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供水</w:t>
                  </w:r>
                </w:p>
              </w:tc>
              <w:tc>
                <w:tcPr>
                  <w:tcW w:w="5163" w:type="dxa"/>
                  <w:tcBorders>
                    <w:tl2br w:val="nil"/>
                    <w:tr2bl w:val="nil"/>
                  </w:tcBorders>
                  <w:vAlign w:val="center"/>
                </w:tcPr>
                <w:p w14:paraId="529D992E">
                  <w:pPr>
                    <w:spacing w:line="240" w:lineRule="auto"/>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运行期生产用水、生活用水均取自站址附近村庄，采用水车运水的方式供应，运距约1.5km。直饮水采用桶装矿泉水；施工场地内设容积为 50m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临时水池三座，供施工用水。运营期设置容积为8m</w:t>
                  </w:r>
                  <w:r>
                    <w:rPr>
                      <w:rFonts w:hint="eastAsia" w:ascii="Times New Roman" w:hAnsi="Times New Roman" w:eastAsia="宋体" w:cs="Times New Roman"/>
                      <w:color w:val="auto"/>
                      <w:sz w:val="21"/>
                      <w:szCs w:val="21"/>
                      <w:vertAlign w:val="superscript"/>
                      <w:lang w:val="en-US" w:eastAsia="zh-CN"/>
                    </w:rPr>
                    <w:t xml:space="preserve">3 </w:t>
                  </w:r>
                  <w:r>
                    <w:rPr>
                      <w:rFonts w:hint="eastAsia" w:ascii="Times New Roman" w:hAnsi="Times New Roman" w:eastAsia="宋体" w:cs="Times New Roman"/>
                      <w:color w:val="auto"/>
                      <w:sz w:val="21"/>
                      <w:szCs w:val="21"/>
                      <w:lang w:val="en-US" w:eastAsia="zh-CN"/>
                    </w:rPr>
                    <w:t>生活水池。生活供水采用罐车拉水至升压站水箱供水。</w:t>
                  </w:r>
                  <w:r>
                    <w:rPr>
                      <w:rFonts w:hint="default" w:ascii="Times New Roman" w:hAnsi="Times New Roman" w:eastAsia="宋体" w:cs="Times New Roman"/>
                      <w:color w:val="auto"/>
                      <w:sz w:val="21"/>
                      <w:szCs w:val="21"/>
                      <w:lang w:val="en-US" w:eastAsia="zh-CN"/>
                    </w:rPr>
                    <w:t>定期清洗光伏组件用水采用罐车从附近水源运水至各用水点区域</w:t>
                  </w:r>
                  <w:r>
                    <w:rPr>
                      <w:rFonts w:hint="eastAsia"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1309DA6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7EA39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13FFDE27">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3C503C0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排水</w:t>
                  </w:r>
                </w:p>
              </w:tc>
              <w:tc>
                <w:tcPr>
                  <w:tcW w:w="5163" w:type="dxa"/>
                  <w:tcBorders>
                    <w:tl2br w:val="nil"/>
                    <w:tr2bl w:val="nil"/>
                  </w:tcBorders>
                  <w:vAlign w:val="center"/>
                </w:tcPr>
                <w:p w14:paraId="619FF888">
                  <w:pPr>
                    <w:spacing w:line="240" w:lineRule="auto"/>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项目实行</w:t>
                  </w:r>
                  <w:r>
                    <w:rPr>
                      <w:rFonts w:hint="default" w:ascii="Times New Roman" w:hAnsi="Times New Roman" w:eastAsia="宋体" w:cs="Times New Roman"/>
                      <w:color w:val="auto"/>
                      <w:sz w:val="21"/>
                      <w:szCs w:val="21"/>
                      <w:lang w:val="en-US" w:eastAsia="zh-CN"/>
                    </w:rPr>
                    <w:t>雨污分流</w:t>
                  </w:r>
                  <w:r>
                    <w:rPr>
                      <w:rFonts w:hint="eastAsia" w:ascii="Times New Roman" w:hAnsi="Times New Roman" w:eastAsia="宋体" w:cs="Times New Roman"/>
                      <w:color w:val="auto"/>
                      <w:sz w:val="21"/>
                      <w:szCs w:val="21"/>
                      <w:lang w:val="en-US" w:eastAsia="zh-CN"/>
                    </w:rPr>
                    <w:t>制</w:t>
                  </w:r>
                  <w:r>
                    <w:rPr>
                      <w:rFonts w:hint="default" w:ascii="Times New Roman" w:hAnsi="Times New Roman" w:eastAsia="宋体" w:cs="Times New Roman"/>
                      <w:color w:val="auto"/>
                      <w:sz w:val="21"/>
                      <w:szCs w:val="21"/>
                      <w:lang w:val="en-US" w:eastAsia="zh-CN"/>
                    </w:rPr>
                    <w:t>，雨水经雨水沟排入周边箐沟</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场区生活区污水经隔油池、化粪池</w:t>
                  </w:r>
                  <w:r>
                    <w:rPr>
                      <w:rFonts w:hint="eastAsia" w:ascii="Times New Roman" w:hAnsi="Times New Roman" w:eastAsia="宋体" w:cs="Times New Roman"/>
                      <w:color w:val="auto"/>
                      <w:sz w:val="21"/>
                      <w:szCs w:val="21"/>
                      <w:lang w:val="en-US" w:eastAsia="zh-CN"/>
                    </w:rPr>
                    <w:t>处理后暂存于废水收集池</w:t>
                  </w:r>
                  <w:r>
                    <w:rPr>
                      <w:rFonts w:hint="default" w:ascii="Times New Roman" w:hAnsi="Times New Roman" w:eastAsia="宋体" w:cs="Times New Roman"/>
                      <w:color w:val="auto"/>
                      <w:sz w:val="21"/>
                      <w:szCs w:val="21"/>
                      <w:lang w:val="en-US" w:eastAsia="zh-CN"/>
                    </w:rPr>
                    <w:t>，用于场区绿化</w:t>
                  </w:r>
                  <w:r>
                    <w:rPr>
                      <w:rFonts w:hint="eastAsia" w:ascii="Times New Roman" w:hAnsi="Times New Roman" w:eastAsia="宋体" w:cs="Times New Roman"/>
                      <w:color w:val="auto"/>
                      <w:sz w:val="21"/>
                      <w:szCs w:val="21"/>
                      <w:lang w:val="en-US" w:eastAsia="zh-CN"/>
                    </w:rPr>
                    <w:t>施肥。</w:t>
                  </w:r>
                  <w:r>
                    <w:rPr>
                      <w:rFonts w:hint="default" w:ascii="Times New Roman" w:hAnsi="Times New Roman" w:eastAsia="宋体" w:cs="Times New Roman"/>
                      <w:color w:val="auto"/>
                      <w:kern w:val="0"/>
                      <w:sz w:val="21"/>
                      <w:szCs w:val="21"/>
                    </w:rPr>
                    <w:t>光伏阵列</w:t>
                  </w:r>
                  <w:r>
                    <w:rPr>
                      <w:rFonts w:hint="default" w:ascii="Times New Roman" w:hAnsi="Times New Roman" w:eastAsia="宋体" w:cs="Times New Roman"/>
                      <w:color w:val="auto"/>
                      <w:kern w:val="0"/>
                      <w:sz w:val="21"/>
                      <w:szCs w:val="21"/>
                      <w:lang w:val="en-US" w:eastAsia="zh-CN"/>
                    </w:rPr>
                    <w:t>产生的</w:t>
                  </w:r>
                  <w:r>
                    <w:rPr>
                      <w:rFonts w:hint="default" w:ascii="Times New Roman" w:hAnsi="Times New Roman" w:eastAsia="宋体" w:cs="Times New Roman"/>
                      <w:color w:val="auto"/>
                      <w:kern w:val="0"/>
                      <w:sz w:val="21"/>
                      <w:szCs w:val="21"/>
                    </w:rPr>
                    <w:t>清洁废水</w:t>
                  </w:r>
                  <w:r>
                    <w:rPr>
                      <w:rFonts w:hint="eastAsia" w:ascii="Times New Roman" w:hAnsi="Times New Roman" w:eastAsia="宋体" w:cs="Times New Roman"/>
                      <w:color w:val="auto"/>
                      <w:kern w:val="0"/>
                      <w:sz w:val="21"/>
                      <w:szCs w:val="21"/>
                      <w:lang w:eastAsia="zh-CN"/>
                    </w:rPr>
                    <w:t>经沉淀池处理后</w:t>
                  </w:r>
                  <w:r>
                    <w:rPr>
                      <w:rFonts w:hint="default" w:ascii="Times New Roman" w:hAnsi="Times New Roman" w:eastAsia="宋体" w:cs="Times New Roman"/>
                      <w:color w:val="auto"/>
                      <w:kern w:val="0"/>
                      <w:sz w:val="21"/>
                      <w:szCs w:val="21"/>
                    </w:rPr>
                    <w:t>用于光伏板区绿化，无废水外排</w:t>
                  </w:r>
                  <w:r>
                    <w:rPr>
                      <w:rFonts w:hint="default" w:ascii="Times New Roman" w:hAnsi="Times New Roman" w:eastAsia="宋体" w:cs="Times New Roman"/>
                      <w:color w:val="auto"/>
                      <w:kern w:val="0"/>
                      <w:sz w:val="21"/>
                      <w:szCs w:val="21"/>
                      <w:lang w:eastAsia="zh-CN"/>
                    </w:rPr>
                    <w:t>。</w:t>
                  </w:r>
                </w:p>
              </w:tc>
              <w:tc>
                <w:tcPr>
                  <w:tcW w:w="661" w:type="dxa"/>
                  <w:tcBorders>
                    <w:tl2br w:val="nil"/>
                    <w:tr2bl w:val="nil"/>
                  </w:tcBorders>
                  <w:vAlign w:val="center"/>
                </w:tcPr>
                <w:p w14:paraId="6052B5B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0E649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94767B2">
                  <w:pPr>
                    <w:spacing w:line="240" w:lineRule="auto"/>
                    <w:jc w:val="center"/>
                    <w:rPr>
                      <w:rFonts w:hint="default" w:ascii="Times New Roman" w:hAnsi="Times New Roman" w:eastAsia="宋体" w:cs="Times New Roman"/>
                      <w:sz w:val="21"/>
                      <w:szCs w:val="21"/>
                      <w:lang w:val="en-US" w:eastAsia="zh-CN"/>
                    </w:rPr>
                  </w:pPr>
                </w:p>
              </w:tc>
              <w:tc>
                <w:tcPr>
                  <w:tcW w:w="1506" w:type="dxa"/>
                  <w:gridSpan w:val="2"/>
                  <w:tcBorders>
                    <w:tl2br w:val="nil"/>
                    <w:tr2bl w:val="nil"/>
                  </w:tcBorders>
                  <w:vAlign w:val="center"/>
                </w:tcPr>
                <w:p w14:paraId="4B17E6F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消防</w:t>
                  </w:r>
                </w:p>
              </w:tc>
              <w:tc>
                <w:tcPr>
                  <w:tcW w:w="5163" w:type="dxa"/>
                  <w:tcBorders>
                    <w:tl2br w:val="nil"/>
                    <w:tr2bl w:val="nil"/>
                  </w:tcBorders>
                  <w:vAlign w:val="center"/>
                </w:tcPr>
                <w:p w14:paraId="48471D83">
                  <w:pPr>
                    <w:spacing w:line="240" w:lineRule="auto"/>
                    <w:jc w:val="left"/>
                    <w:rPr>
                      <w:rFonts w:hint="eastAsia" w:ascii="Times New Roman" w:hAnsi="Times New Roman" w:cs="Times New Roman" w:eastAsiaTheme="minorEastAsia"/>
                      <w:color w:val="auto"/>
                      <w:sz w:val="21"/>
                      <w:szCs w:val="21"/>
                      <w:lang w:val="en-US" w:eastAsia="zh-CN"/>
                    </w:rPr>
                  </w:pPr>
                  <w:r>
                    <w:rPr>
                      <w:rFonts w:hint="default" w:ascii="Times New Roman" w:hAnsi="Times New Roman" w:eastAsia="宋体" w:cs="Times New Roman"/>
                      <w:spacing w:val="-9"/>
                      <w:sz w:val="21"/>
                      <w:szCs w:val="21"/>
                    </w:rPr>
                    <w:t xml:space="preserve">升压站内设置 </w:t>
                  </w:r>
                  <w:r>
                    <w:rPr>
                      <w:rFonts w:hint="default" w:ascii="Times New Roman" w:hAnsi="Times New Roman" w:eastAsia="宋体" w:cs="Times New Roman"/>
                      <w:spacing w:val="8"/>
                      <w:sz w:val="21"/>
                      <w:szCs w:val="21"/>
                    </w:rPr>
                    <w:t>180m</w:t>
                  </w:r>
                  <w:r>
                    <w:rPr>
                      <w:rFonts w:hint="default" w:ascii="Times New Roman" w:hAnsi="Times New Roman" w:eastAsia="宋体" w:cs="Times New Roman"/>
                      <w:spacing w:val="8"/>
                      <w:sz w:val="21"/>
                      <w:szCs w:val="21"/>
                      <w:vertAlign w:val="superscript"/>
                      <w:lang w:val="en-US" w:eastAsia="zh-CN"/>
                    </w:rPr>
                    <w:t>3</w:t>
                  </w:r>
                  <w:r>
                    <w:rPr>
                      <w:rFonts w:hint="default" w:ascii="Times New Roman" w:hAnsi="Times New Roman" w:eastAsia="宋体" w:cs="Times New Roman"/>
                      <w:spacing w:val="7"/>
                      <w:sz w:val="21"/>
                      <w:szCs w:val="21"/>
                    </w:rPr>
                    <w:t>消防水池满足消防用水量。室外消火</w:t>
                  </w:r>
                  <w:r>
                    <w:rPr>
                      <w:rFonts w:hint="default" w:ascii="Times New Roman" w:hAnsi="Times New Roman" w:eastAsia="宋体" w:cs="Times New Roman"/>
                      <w:spacing w:val="2"/>
                      <w:sz w:val="21"/>
                      <w:szCs w:val="21"/>
                    </w:rPr>
                    <w:t>栓系统采用环状管网供水，场区内设置了室外消火栓</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spacing w:val="-8"/>
                      <w:sz w:val="21"/>
                      <w:szCs w:val="21"/>
                    </w:rPr>
                    <w:t xml:space="preserve">每台主变旁配置 </w:t>
                  </w:r>
                  <w:r>
                    <w:rPr>
                      <w:rFonts w:hint="default" w:ascii="Times New Roman" w:hAnsi="Times New Roman" w:eastAsia="宋体" w:cs="Times New Roman"/>
                      <w:sz w:val="21"/>
                      <w:szCs w:val="21"/>
                    </w:rPr>
                    <w:t>MFT50推车式干粉灭火器两台</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m</w:t>
                  </w:r>
                  <w:r>
                    <w:rPr>
                      <w:rFonts w:hint="eastAsia"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pacing w:val="-2"/>
                      <w:sz w:val="21"/>
                      <w:szCs w:val="21"/>
                    </w:rPr>
                    <w:t>消防砂箱一个</w:t>
                  </w:r>
                  <w:r>
                    <w:rPr>
                      <w:rFonts w:hint="default" w:ascii="Times New Roman" w:hAnsi="Times New Roman" w:eastAsia="宋体" w:cs="Times New Roman"/>
                      <w:spacing w:val="-2"/>
                      <w:sz w:val="21"/>
                      <w:szCs w:val="21"/>
                      <w:lang w:eastAsia="zh-CN"/>
                    </w:rPr>
                    <w:t>。</w:t>
                  </w:r>
                  <w:r>
                    <w:rPr>
                      <w:rFonts w:hint="default" w:ascii="Times New Roman" w:hAnsi="Times New Roman" w:eastAsia="宋体" w:cs="Times New Roman"/>
                      <w:spacing w:val="-6"/>
                      <w:sz w:val="21"/>
                      <w:szCs w:val="21"/>
                    </w:rPr>
                    <w:t>每个箱式变压器配置</w:t>
                  </w:r>
                  <w:r>
                    <w:rPr>
                      <w:rFonts w:hint="default" w:ascii="Times New Roman" w:hAnsi="Times New Roman" w:eastAsia="宋体" w:cs="Times New Roman"/>
                      <w:spacing w:val="-6"/>
                      <w:sz w:val="21"/>
                      <w:szCs w:val="21"/>
                      <w:lang w:val="en-US" w:eastAsia="zh-CN"/>
                    </w:rPr>
                    <w:t>2</w:t>
                  </w:r>
                  <w:r>
                    <w:rPr>
                      <w:rFonts w:hint="default" w:ascii="Times New Roman" w:hAnsi="Times New Roman" w:eastAsia="宋体" w:cs="Times New Roman"/>
                      <w:spacing w:val="-3"/>
                      <w:sz w:val="21"/>
                      <w:szCs w:val="21"/>
                    </w:rPr>
                    <w:t>具手提式磷</w:t>
                  </w:r>
                  <w:r>
                    <w:rPr>
                      <w:rFonts w:hint="default" w:ascii="Times New Roman" w:hAnsi="Times New Roman" w:eastAsia="宋体" w:cs="Times New Roman"/>
                      <w:spacing w:val="-7"/>
                      <w:sz w:val="21"/>
                      <w:szCs w:val="21"/>
                    </w:rPr>
                    <w:t>酸铵盐干粉灭火器</w:t>
                  </w:r>
                  <w:r>
                    <w:rPr>
                      <w:rFonts w:hint="default" w:ascii="Times New Roman" w:hAnsi="Times New Roman" w:eastAsia="宋体" w:cs="Times New Roman"/>
                      <w:spacing w:val="-7"/>
                      <w:sz w:val="21"/>
                      <w:szCs w:val="21"/>
                      <w:lang w:eastAsia="zh-CN"/>
                    </w:rPr>
                    <w:t>。</w:t>
                  </w:r>
                </w:p>
              </w:tc>
              <w:tc>
                <w:tcPr>
                  <w:tcW w:w="661" w:type="dxa"/>
                  <w:tcBorders>
                    <w:tl2br w:val="nil"/>
                    <w:tr2bl w:val="nil"/>
                  </w:tcBorders>
                  <w:vAlign w:val="center"/>
                </w:tcPr>
                <w:p w14:paraId="37DFC56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751A1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restart"/>
                  <w:tcBorders>
                    <w:tl2br w:val="nil"/>
                    <w:tr2bl w:val="nil"/>
                  </w:tcBorders>
                  <w:vAlign w:val="center"/>
                </w:tcPr>
                <w:p w14:paraId="30776C5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488" w:type="dxa"/>
                  <w:vMerge w:val="restart"/>
                  <w:tcBorders>
                    <w:tl2br w:val="nil"/>
                    <w:tr2bl w:val="nil"/>
                  </w:tcBorders>
                  <w:vAlign w:val="center"/>
                </w:tcPr>
                <w:p w14:paraId="0C3BD47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废水</w:t>
                  </w:r>
                </w:p>
              </w:tc>
              <w:tc>
                <w:tcPr>
                  <w:tcW w:w="1018" w:type="dxa"/>
                  <w:vMerge w:val="restart"/>
                  <w:tcBorders>
                    <w:tl2br w:val="nil"/>
                    <w:tr2bl w:val="nil"/>
                  </w:tcBorders>
                  <w:vAlign w:val="center"/>
                </w:tcPr>
                <w:p w14:paraId="78FE0B4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110kv升压站区</w:t>
                  </w:r>
                </w:p>
              </w:tc>
              <w:tc>
                <w:tcPr>
                  <w:tcW w:w="5163" w:type="dxa"/>
                  <w:tcBorders>
                    <w:tl2br w:val="nil"/>
                    <w:tr2bl w:val="nil"/>
                  </w:tcBorders>
                  <w:vAlign w:val="center"/>
                </w:tcPr>
                <w:p w14:paraId="5D56B45A">
                  <w:pPr>
                    <w:spacing w:line="240" w:lineRule="auto"/>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隔油池1个，容积为</w:t>
                  </w:r>
                  <w:r>
                    <w:rPr>
                      <w:rFonts w:hint="eastAsia" w:ascii="Times New Roman" w:hAnsi="Times New Roman" w:eastAsia="宋体" w:cs="Times New Roman"/>
                      <w:color w:val="auto"/>
                      <w:sz w:val="21"/>
                      <w:szCs w:val="21"/>
                      <w:lang w:val="en-US" w:eastAsia="zh-CN"/>
                    </w:rPr>
                    <w:t>0.5</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用于预处理食堂废水。</w:t>
                  </w:r>
                </w:p>
              </w:tc>
              <w:tc>
                <w:tcPr>
                  <w:tcW w:w="661" w:type="dxa"/>
                  <w:tcBorders>
                    <w:tl2br w:val="nil"/>
                    <w:tr2bl w:val="nil"/>
                  </w:tcBorders>
                  <w:vAlign w:val="center"/>
                </w:tcPr>
                <w:p w14:paraId="0AD84947">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D4D36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60334CEA">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53B75119">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4C905E51">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396951A8">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化粪池1个，容积为4m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用于收集预处理生活废水。</w:t>
                  </w:r>
                </w:p>
              </w:tc>
              <w:tc>
                <w:tcPr>
                  <w:tcW w:w="661" w:type="dxa"/>
                  <w:tcBorders>
                    <w:tl2br w:val="nil"/>
                    <w:tr2bl w:val="nil"/>
                  </w:tcBorders>
                  <w:vAlign w:val="center"/>
                </w:tcPr>
                <w:p w14:paraId="7071C05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2ACB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7BE8D79">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749D7646">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345BFF97">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1914629B">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废水收集池</w:t>
                  </w:r>
                  <w:r>
                    <w:rPr>
                      <w:rFonts w:hint="default" w:ascii="Times New Roman" w:hAnsi="Times New Roman" w:eastAsia="宋体" w:cs="Times New Roman"/>
                      <w:color w:val="auto"/>
                      <w:sz w:val="21"/>
                      <w:szCs w:val="21"/>
                      <w:lang w:val="en-US" w:eastAsia="zh-CN"/>
                    </w:rPr>
                    <w:t>1个，容积为</w:t>
                  </w:r>
                  <w:r>
                    <w:rPr>
                      <w:rFonts w:hint="eastAsia" w:ascii="Times New Roman" w:hAnsi="Times New Roman" w:eastAsia="宋体" w:cs="Times New Roman"/>
                      <w:color w:val="auto"/>
                      <w:sz w:val="21"/>
                      <w:szCs w:val="21"/>
                      <w:lang w:val="en-US" w:eastAsia="zh-CN"/>
                    </w:rPr>
                    <w:t>18</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暂存经隔油池化粪池处理后的生活污水</w:t>
                  </w:r>
                  <w:r>
                    <w:rPr>
                      <w:rFonts w:hint="default" w:ascii="Times New Roman" w:hAnsi="Times New Roman" w:eastAsia="宋体" w:cs="Times New Roman"/>
                      <w:color w:val="auto"/>
                      <w:sz w:val="21"/>
                      <w:szCs w:val="21"/>
                      <w:lang w:val="en-US" w:eastAsia="zh-CN"/>
                    </w:rPr>
                    <w:t>。</w:t>
                  </w:r>
                </w:p>
              </w:tc>
              <w:tc>
                <w:tcPr>
                  <w:tcW w:w="661" w:type="dxa"/>
                  <w:tcBorders>
                    <w:tl2br w:val="nil"/>
                    <w:tr2bl w:val="nil"/>
                  </w:tcBorders>
                  <w:vAlign w:val="center"/>
                </w:tcPr>
                <w:p w14:paraId="25BEA8FA">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6475B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6" w:type="dxa"/>
                  <w:vMerge w:val="continue"/>
                  <w:tcBorders>
                    <w:tl2br w:val="nil"/>
                    <w:tr2bl w:val="nil"/>
                  </w:tcBorders>
                  <w:vAlign w:val="center"/>
                </w:tcPr>
                <w:p w14:paraId="10703C64">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25132C3D">
                  <w:pPr>
                    <w:spacing w:line="240" w:lineRule="auto"/>
                    <w:jc w:val="center"/>
                    <w:rPr>
                      <w:rFonts w:hint="default" w:ascii="Times New Roman" w:hAnsi="Times New Roman" w:eastAsia="宋体" w:cs="Times New Roman"/>
                      <w:sz w:val="21"/>
                      <w:szCs w:val="21"/>
                      <w:lang w:val="en-US" w:eastAsia="zh-CN"/>
                    </w:rPr>
                  </w:pPr>
                </w:p>
              </w:tc>
              <w:tc>
                <w:tcPr>
                  <w:tcW w:w="1018" w:type="dxa"/>
                  <w:vMerge w:val="restart"/>
                  <w:tcBorders>
                    <w:tl2br w:val="nil"/>
                    <w:tr2bl w:val="nil"/>
                  </w:tcBorders>
                  <w:vAlign w:val="center"/>
                </w:tcPr>
                <w:p w14:paraId="52585B6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光伏阵列区</w:t>
                  </w:r>
                </w:p>
              </w:tc>
              <w:tc>
                <w:tcPr>
                  <w:tcW w:w="5163" w:type="dxa"/>
                  <w:tcBorders>
                    <w:tl2br w:val="nil"/>
                    <w:tr2bl w:val="nil"/>
                  </w:tcBorders>
                  <w:vAlign w:val="center"/>
                </w:tcPr>
                <w:p w14:paraId="731C8B62">
                  <w:pPr>
                    <w:spacing w:line="240" w:lineRule="auto"/>
                    <w:jc w:val="left"/>
                    <w:rPr>
                      <w:rFonts w:hint="eastAsia"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集水沟：项目光伏</w:t>
                  </w:r>
                  <w:r>
                    <w:rPr>
                      <w:rFonts w:hint="default" w:ascii="Times New Roman" w:hAnsi="Times New Roman" w:eastAsia="宋体" w:cs="Times New Roman"/>
                      <w:spacing w:val="-9"/>
                      <w:sz w:val="21"/>
                      <w:szCs w:val="21"/>
                      <w:lang w:val="en-US" w:eastAsia="zh-CN"/>
                    </w:rPr>
                    <w:t>阵列区分别设置集水沟，用于收集光伏阵列区光伏板清洗废水。</w:t>
                  </w:r>
                  <w:r>
                    <w:rPr>
                      <w:rFonts w:hint="default" w:ascii="Times New Roman" w:hAnsi="Times New Roman" w:eastAsia="宋体" w:cs="Times New Roman"/>
                      <w:spacing w:val="-9"/>
                      <w:sz w:val="21"/>
                      <w:szCs w:val="21"/>
                    </w:rPr>
                    <w:t>清洗废水排水沟可结合场内雨水排水沟修建，一般宽300mm×深 400mm，材料为C25素混凝土</w:t>
                  </w:r>
                  <w:r>
                    <w:rPr>
                      <w:rFonts w:hint="eastAsia" w:ascii="Times New Roman" w:hAnsi="Times New Roman" w:eastAsia="宋体" w:cs="Times New Roman"/>
                      <w:spacing w:val="-9"/>
                      <w:sz w:val="21"/>
                      <w:szCs w:val="21"/>
                      <w:lang w:eastAsia="zh-CN"/>
                    </w:rPr>
                    <w:t>。</w:t>
                  </w:r>
                </w:p>
              </w:tc>
              <w:tc>
                <w:tcPr>
                  <w:tcW w:w="661" w:type="dxa"/>
                  <w:tcBorders>
                    <w:tl2br w:val="nil"/>
                    <w:tr2bl w:val="nil"/>
                  </w:tcBorders>
                  <w:vAlign w:val="center"/>
                </w:tcPr>
                <w:p w14:paraId="7ADC64AA">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7A645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5B46413">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E5CBB2C">
                  <w:pPr>
                    <w:spacing w:line="240" w:lineRule="auto"/>
                    <w:jc w:val="center"/>
                    <w:rPr>
                      <w:rFonts w:hint="default" w:ascii="Times New Roman" w:hAnsi="Times New Roman" w:eastAsia="宋体" w:cs="Times New Roman"/>
                      <w:sz w:val="21"/>
                      <w:szCs w:val="21"/>
                      <w:lang w:val="en-US" w:eastAsia="zh-CN"/>
                    </w:rPr>
                  </w:pPr>
                </w:p>
              </w:tc>
              <w:tc>
                <w:tcPr>
                  <w:tcW w:w="1018" w:type="dxa"/>
                  <w:vMerge w:val="continue"/>
                  <w:tcBorders>
                    <w:tl2br w:val="nil"/>
                    <w:tr2bl w:val="nil"/>
                  </w:tcBorders>
                  <w:vAlign w:val="center"/>
                </w:tcPr>
                <w:p w14:paraId="4CE7C0A0">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63874DDA">
                  <w:pPr>
                    <w:spacing w:line="240" w:lineRule="auto"/>
                    <w:jc w:val="left"/>
                    <w:rPr>
                      <w:rFonts w:hint="default" w:ascii="Times New Roman" w:hAnsi="Times New Roman" w:eastAsia="宋体" w:cs="Times New Roman"/>
                      <w:spacing w:val="-9"/>
                      <w:sz w:val="21"/>
                      <w:szCs w:val="21"/>
                      <w:lang w:val="en-US" w:eastAsia="zh-CN"/>
                    </w:rPr>
                  </w:pPr>
                  <w:r>
                    <w:rPr>
                      <w:rFonts w:hint="eastAsia" w:ascii="Times New Roman" w:hAnsi="Times New Roman" w:eastAsia="宋体" w:cs="Times New Roman"/>
                      <w:spacing w:val="-9"/>
                      <w:sz w:val="21"/>
                      <w:szCs w:val="21"/>
                      <w:lang w:val="en-US" w:eastAsia="zh-CN"/>
                    </w:rPr>
                    <w:t>沉淀池：</w:t>
                  </w:r>
                  <w:r>
                    <w:rPr>
                      <w:rFonts w:hint="default" w:ascii="Times New Roman" w:hAnsi="Times New Roman" w:eastAsia="宋体" w:cs="Times New Roman"/>
                      <w:spacing w:val="-9"/>
                      <w:sz w:val="21"/>
                      <w:szCs w:val="21"/>
                    </w:rPr>
                    <w:t>沉淀池同时作为绿化用水蓄水池，沉淀池的修建应结合排水沟的分区和走向，设置在排水沟尽端</w:t>
                  </w:r>
                  <w:r>
                    <w:rPr>
                      <w:rFonts w:hint="eastAsia" w:ascii="Times New Roman" w:hAnsi="Times New Roman" w:eastAsia="宋体" w:cs="Times New Roman"/>
                      <w:spacing w:val="-9"/>
                      <w:sz w:val="21"/>
                      <w:szCs w:val="21"/>
                      <w:lang w:val="en-US" w:eastAsia="zh-CN"/>
                    </w:rPr>
                    <w:t>。沉淀池总容积满足所有光伏阵列区光伏板清洗废水排放量</w:t>
                  </w:r>
                  <w:r>
                    <w:rPr>
                      <w:rFonts w:hint="eastAsia" w:ascii="Times New Roman" w:hAnsi="Times New Roman" w:eastAsia="宋体" w:cs="Times New Roman"/>
                      <w:color w:val="auto"/>
                      <w:spacing w:val="-9"/>
                      <w:sz w:val="21"/>
                      <w:szCs w:val="21"/>
                      <w:lang w:val="en-US" w:eastAsia="zh-CN"/>
                    </w:rPr>
                    <w:t>。总容积不小于200</w:t>
                  </w:r>
                  <w:r>
                    <w:rPr>
                      <w:rFonts w:hint="default" w:ascii="Times New Roman" w:hAnsi="Times New Roman" w:eastAsia="宋体" w:cs="Times New Roman"/>
                      <w:color w:val="auto"/>
                      <w:spacing w:val="-9"/>
                      <w:sz w:val="21"/>
                      <w:szCs w:val="21"/>
                      <w:lang w:val="en-US" w:eastAsia="zh-CN"/>
                    </w:rPr>
                    <w:t>m</w:t>
                  </w:r>
                  <w:r>
                    <w:rPr>
                      <w:rFonts w:hint="eastAsia" w:ascii="Times New Roman" w:hAnsi="Times New Roman" w:eastAsia="宋体" w:cs="Times New Roman"/>
                      <w:color w:val="auto"/>
                      <w:spacing w:val="-9"/>
                      <w:sz w:val="21"/>
                      <w:szCs w:val="21"/>
                      <w:vertAlign w:val="superscript"/>
                      <w:lang w:val="en-US" w:eastAsia="zh-CN"/>
                    </w:rPr>
                    <w:t>3</w:t>
                  </w:r>
                  <w:r>
                    <w:rPr>
                      <w:rFonts w:hint="eastAsia" w:ascii="Times New Roman" w:hAnsi="Times New Roman" w:eastAsia="宋体" w:cs="Times New Roman"/>
                      <w:color w:val="auto"/>
                      <w:spacing w:val="-9"/>
                      <w:sz w:val="21"/>
                      <w:szCs w:val="21"/>
                      <w:lang w:val="en-US" w:eastAsia="zh-CN"/>
                    </w:rPr>
                    <w:t>。</w:t>
                  </w:r>
                </w:p>
              </w:tc>
              <w:tc>
                <w:tcPr>
                  <w:tcW w:w="661" w:type="dxa"/>
                  <w:tcBorders>
                    <w:tl2br w:val="nil"/>
                    <w:tr2bl w:val="nil"/>
                  </w:tcBorders>
                  <w:vAlign w:val="center"/>
                </w:tcPr>
                <w:p w14:paraId="17A0773A">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696A0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2C64749D">
                  <w:pPr>
                    <w:spacing w:line="240" w:lineRule="auto"/>
                    <w:jc w:val="center"/>
                    <w:rPr>
                      <w:rFonts w:hint="default" w:ascii="Times New Roman" w:hAnsi="Times New Roman" w:eastAsia="宋体" w:cs="Times New Roman"/>
                      <w:sz w:val="21"/>
                      <w:szCs w:val="21"/>
                      <w:lang w:val="en-US" w:eastAsia="zh-CN"/>
                    </w:rPr>
                  </w:pPr>
                </w:p>
              </w:tc>
              <w:tc>
                <w:tcPr>
                  <w:tcW w:w="488" w:type="dxa"/>
                  <w:tcBorders>
                    <w:tl2br w:val="nil"/>
                    <w:tr2bl w:val="nil"/>
                  </w:tcBorders>
                  <w:vAlign w:val="center"/>
                </w:tcPr>
                <w:p w14:paraId="13E1632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1018" w:type="dxa"/>
                  <w:tcBorders>
                    <w:tl2br w:val="nil"/>
                    <w:tr2bl w:val="nil"/>
                  </w:tcBorders>
                  <w:vAlign w:val="center"/>
                </w:tcPr>
                <w:p w14:paraId="7E5EC6B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厨房油烟</w:t>
                  </w:r>
                </w:p>
              </w:tc>
              <w:tc>
                <w:tcPr>
                  <w:tcW w:w="5163" w:type="dxa"/>
                  <w:tcBorders>
                    <w:tl2br w:val="nil"/>
                    <w:tr2bl w:val="nil"/>
                  </w:tcBorders>
                  <w:vAlign w:val="center"/>
                </w:tcPr>
                <w:p w14:paraId="5E6D846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综合楼厨房内设置1套油</w:t>
                  </w:r>
                  <w:r>
                    <w:rPr>
                      <w:rFonts w:hint="eastAsia" w:ascii="Times New Roman" w:hAnsi="Times New Roman" w:eastAsia="宋体" w:cs="Times New Roman"/>
                      <w:sz w:val="21"/>
                      <w:szCs w:val="21"/>
                      <w:lang w:val="en-US" w:eastAsia="zh-CN"/>
                    </w:rPr>
                    <w:t>抽烟烟机</w:t>
                  </w:r>
                  <w:r>
                    <w:rPr>
                      <w:rFonts w:hint="default" w:ascii="Times New Roman" w:hAnsi="Times New Roman" w:eastAsia="宋体" w:cs="Times New Roman"/>
                      <w:sz w:val="21"/>
                      <w:szCs w:val="21"/>
                      <w:lang w:val="en-US" w:eastAsia="zh-CN"/>
                    </w:rPr>
                    <w:t>，厨房油烟经</w:t>
                  </w:r>
                  <w:r>
                    <w:rPr>
                      <w:rFonts w:hint="eastAsia" w:ascii="Times New Roman" w:hAnsi="Times New Roman" w:eastAsia="宋体" w:cs="Times New Roman"/>
                      <w:sz w:val="21"/>
                      <w:szCs w:val="21"/>
                      <w:lang w:val="en-US" w:eastAsia="zh-CN"/>
                    </w:rPr>
                    <w:t>抽油烟机</w:t>
                  </w:r>
                  <w:r>
                    <w:rPr>
                      <w:rFonts w:hint="default" w:ascii="Times New Roman" w:hAnsi="Times New Roman" w:eastAsia="宋体" w:cs="Times New Roman"/>
                      <w:sz w:val="21"/>
                      <w:szCs w:val="21"/>
                      <w:lang w:val="en-US" w:eastAsia="zh-CN"/>
                    </w:rPr>
                    <w:t>引至屋顶排放。</w:t>
                  </w:r>
                </w:p>
              </w:tc>
              <w:tc>
                <w:tcPr>
                  <w:tcW w:w="661" w:type="dxa"/>
                  <w:tcBorders>
                    <w:tl2br w:val="nil"/>
                    <w:tr2bl w:val="nil"/>
                  </w:tcBorders>
                  <w:vAlign w:val="center"/>
                </w:tcPr>
                <w:p w14:paraId="48428BC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4823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CE8FB2C">
                  <w:pPr>
                    <w:spacing w:line="240" w:lineRule="auto"/>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530656F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1018" w:type="dxa"/>
                  <w:tcBorders>
                    <w:tl2br w:val="nil"/>
                    <w:tr2bl w:val="nil"/>
                  </w:tcBorders>
                  <w:vAlign w:val="center"/>
                </w:tcPr>
                <w:p w14:paraId="703096C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生活垃圾桶</w:t>
                  </w:r>
                </w:p>
              </w:tc>
              <w:tc>
                <w:tcPr>
                  <w:tcW w:w="5163" w:type="dxa"/>
                  <w:tcBorders>
                    <w:tl2br w:val="nil"/>
                    <w:tr2bl w:val="nil"/>
                  </w:tcBorders>
                  <w:vAlign w:val="center"/>
                </w:tcPr>
                <w:p w14:paraId="67C5140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运营期仅升压站内产生生活垃圾，设置垃圾收集桶若干，及时清运至周边村子生活垃圾处理收集点，由当地环卫部门处置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62A64797">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0E83E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30961CEA">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63AD7322">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716E242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废光伏板</w:t>
                  </w:r>
                </w:p>
              </w:tc>
              <w:tc>
                <w:tcPr>
                  <w:tcW w:w="5163" w:type="dxa"/>
                  <w:tcBorders>
                    <w:tl2br w:val="nil"/>
                    <w:tr2bl w:val="nil"/>
                  </w:tcBorders>
                  <w:vAlign w:val="center"/>
                </w:tcPr>
                <w:p w14:paraId="52BCC4D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项目附属用房设置一般固废暂存间，</w:t>
                  </w:r>
                  <w:r>
                    <w:rPr>
                      <w:rFonts w:hint="default" w:ascii="Times New Roman" w:hAnsi="Times New Roman" w:eastAsia="宋体" w:cs="Times New Roman"/>
                      <w:sz w:val="21"/>
                      <w:szCs w:val="21"/>
                      <w:lang w:val="en-US" w:eastAsia="zh-CN"/>
                    </w:rPr>
                    <w:t>废光伏板报废后</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建设单位对废光伏板进行收集，收集后暂存于</w:t>
                  </w:r>
                  <w:r>
                    <w:rPr>
                      <w:rFonts w:hint="eastAsia" w:ascii="Times New Roman" w:hAnsi="Times New Roman" w:eastAsia="宋体" w:cs="Times New Roman"/>
                      <w:sz w:val="21"/>
                      <w:szCs w:val="21"/>
                      <w:lang w:val="en-US" w:eastAsia="zh-CN"/>
                    </w:rPr>
                    <w:t>暂存间</w:t>
                  </w:r>
                  <w:r>
                    <w:rPr>
                      <w:rFonts w:hint="default" w:ascii="Times New Roman" w:hAnsi="Times New Roman" w:eastAsia="宋体" w:cs="Times New Roman"/>
                      <w:sz w:val="21"/>
                      <w:szCs w:val="21"/>
                      <w:lang w:val="en-US" w:eastAsia="zh-CN"/>
                    </w:rPr>
                    <w:t>内，委托专业的回收厂家收购，回收处置</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4187B87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3AD5B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6CF9CBFF">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A1AA1C4">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5C97C903">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危险废物</w:t>
                  </w:r>
                </w:p>
              </w:tc>
              <w:tc>
                <w:tcPr>
                  <w:tcW w:w="5163" w:type="dxa"/>
                  <w:tcBorders>
                    <w:tl2br w:val="nil"/>
                    <w:tr2bl w:val="nil"/>
                  </w:tcBorders>
                  <w:vAlign w:val="center"/>
                </w:tcPr>
                <w:p w14:paraId="3EB6123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废矿物油、废铅蓄电池</w:t>
                  </w:r>
                  <w:r>
                    <w:rPr>
                      <w:rFonts w:hint="eastAsia" w:ascii="Times New Roman" w:hAnsi="Times New Roman" w:eastAsia="宋体" w:cs="Times New Roman"/>
                      <w:sz w:val="21"/>
                      <w:szCs w:val="21"/>
                      <w:lang w:val="en-US" w:eastAsia="zh-CN"/>
                    </w:rPr>
                    <w:t>使用专用容器收集分区暂存于危废暂存间</w:t>
                  </w:r>
                  <w:r>
                    <w:rPr>
                      <w:rFonts w:hint="default" w:ascii="Times New Roman" w:hAnsi="Times New Roman" w:eastAsia="宋体" w:cs="Times New Roman"/>
                      <w:sz w:val="21"/>
                      <w:szCs w:val="21"/>
                      <w:lang w:val="en-US" w:eastAsia="zh-CN"/>
                    </w:rPr>
                    <w:t>。与有危废处置资质的单位签订危废处置协议，由资质单位对危险废物进行</w:t>
                  </w:r>
                  <w:r>
                    <w:rPr>
                      <w:rFonts w:hint="eastAsia" w:ascii="Times New Roman" w:hAnsi="Times New Roman" w:eastAsia="宋体" w:cs="Times New Roman"/>
                      <w:sz w:val="21"/>
                      <w:szCs w:val="21"/>
                      <w:lang w:val="en-US" w:eastAsia="zh-CN"/>
                    </w:rPr>
                    <w:t>清运</w:t>
                  </w:r>
                  <w:r>
                    <w:rPr>
                      <w:rFonts w:hint="default" w:ascii="Times New Roman" w:hAnsi="Times New Roman" w:eastAsia="宋体" w:cs="Times New Roman"/>
                      <w:sz w:val="21"/>
                      <w:szCs w:val="21"/>
                      <w:lang w:val="en-US" w:eastAsia="zh-CN"/>
                    </w:rPr>
                    <w:t>处置。</w:t>
                  </w:r>
                </w:p>
              </w:tc>
              <w:tc>
                <w:tcPr>
                  <w:tcW w:w="661" w:type="dxa"/>
                  <w:tcBorders>
                    <w:tl2br w:val="nil"/>
                    <w:tr2bl w:val="nil"/>
                  </w:tcBorders>
                  <w:vAlign w:val="center"/>
                </w:tcPr>
                <w:p w14:paraId="35433DF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3E623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44873318">
                  <w:pPr>
                    <w:spacing w:line="240" w:lineRule="auto"/>
                    <w:jc w:val="center"/>
                    <w:rPr>
                      <w:rFonts w:hint="default" w:ascii="Times New Roman" w:hAnsi="Times New Roman" w:eastAsia="宋体" w:cs="Times New Roman"/>
                      <w:sz w:val="21"/>
                      <w:szCs w:val="21"/>
                      <w:lang w:val="en-US" w:eastAsia="zh-CN"/>
                    </w:rPr>
                  </w:pPr>
                </w:p>
              </w:tc>
              <w:tc>
                <w:tcPr>
                  <w:tcW w:w="488" w:type="dxa"/>
                  <w:vMerge w:val="restart"/>
                  <w:tcBorders>
                    <w:tl2br w:val="nil"/>
                    <w:tr2bl w:val="nil"/>
                  </w:tcBorders>
                  <w:vAlign w:val="center"/>
                </w:tcPr>
                <w:p w14:paraId="7AA02A0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环境风险</w:t>
                  </w:r>
                </w:p>
                <w:p w14:paraId="7322506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w:t>
                  </w:r>
                </w:p>
              </w:tc>
              <w:tc>
                <w:tcPr>
                  <w:tcW w:w="1018" w:type="dxa"/>
                  <w:tcBorders>
                    <w:tl2br w:val="nil"/>
                    <w:tr2bl w:val="nil"/>
                  </w:tcBorders>
                  <w:vAlign w:val="center"/>
                </w:tcPr>
                <w:p w14:paraId="2167533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升压</w:t>
                  </w:r>
                </w:p>
                <w:p w14:paraId="4636A7C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站事</w:t>
                  </w:r>
                </w:p>
                <w:p w14:paraId="10517E9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故油</w:t>
                  </w:r>
                </w:p>
                <w:p w14:paraId="771ACD1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池</w:t>
                  </w:r>
                </w:p>
                <w:p w14:paraId="0F9748F0">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1D2BFBB3">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在升压站主变压器附近设1个事故油池，钢筋混凝土结构，</w:t>
                  </w:r>
                  <w:r>
                    <w:rPr>
                      <w:rFonts w:hint="eastAsia" w:ascii="Times New Roman" w:hAnsi="Times New Roman" w:eastAsia="宋体" w:cs="Times New Roman"/>
                      <w:color w:val="auto"/>
                      <w:sz w:val="21"/>
                      <w:szCs w:val="21"/>
                      <w:lang w:val="en-US" w:eastAsia="zh-CN"/>
                    </w:rPr>
                    <w:t>有效</w:t>
                  </w:r>
                  <w:r>
                    <w:rPr>
                      <w:rFonts w:hint="default" w:ascii="Times New Roman" w:hAnsi="Times New Roman" w:eastAsia="宋体" w:cs="Times New Roman"/>
                      <w:color w:val="auto"/>
                      <w:sz w:val="21"/>
                      <w:szCs w:val="21"/>
                      <w:lang w:val="en-US" w:eastAsia="zh-CN"/>
                    </w:rPr>
                    <w:t>容积</w:t>
                  </w:r>
                  <w:r>
                    <w:rPr>
                      <w:rFonts w:hint="eastAsia" w:ascii="Times New Roman" w:hAnsi="Times New Roman" w:eastAsia="宋体" w:cs="Times New Roman"/>
                      <w:color w:val="auto"/>
                      <w:sz w:val="21"/>
                      <w:szCs w:val="21"/>
                      <w:lang w:val="en-US" w:eastAsia="zh-CN"/>
                    </w:rPr>
                    <w:t>不小于30</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，确保能够收集</w:t>
                  </w:r>
                  <w:r>
                    <w:rPr>
                      <w:rFonts w:hint="eastAsia" w:ascii="Times New Roman" w:hAnsi="Times New Roman" w:eastAsia="宋体" w:cs="Times New Roman"/>
                      <w:color w:val="auto"/>
                      <w:sz w:val="21"/>
                      <w:szCs w:val="21"/>
                      <w:lang w:val="en-US" w:eastAsia="zh-CN"/>
                    </w:rPr>
                    <w:t>单台</w:t>
                  </w:r>
                  <w:r>
                    <w:rPr>
                      <w:rFonts w:hint="default" w:ascii="Times New Roman" w:hAnsi="Times New Roman" w:eastAsia="宋体" w:cs="Times New Roman"/>
                      <w:color w:val="auto"/>
                      <w:sz w:val="21"/>
                      <w:szCs w:val="21"/>
                      <w:lang w:val="en-US" w:eastAsia="zh-CN"/>
                    </w:rPr>
                    <w:t>主变压器泄漏的油量。事故油池底部和四周设置防渗措施（按照《环境影响评价技术导则地下水环境》（HJ610-2016）提出的重点防渗区防渗技术要求落实，即防渗层为等效黏土防渗层 Mb≥ 6.0m，渗透系数 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p>
              </w:tc>
              <w:tc>
                <w:tcPr>
                  <w:tcW w:w="661" w:type="dxa"/>
                  <w:tcBorders>
                    <w:tl2br w:val="nil"/>
                    <w:tr2bl w:val="nil"/>
                  </w:tcBorders>
                  <w:vAlign w:val="center"/>
                </w:tcPr>
                <w:p w14:paraId="0183CC0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25EB3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507914F5">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4457A4F5">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04EACA1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箱变</w:t>
                  </w:r>
                </w:p>
                <w:p w14:paraId="013809A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事故</w:t>
                  </w:r>
                </w:p>
                <w:p w14:paraId="38E32F4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油收</w:t>
                  </w:r>
                </w:p>
                <w:p w14:paraId="7339327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集池</w:t>
                  </w:r>
                </w:p>
                <w:p w14:paraId="68DDCF88">
                  <w:pPr>
                    <w:spacing w:line="240" w:lineRule="auto"/>
                    <w:jc w:val="center"/>
                    <w:rPr>
                      <w:rFonts w:hint="default" w:ascii="Times New Roman" w:hAnsi="Times New Roman" w:eastAsia="宋体" w:cs="Times New Roman"/>
                      <w:sz w:val="21"/>
                      <w:szCs w:val="21"/>
                      <w:lang w:val="en-US" w:eastAsia="zh-CN"/>
                    </w:rPr>
                  </w:pPr>
                </w:p>
              </w:tc>
              <w:tc>
                <w:tcPr>
                  <w:tcW w:w="5163" w:type="dxa"/>
                  <w:tcBorders>
                    <w:tl2br w:val="nil"/>
                    <w:tr2bl w:val="nil"/>
                  </w:tcBorders>
                  <w:vAlign w:val="center"/>
                </w:tcPr>
                <w:p w14:paraId="0DF9A612">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在每个箱变靠近油箱侧均设置一个容积为</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项目共设置26个事故池，事故池</w:t>
                  </w:r>
                  <w:r>
                    <w:rPr>
                      <w:rFonts w:hint="default" w:ascii="Times New Roman" w:hAnsi="Times New Roman" w:eastAsia="宋体" w:cs="Times New Roman"/>
                      <w:color w:val="auto"/>
                      <w:sz w:val="21"/>
                      <w:szCs w:val="21"/>
                      <w:lang w:val="en-US" w:eastAsia="zh-CN"/>
                    </w:rPr>
                    <w:t>的设计应满足《火力发电厂与变电站设计防火标准》</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lang w:val="en-US" w:eastAsia="zh-CN"/>
                    </w:rPr>
                    <w:t>GB50229-2019 中11.3.4的相关要求。</w:t>
                  </w:r>
                  <w:r>
                    <w:rPr>
                      <w:rFonts w:hint="eastAsia" w:ascii="Times New Roman" w:hAnsi="Times New Roman" w:eastAsia="宋体" w:cs="Times New Roman"/>
                      <w:color w:val="auto"/>
                      <w:sz w:val="21"/>
                      <w:szCs w:val="21"/>
                      <w:lang w:val="en-US" w:eastAsia="zh-CN"/>
                    </w:rPr>
                    <w:t>事故池</w:t>
                  </w:r>
                  <w:r>
                    <w:rPr>
                      <w:rFonts w:hint="default" w:ascii="Times New Roman" w:hAnsi="Times New Roman" w:eastAsia="宋体" w:cs="Times New Roman"/>
                      <w:color w:val="auto"/>
                      <w:sz w:val="21"/>
                      <w:szCs w:val="21"/>
                      <w:lang w:val="en-US" w:eastAsia="zh-CN"/>
                    </w:rPr>
                    <w:t>底部和四周按照《环境影响评价技术导则地下水环境》（HJ610- 2016）提出的重点防渗区防渗技术要求落实，即防渗层为等效黏土防渗层 Mb≥6.0m，渗透系数K≤1.0×10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cm/s，确保事故油在存储的过程中不会渗漏。</w:t>
                  </w:r>
                </w:p>
              </w:tc>
              <w:tc>
                <w:tcPr>
                  <w:tcW w:w="661" w:type="dxa"/>
                  <w:tcBorders>
                    <w:tl2br w:val="nil"/>
                    <w:tr2bl w:val="nil"/>
                  </w:tcBorders>
                  <w:vAlign w:val="center"/>
                </w:tcPr>
                <w:p w14:paraId="150B9B1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新建</w:t>
                  </w:r>
                </w:p>
              </w:tc>
            </w:tr>
            <w:tr w14:paraId="5D3AB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486" w:type="dxa"/>
                  <w:vMerge w:val="continue"/>
                  <w:tcBorders>
                    <w:tl2br w:val="nil"/>
                    <w:tr2bl w:val="nil"/>
                  </w:tcBorders>
                  <w:vAlign w:val="center"/>
                </w:tcPr>
                <w:p w14:paraId="72E966A4">
                  <w:pPr>
                    <w:spacing w:line="240" w:lineRule="auto"/>
                    <w:jc w:val="center"/>
                    <w:rPr>
                      <w:rFonts w:hint="default" w:ascii="Times New Roman" w:hAnsi="Times New Roman" w:eastAsia="宋体" w:cs="Times New Roman"/>
                      <w:sz w:val="21"/>
                      <w:szCs w:val="21"/>
                      <w:lang w:val="en-US" w:eastAsia="zh-CN"/>
                    </w:rPr>
                  </w:pPr>
                </w:p>
              </w:tc>
              <w:tc>
                <w:tcPr>
                  <w:tcW w:w="488" w:type="dxa"/>
                  <w:vMerge w:val="continue"/>
                  <w:tcBorders>
                    <w:tl2br w:val="nil"/>
                    <w:tr2bl w:val="nil"/>
                  </w:tcBorders>
                  <w:vAlign w:val="center"/>
                </w:tcPr>
                <w:p w14:paraId="21F6BB0D">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6E84EBD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危废暂存间</w:t>
                  </w:r>
                </w:p>
              </w:tc>
              <w:tc>
                <w:tcPr>
                  <w:tcW w:w="5163" w:type="dxa"/>
                  <w:tcBorders>
                    <w:tl2br w:val="nil"/>
                    <w:tr2bl w:val="nil"/>
                  </w:tcBorders>
                  <w:vAlign w:val="center"/>
                </w:tcPr>
                <w:p w14:paraId="19BECEB7">
                  <w:pPr>
                    <w:spacing w:line="240" w:lineRule="auto"/>
                    <w:jc w:val="left"/>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一间，面积25m</w:t>
                  </w:r>
                  <w:r>
                    <w:rPr>
                      <w:rFonts w:hint="default" w:ascii="Times New Roman" w:hAnsi="Times New Roman" w:eastAsia="宋体" w:cs="Times New Roman"/>
                      <w:sz w:val="21"/>
                      <w:szCs w:val="21"/>
                      <w:vertAlign w:val="superscript"/>
                      <w:lang w:val="en-US" w:eastAsia="zh-CN"/>
                    </w:rPr>
                    <w:t>2</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危废暂存间用于废矿物油、废铅蓄电池的暂存。应严格按照《危险废物贮存污染控制标准》（GB18597-2001）要求进行建设，地面和四周墙体须用防渗材料进行处理，墙体处理高度为1m左右，使渗透系数≤10</w:t>
                  </w:r>
                  <w:r>
                    <w:rPr>
                      <w:rFonts w:hint="default" w:ascii="Times New Roman" w:hAnsi="Times New Roman" w:eastAsia="宋体" w:cs="Times New Roman"/>
                      <w:sz w:val="21"/>
                      <w:szCs w:val="21"/>
                      <w:vertAlign w:val="superscript"/>
                      <w:lang w:val="en-US" w:eastAsia="zh-CN"/>
                    </w:rPr>
                    <w:t>-10</w:t>
                  </w:r>
                  <w:r>
                    <w:rPr>
                      <w:rFonts w:hint="default" w:ascii="Times New Roman" w:hAnsi="Times New Roman" w:eastAsia="宋体" w:cs="Times New Roman"/>
                      <w:sz w:val="21"/>
                      <w:szCs w:val="21"/>
                      <w:lang w:val="en-US" w:eastAsia="zh-CN"/>
                    </w:rPr>
                    <w:t>cm/s。设置危险废物识别标志、警示标志</w:t>
                  </w:r>
                  <w:r>
                    <w:rPr>
                      <w:rFonts w:hint="eastAsia" w:ascii="Times New Roman" w:hAnsi="Times New Roman" w:eastAsia="宋体" w:cs="Times New Roman"/>
                      <w:sz w:val="21"/>
                      <w:szCs w:val="21"/>
                      <w:lang w:val="en-US" w:eastAsia="zh-CN"/>
                    </w:rPr>
                    <w:t>。</w:t>
                  </w:r>
                </w:p>
              </w:tc>
              <w:tc>
                <w:tcPr>
                  <w:tcW w:w="661" w:type="dxa"/>
                  <w:tcBorders>
                    <w:tl2br w:val="nil"/>
                    <w:tr2bl w:val="nil"/>
                  </w:tcBorders>
                  <w:vAlign w:val="center"/>
                </w:tcPr>
                <w:p w14:paraId="04B5AF9E">
                  <w:pPr>
                    <w:spacing w:line="240" w:lineRule="auto"/>
                    <w:jc w:val="center"/>
                    <w:rPr>
                      <w:rFonts w:hint="eastAsia" w:ascii="Times New Roman" w:hAnsi="Times New Roman" w:eastAsia="宋体" w:cs="Times New Roman"/>
                      <w:sz w:val="21"/>
                      <w:szCs w:val="21"/>
                      <w:lang w:val="en-US" w:eastAsia="zh-CN"/>
                    </w:rPr>
                  </w:pPr>
                </w:p>
              </w:tc>
            </w:tr>
            <w:tr w14:paraId="0BDC91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restart"/>
                  <w:tcBorders>
                    <w:tl2br w:val="nil"/>
                    <w:tr2bl w:val="nil"/>
                  </w:tcBorders>
                  <w:vAlign w:val="center"/>
                </w:tcPr>
                <w:p w14:paraId="75E3FCAE">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临时工程</w:t>
                  </w:r>
                </w:p>
              </w:tc>
              <w:tc>
                <w:tcPr>
                  <w:tcW w:w="1018" w:type="dxa"/>
                  <w:tcBorders>
                    <w:tl2br w:val="nil"/>
                    <w:tr2bl w:val="nil"/>
                  </w:tcBorders>
                  <w:vAlign w:val="center"/>
                </w:tcPr>
                <w:p w14:paraId="719B3E4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施工临建设施</w:t>
                  </w:r>
                </w:p>
              </w:tc>
              <w:tc>
                <w:tcPr>
                  <w:tcW w:w="5163" w:type="dxa"/>
                  <w:tcBorders>
                    <w:tl2br w:val="nil"/>
                    <w:tr2bl w:val="nil"/>
                  </w:tcBorders>
                  <w:vAlign w:val="center"/>
                </w:tcPr>
                <w:p w14:paraId="316C6670">
                  <w:pPr>
                    <w:spacing w:line="240" w:lineRule="auto"/>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在施工现场主要设置的临建设施有</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本工程混凝土拌和区、施工生活区、综合加工厂、综合仓库建筑面积约为 4500m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，占地面积约为7500m</w:t>
                  </w:r>
                  <w:r>
                    <w:rPr>
                      <w:rFonts w:hint="default" w:ascii="Times New Roman" w:hAnsi="Times New Roman" w:eastAsia="宋体" w:cs="Times New Roman"/>
                      <w:sz w:val="21"/>
                      <w:szCs w:val="21"/>
                      <w:vertAlign w:val="superscript"/>
                      <w:lang w:val="en-US" w:eastAsia="zh-CN"/>
                    </w:rPr>
                    <w:t>2</w:t>
                  </w:r>
                  <w:r>
                    <w:rPr>
                      <w:rFonts w:hint="default" w:ascii="Times New Roman" w:hAnsi="Times New Roman" w:eastAsia="宋体" w:cs="Times New Roman"/>
                      <w:sz w:val="21"/>
                      <w:szCs w:val="21"/>
                      <w:lang w:val="en-US" w:eastAsia="zh-CN"/>
                    </w:rPr>
                    <w:t>。在与光伏电池组件相邻的地势较平坦区域设置</w:t>
                  </w:r>
                  <w:r>
                    <w:rPr>
                      <w:rFonts w:hint="eastAsia" w:ascii="Times New Roman" w:hAnsi="Times New Roman" w:eastAsia="宋体" w:cs="Times New Roman"/>
                      <w:sz w:val="21"/>
                      <w:szCs w:val="21"/>
                      <w:lang w:val="en-US" w:eastAsia="zh-CN"/>
                    </w:rPr>
                    <w:t>，施工结束后均拆除恢复原貌。</w:t>
                  </w:r>
                </w:p>
              </w:tc>
              <w:tc>
                <w:tcPr>
                  <w:tcW w:w="661" w:type="dxa"/>
                  <w:tcBorders>
                    <w:tl2br w:val="nil"/>
                    <w:tr2bl w:val="nil"/>
                  </w:tcBorders>
                  <w:vAlign w:val="center"/>
                </w:tcPr>
                <w:p w14:paraId="518D779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r w14:paraId="595D57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974" w:type="dxa"/>
                  <w:gridSpan w:val="2"/>
                  <w:vMerge w:val="continue"/>
                  <w:tcBorders>
                    <w:tl2br w:val="nil"/>
                    <w:tr2bl w:val="nil"/>
                  </w:tcBorders>
                  <w:vAlign w:val="center"/>
                </w:tcPr>
                <w:p w14:paraId="124390C1">
                  <w:pPr>
                    <w:spacing w:line="240" w:lineRule="auto"/>
                    <w:jc w:val="center"/>
                    <w:rPr>
                      <w:rFonts w:hint="default" w:ascii="Times New Roman" w:hAnsi="Times New Roman" w:eastAsia="宋体" w:cs="Times New Roman"/>
                      <w:sz w:val="21"/>
                      <w:szCs w:val="21"/>
                      <w:lang w:val="en-US" w:eastAsia="zh-CN"/>
                    </w:rPr>
                  </w:pPr>
                </w:p>
              </w:tc>
              <w:tc>
                <w:tcPr>
                  <w:tcW w:w="1018" w:type="dxa"/>
                  <w:tcBorders>
                    <w:tl2br w:val="nil"/>
                    <w:tr2bl w:val="nil"/>
                  </w:tcBorders>
                  <w:vAlign w:val="center"/>
                </w:tcPr>
                <w:p w14:paraId="4674111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临时表土堆场</w:t>
                  </w:r>
                </w:p>
              </w:tc>
              <w:tc>
                <w:tcPr>
                  <w:tcW w:w="5163" w:type="dxa"/>
                  <w:tcBorders>
                    <w:tl2br w:val="nil"/>
                    <w:tr2bl w:val="nil"/>
                  </w:tcBorders>
                  <w:vAlign w:val="center"/>
                </w:tcPr>
                <w:p w14:paraId="38F14AFD">
                  <w:pPr>
                    <w:spacing w:line="240" w:lineRule="auto"/>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项目箱变、电缆分接箱、升压站、集电线路、光伏支架基础开挖产生的土石方及时回填，多</w:t>
                  </w:r>
                  <w:r>
                    <w:rPr>
                      <w:rFonts w:hint="default" w:ascii="Times New Roman" w:hAnsi="Times New Roman" w:eastAsia="宋体" w:cs="Times New Roman"/>
                      <w:sz w:val="21"/>
                      <w:szCs w:val="21"/>
                      <w:lang w:val="en-US" w:eastAsia="zh-CN"/>
                    </w:rPr>
                    <w:t>余土石方回填于光伏陈列区进行坡改梯及地面改造综合利用</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临建设施场</w:t>
                  </w:r>
                  <w:r>
                    <w:rPr>
                      <w:rFonts w:hint="eastAsia" w:ascii="Times New Roman" w:hAnsi="Times New Roman" w:eastAsia="宋体" w:cs="Times New Roman"/>
                      <w:sz w:val="21"/>
                      <w:szCs w:val="21"/>
                      <w:lang w:val="en-US" w:eastAsia="zh-CN"/>
                    </w:rPr>
                    <w:t>实现挖填平衡，无废弃土石方产生。集电线路剥离的表土堆放在管沟一侧，升压站区剥离的表土堆放在升压站区西南侧红线范围内空地上。</w:t>
                  </w:r>
                </w:p>
              </w:tc>
              <w:tc>
                <w:tcPr>
                  <w:tcW w:w="661" w:type="dxa"/>
                  <w:tcBorders>
                    <w:tl2br w:val="nil"/>
                    <w:tr2bl w:val="nil"/>
                  </w:tcBorders>
                  <w:vAlign w:val="center"/>
                </w:tcPr>
                <w:p w14:paraId="1B07247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14:paraId="62F7B3C1">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p>
          <w:p w14:paraId="687B48C3">
            <w:pPr>
              <w:keepNext w:val="0"/>
              <w:keepLines w:val="0"/>
              <w:widowControl/>
              <w:suppressLineNumbers w:val="0"/>
              <w:spacing w:line="360" w:lineRule="auto"/>
              <w:jc w:val="left"/>
              <w:rPr>
                <w:b/>
                <w:bCs/>
              </w:rPr>
            </w:pPr>
            <w:r>
              <w:rPr>
                <w:rFonts w:hint="eastAsia" w:ascii="宋体" w:hAnsi="宋体" w:eastAsia="宋体" w:cs="宋体"/>
                <w:b/>
                <w:bCs/>
                <w:color w:val="000000"/>
                <w:kern w:val="0"/>
                <w:sz w:val="24"/>
                <w:szCs w:val="24"/>
                <w:lang w:val="en-US" w:eastAsia="zh-CN" w:bidi="ar"/>
              </w:rPr>
              <w:t>3、项目主要技术指标。</w:t>
            </w:r>
          </w:p>
          <w:p w14:paraId="40C94ED4">
            <w:pPr>
              <w:pStyle w:val="12"/>
              <w:numPr>
                <w:ilvl w:val="0"/>
                <w:numId w:val="0"/>
              </w:numPr>
              <w:spacing w:line="360" w:lineRule="auto"/>
              <w:ind w:firstLine="480" w:firstLineChars="200"/>
              <w:rPr>
                <w:rFonts w:hint="eastAsia"/>
                <w:lang w:val="en-US" w:eastAsia="zh-CN"/>
              </w:rPr>
            </w:pPr>
            <w:r>
              <w:rPr>
                <w:rFonts w:hint="default" w:ascii="Times New Roman" w:hAnsi="Times New Roman" w:eastAsia="宋体" w:cs="Times New Roman"/>
                <w:color w:val="auto"/>
                <w:kern w:val="0"/>
                <w:sz w:val="24"/>
              </w:rPr>
              <w:t>本工程特性详见表2-</w:t>
            </w:r>
            <w:r>
              <w:rPr>
                <w:rFonts w:hint="eastAsia"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rPr>
              <w:t>。</w:t>
            </w:r>
          </w:p>
          <w:p w14:paraId="0E8F44AE">
            <w:pPr>
              <w:adjustRightInd w:val="0"/>
              <w:snapToGrid w:val="0"/>
              <w:spacing w:line="240" w:lineRule="auto"/>
              <w:jc w:val="center"/>
              <w:rPr>
                <w:rFonts w:hint="default" w:ascii="Times New Roman" w:hAnsi="Times New Roman" w:eastAsia="宋体" w:cs="Times New Roman"/>
                <w:b/>
                <w:bCs/>
                <w:color w:val="auto"/>
                <w:kern w:val="0"/>
                <w:sz w:val="21"/>
                <w:szCs w:val="21"/>
              </w:rPr>
            </w:pPr>
          </w:p>
          <w:p w14:paraId="2D4A3167">
            <w:pPr>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表2-</w:t>
            </w:r>
            <w:r>
              <w:rPr>
                <w:rFonts w:hint="eastAsia" w:ascii="Times New Roman" w:hAnsi="Times New Roman" w:eastAsia="宋体" w:cs="Times New Roman"/>
                <w:b/>
                <w:bCs/>
                <w:color w:val="auto"/>
                <w:kern w:val="0"/>
                <w:sz w:val="21"/>
                <w:szCs w:val="21"/>
                <w:lang w:val="en-US" w:eastAsia="zh-CN"/>
              </w:rPr>
              <w:t>2</w:t>
            </w:r>
            <w:r>
              <w:rPr>
                <w:rFonts w:hint="default" w:ascii="Times New Roman" w:hAnsi="Times New Roman" w:eastAsia="宋体" w:cs="Times New Roman"/>
                <w:b/>
                <w:bCs/>
                <w:color w:val="auto"/>
                <w:kern w:val="0"/>
                <w:sz w:val="21"/>
                <w:szCs w:val="21"/>
              </w:rPr>
              <w:t xml:space="preserve"> 工程主要技术指标</w:t>
            </w:r>
          </w:p>
          <w:tbl>
            <w:tblPr>
              <w:tblStyle w:val="21"/>
              <w:tblW w:w="78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0"/>
              <w:gridCol w:w="2208"/>
              <w:gridCol w:w="866"/>
              <w:gridCol w:w="1168"/>
              <w:gridCol w:w="2894"/>
            </w:tblGrid>
            <w:tr w14:paraId="30D26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7FB28C6">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序号 </w:t>
                  </w:r>
                </w:p>
              </w:tc>
              <w:tc>
                <w:tcPr>
                  <w:tcW w:w="2208" w:type="dxa"/>
                  <w:tcBorders>
                    <w:tl2br w:val="nil"/>
                    <w:tr2bl w:val="nil"/>
                  </w:tcBorders>
                  <w:vAlign w:val="center"/>
                </w:tcPr>
                <w:p w14:paraId="195FA89E">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项目名称 </w:t>
                  </w:r>
                </w:p>
              </w:tc>
              <w:tc>
                <w:tcPr>
                  <w:tcW w:w="866" w:type="dxa"/>
                  <w:tcBorders>
                    <w:tl2br w:val="nil"/>
                    <w:tr2bl w:val="nil"/>
                  </w:tcBorders>
                  <w:vAlign w:val="center"/>
                </w:tcPr>
                <w:p w14:paraId="1159871C">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单位 </w:t>
                  </w:r>
                </w:p>
              </w:tc>
              <w:tc>
                <w:tcPr>
                  <w:tcW w:w="1168" w:type="dxa"/>
                  <w:tcBorders>
                    <w:tl2br w:val="nil"/>
                    <w:tr2bl w:val="nil"/>
                  </w:tcBorders>
                  <w:vAlign w:val="center"/>
                </w:tcPr>
                <w:p w14:paraId="670DFCA8">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数量 </w:t>
                  </w:r>
                </w:p>
              </w:tc>
              <w:tc>
                <w:tcPr>
                  <w:tcW w:w="2894" w:type="dxa"/>
                  <w:tcBorders>
                    <w:tl2br w:val="nil"/>
                    <w:tr2bl w:val="nil"/>
                  </w:tcBorders>
                  <w:vAlign w:val="center"/>
                </w:tcPr>
                <w:p w14:paraId="641CF5E4">
                  <w:pPr>
                    <w:pStyle w:val="4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14:paraId="0B86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B9F0AD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208" w:type="dxa"/>
                  <w:tcBorders>
                    <w:tl2br w:val="nil"/>
                    <w:tr2bl w:val="nil"/>
                  </w:tcBorders>
                  <w:vAlign w:val="center"/>
                </w:tcPr>
                <w:p w14:paraId="353BEFA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总用地面积</w:t>
                  </w:r>
                </w:p>
              </w:tc>
              <w:tc>
                <w:tcPr>
                  <w:tcW w:w="866" w:type="dxa"/>
                  <w:tcBorders>
                    <w:tl2br w:val="nil"/>
                    <w:tr2bl w:val="nil"/>
                  </w:tcBorders>
                  <w:vAlign w:val="center"/>
                </w:tcPr>
                <w:p w14:paraId="2F6609A5">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亩</w:t>
                  </w:r>
                </w:p>
              </w:tc>
              <w:tc>
                <w:tcPr>
                  <w:tcW w:w="1168" w:type="dxa"/>
                  <w:tcBorders>
                    <w:tl2br w:val="nil"/>
                    <w:tr2bl w:val="nil"/>
                  </w:tcBorders>
                  <w:vAlign w:val="center"/>
                </w:tcPr>
                <w:p w14:paraId="6DB038E1">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r>
                    <w:rPr>
                      <w:rFonts w:hint="eastAsia" w:eastAsia="宋体"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8</w:t>
                  </w:r>
                </w:p>
              </w:tc>
              <w:tc>
                <w:tcPr>
                  <w:tcW w:w="2894" w:type="dxa"/>
                  <w:tcBorders>
                    <w:tl2br w:val="nil"/>
                    <w:tr2bl w:val="nil"/>
                  </w:tcBorders>
                  <w:vAlign w:val="center"/>
                </w:tcPr>
                <w:p w14:paraId="410B0F1D">
                  <w:pPr>
                    <w:pStyle w:val="49"/>
                    <w:rPr>
                      <w:rFonts w:hint="default" w:ascii="Times New Roman" w:hAnsi="Times New Roman" w:eastAsia="宋体" w:cs="Times New Roman"/>
                      <w:color w:val="auto"/>
                      <w:sz w:val="21"/>
                      <w:szCs w:val="21"/>
                    </w:rPr>
                  </w:pPr>
                </w:p>
              </w:tc>
            </w:tr>
            <w:tr w14:paraId="30835D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7773C7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2208" w:type="dxa"/>
                  <w:tcBorders>
                    <w:tl2br w:val="nil"/>
                    <w:tr2bl w:val="nil"/>
                  </w:tcBorders>
                  <w:vAlign w:val="center"/>
                </w:tcPr>
                <w:p w14:paraId="3E9DA2D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光伏方阵用地面积</w:t>
                  </w:r>
                </w:p>
              </w:tc>
              <w:tc>
                <w:tcPr>
                  <w:tcW w:w="866" w:type="dxa"/>
                  <w:tcBorders>
                    <w:tl2br w:val="nil"/>
                    <w:tr2bl w:val="nil"/>
                  </w:tcBorders>
                  <w:vAlign w:val="center"/>
                </w:tcPr>
                <w:p w14:paraId="4DAA4642">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5DCF3176">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1032255</w:t>
                  </w:r>
                </w:p>
              </w:tc>
              <w:tc>
                <w:tcPr>
                  <w:tcW w:w="2894" w:type="dxa"/>
                  <w:tcBorders>
                    <w:tl2br w:val="nil"/>
                    <w:tr2bl w:val="nil"/>
                  </w:tcBorders>
                  <w:vAlign w:val="center"/>
                </w:tcPr>
                <w:p w14:paraId="2858FDC9">
                  <w:pPr>
                    <w:pStyle w:val="49"/>
                    <w:rPr>
                      <w:rFonts w:hint="default" w:ascii="Times New Roman" w:hAnsi="Times New Roman" w:eastAsia="宋体" w:cs="Times New Roman"/>
                      <w:color w:val="auto"/>
                      <w:sz w:val="21"/>
                      <w:szCs w:val="21"/>
                    </w:rPr>
                  </w:pPr>
                </w:p>
              </w:tc>
            </w:tr>
            <w:tr w14:paraId="28D8D4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CE7B94C">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2208" w:type="dxa"/>
                  <w:tcBorders>
                    <w:tl2br w:val="nil"/>
                    <w:tr2bl w:val="nil"/>
                  </w:tcBorders>
                  <w:vAlign w:val="center"/>
                </w:tcPr>
                <w:p w14:paraId="738550D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设备基础用地面积</w:t>
                  </w:r>
                </w:p>
              </w:tc>
              <w:tc>
                <w:tcPr>
                  <w:tcW w:w="866" w:type="dxa"/>
                  <w:tcBorders>
                    <w:tl2br w:val="nil"/>
                    <w:tr2bl w:val="nil"/>
                  </w:tcBorders>
                  <w:vAlign w:val="center"/>
                </w:tcPr>
                <w:p w14:paraId="124B441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23C507B4">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1548</w:t>
                  </w:r>
                </w:p>
              </w:tc>
              <w:tc>
                <w:tcPr>
                  <w:tcW w:w="2894" w:type="dxa"/>
                  <w:tcBorders>
                    <w:tl2br w:val="nil"/>
                    <w:tr2bl w:val="nil"/>
                  </w:tcBorders>
                  <w:vAlign w:val="center"/>
                </w:tcPr>
                <w:p w14:paraId="4E9639ED">
                  <w:pPr>
                    <w:pStyle w:val="4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包括箱变基础和</w:t>
                  </w:r>
                  <w:r>
                    <w:rPr>
                      <w:rFonts w:hint="eastAsia" w:ascii="Times New Roman" w:hAnsi="Times New Roman" w:eastAsia="宋体" w:cs="Times New Roman"/>
                      <w:color w:val="auto"/>
                      <w:sz w:val="21"/>
                      <w:szCs w:val="21"/>
                      <w:lang w:eastAsia="zh-CN"/>
                    </w:rPr>
                    <w:t>塔基</w:t>
                  </w:r>
                </w:p>
              </w:tc>
            </w:tr>
            <w:tr w14:paraId="573E07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5175977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2208" w:type="dxa"/>
                  <w:tcBorders>
                    <w:tl2br w:val="nil"/>
                    <w:tr2bl w:val="nil"/>
                  </w:tcBorders>
                  <w:vAlign w:val="center"/>
                </w:tcPr>
                <w:p w14:paraId="18B446C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升压站用地面积</w:t>
                  </w:r>
                </w:p>
              </w:tc>
              <w:tc>
                <w:tcPr>
                  <w:tcW w:w="866" w:type="dxa"/>
                  <w:tcBorders>
                    <w:tl2br w:val="nil"/>
                    <w:tr2bl w:val="nil"/>
                  </w:tcBorders>
                  <w:vAlign w:val="center"/>
                </w:tcPr>
                <w:p w14:paraId="63EE776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p>
              </w:tc>
              <w:tc>
                <w:tcPr>
                  <w:tcW w:w="1168" w:type="dxa"/>
                  <w:tcBorders>
                    <w:tl2br w:val="nil"/>
                    <w:tr2bl w:val="nil"/>
                  </w:tcBorders>
                  <w:vAlign w:val="center"/>
                </w:tcPr>
                <w:p w14:paraId="5D0B5B22">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8970</w:t>
                  </w:r>
                </w:p>
              </w:tc>
              <w:tc>
                <w:tcPr>
                  <w:tcW w:w="2894" w:type="dxa"/>
                  <w:tcBorders>
                    <w:tl2br w:val="nil"/>
                    <w:tr2bl w:val="nil"/>
                  </w:tcBorders>
                  <w:vAlign w:val="center"/>
                </w:tcPr>
                <w:p w14:paraId="0601F3FD">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升压站</w:t>
                  </w:r>
                  <w:r>
                    <w:rPr>
                      <w:rFonts w:hint="default" w:ascii="Times New Roman" w:hAnsi="Times New Roman" w:eastAsia="宋体" w:cs="Times New Roman"/>
                      <w:color w:val="auto"/>
                      <w:sz w:val="21"/>
                      <w:szCs w:val="21"/>
                      <w:lang w:val="en-US" w:eastAsia="zh-CN"/>
                    </w:rPr>
                    <w:t>生产、生活区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储能设备区</w:t>
                  </w:r>
                  <w:r>
                    <w:rPr>
                      <w:rFonts w:hint="default" w:ascii="Times New Roman" w:hAnsi="Times New Roman" w:eastAsia="宋体" w:cs="Times New Roman"/>
                      <w:color w:val="auto"/>
                      <w:sz w:val="21"/>
                      <w:szCs w:val="21"/>
                    </w:rPr>
                    <w:t>等</w:t>
                  </w:r>
                </w:p>
              </w:tc>
            </w:tr>
            <w:tr w14:paraId="32545F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7ECF2CF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2208" w:type="dxa"/>
                  <w:tcBorders>
                    <w:tl2br w:val="nil"/>
                    <w:tr2bl w:val="nil"/>
                  </w:tcBorders>
                  <w:vAlign w:val="center"/>
                </w:tcPr>
                <w:p w14:paraId="4D3122ED">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主要工程量</w:t>
                  </w:r>
                </w:p>
              </w:tc>
              <w:tc>
                <w:tcPr>
                  <w:tcW w:w="866" w:type="dxa"/>
                  <w:tcBorders>
                    <w:tl2br w:val="nil"/>
                    <w:tr2bl w:val="nil"/>
                  </w:tcBorders>
                  <w:vAlign w:val="center"/>
                </w:tcPr>
                <w:p w14:paraId="3E6EA96F">
                  <w:pPr>
                    <w:pStyle w:val="49"/>
                    <w:rPr>
                      <w:rFonts w:hint="default" w:ascii="Times New Roman" w:hAnsi="Times New Roman" w:eastAsia="宋体" w:cs="Times New Roman"/>
                      <w:color w:val="auto"/>
                      <w:sz w:val="21"/>
                      <w:szCs w:val="21"/>
                    </w:rPr>
                  </w:pPr>
                </w:p>
              </w:tc>
              <w:tc>
                <w:tcPr>
                  <w:tcW w:w="1168" w:type="dxa"/>
                  <w:tcBorders>
                    <w:tl2br w:val="nil"/>
                    <w:tr2bl w:val="nil"/>
                  </w:tcBorders>
                  <w:vAlign w:val="center"/>
                </w:tcPr>
                <w:p w14:paraId="3BA9335D">
                  <w:pPr>
                    <w:pStyle w:val="49"/>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61AF8D16">
                  <w:pPr>
                    <w:pStyle w:val="49"/>
                    <w:rPr>
                      <w:rFonts w:hint="default" w:ascii="Times New Roman" w:hAnsi="Times New Roman" w:eastAsia="宋体" w:cs="Times New Roman"/>
                      <w:color w:val="auto"/>
                      <w:sz w:val="21"/>
                      <w:szCs w:val="21"/>
                    </w:rPr>
                  </w:pPr>
                </w:p>
              </w:tc>
            </w:tr>
            <w:tr w14:paraId="7678D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B1D3B3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208" w:type="dxa"/>
                  <w:tcBorders>
                    <w:tl2br w:val="nil"/>
                    <w:tr2bl w:val="nil"/>
                  </w:tcBorders>
                  <w:vAlign w:val="center"/>
                </w:tcPr>
                <w:p w14:paraId="63AE3DB1">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组件</w:t>
                  </w:r>
                </w:p>
              </w:tc>
              <w:tc>
                <w:tcPr>
                  <w:tcW w:w="866" w:type="dxa"/>
                  <w:tcBorders>
                    <w:tl2br w:val="nil"/>
                    <w:tr2bl w:val="nil"/>
                  </w:tcBorders>
                  <w:vAlign w:val="center"/>
                </w:tcPr>
                <w:p w14:paraId="6012E652">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块</w:t>
                  </w:r>
                </w:p>
              </w:tc>
              <w:tc>
                <w:tcPr>
                  <w:tcW w:w="1168" w:type="dxa"/>
                  <w:tcBorders>
                    <w:tl2br w:val="nil"/>
                    <w:tr2bl w:val="nil"/>
                  </w:tcBorders>
                  <w:vAlign w:val="center"/>
                </w:tcPr>
                <w:p w14:paraId="516A13C4">
                  <w:pPr>
                    <w:pStyle w:val="49"/>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136080</w:t>
                  </w:r>
                </w:p>
              </w:tc>
              <w:tc>
                <w:tcPr>
                  <w:tcW w:w="2894" w:type="dxa"/>
                  <w:tcBorders>
                    <w:tl2br w:val="nil"/>
                    <w:tr2bl w:val="nil"/>
                  </w:tcBorders>
                  <w:vAlign w:val="center"/>
                </w:tcPr>
                <w:p w14:paraId="5331B429">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bidi="ar"/>
                    </w:rPr>
                    <w:t>650Wp双面双玻电池组件</w:t>
                  </w:r>
                </w:p>
              </w:tc>
            </w:tr>
            <w:tr w14:paraId="426AA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B2EEF5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2208" w:type="dxa"/>
                  <w:tcBorders>
                    <w:tl2br w:val="nil"/>
                    <w:tr2bl w:val="nil"/>
                  </w:tcBorders>
                  <w:vAlign w:val="center"/>
                </w:tcPr>
                <w:p w14:paraId="4E364A1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支架</w:t>
                  </w:r>
                </w:p>
              </w:tc>
              <w:tc>
                <w:tcPr>
                  <w:tcW w:w="866" w:type="dxa"/>
                  <w:tcBorders>
                    <w:tl2br w:val="nil"/>
                    <w:tr2bl w:val="nil"/>
                  </w:tcBorders>
                  <w:vAlign w:val="center"/>
                </w:tcPr>
                <w:p w14:paraId="49B80E7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个</w:t>
                  </w:r>
                </w:p>
              </w:tc>
              <w:tc>
                <w:tcPr>
                  <w:tcW w:w="1168" w:type="dxa"/>
                  <w:tcBorders>
                    <w:tl2br w:val="nil"/>
                    <w:tr2bl w:val="nil"/>
                  </w:tcBorders>
                  <w:vAlign w:val="center"/>
                </w:tcPr>
                <w:p w14:paraId="3EB0DEFD">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504</w:t>
                  </w:r>
                </w:p>
              </w:tc>
              <w:tc>
                <w:tcPr>
                  <w:tcW w:w="2894" w:type="dxa"/>
                  <w:tcBorders>
                    <w:tl2br w:val="nil"/>
                    <w:tr2bl w:val="nil"/>
                  </w:tcBorders>
                  <w:vAlign w:val="center"/>
                </w:tcPr>
                <w:p w14:paraId="47ABE371">
                  <w:pPr>
                    <w:pStyle w:val="49"/>
                    <w:rPr>
                      <w:rFonts w:hint="default" w:ascii="Times New Roman" w:hAnsi="Times New Roman" w:eastAsia="宋体" w:cs="Times New Roman"/>
                      <w:color w:val="auto"/>
                      <w:sz w:val="21"/>
                      <w:szCs w:val="21"/>
                    </w:rPr>
                  </w:pPr>
                </w:p>
              </w:tc>
            </w:tr>
            <w:tr w14:paraId="662BA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1A3DA899">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2.3</w:t>
                  </w:r>
                </w:p>
              </w:tc>
              <w:tc>
                <w:tcPr>
                  <w:tcW w:w="2208" w:type="dxa"/>
                  <w:tcBorders>
                    <w:tl2br w:val="nil"/>
                    <w:tr2bl w:val="nil"/>
                  </w:tcBorders>
                  <w:vAlign w:val="center"/>
                </w:tcPr>
                <w:p w14:paraId="095FB22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逆变器</w:t>
                  </w:r>
                </w:p>
              </w:tc>
              <w:tc>
                <w:tcPr>
                  <w:tcW w:w="866" w:type="dxa"/>
                  <w:tcBorders>
                    <w:tl2br w:val="nil"/>
                    <w:tr2bl w:val="nil"/>
                  </w:tcBorders>
                  <w:vAlign w:val="center"/>
                </w:tcPr>
                <w:p w14:paraId="47F1AC5A">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168" w:type="dxa"/>
                  <w:tcBorders>
                    <w:tl2br w:val="nil"/>
                    <w:tr2bl w:val="nil"/>
                  </w:tcBorders>
                  <w:vAlign w:val="center"/>
                </w:tcPr>
                <w:p w14:paraId="2C7CB68F">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p>
              </w:tc>
              <w:tc>
                <w:tcPr>
                  <w:tcW w:w="2894" w:type="dxa"/>
                  <w:tcBorders>
                    <w:tl2br w:val="nil"/>
                    <w:tr2bl w:val="nil"/>
                  </w:tcBorders>
                  <w:vAlign w:val="center"/>
                </w:tcPr>
                <w:p w14:paraId="0BE36506">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kern w:val="0"/>
                      <w:sz w:val="21"/>
                      <w:szCs w:val="21"/>
                      <w:lang w:val="en-US" w:eastAsia="zh-CN"/>
                    </w:rPr>
                    <w:t>320</w:t>
                  </w:r>
                  <w:r>
                    <w:rPr>
                      <w:rFonts w:hint="default" w:ascii="Times New Roman" w:hAnsi="Times New Roman" w:eastAsia="宋体" w:cs="Times New Roman"/>
                      <w:color w:val="auto"/>
                      <w:kern w:val="0"/>
                      <w:sz w:val="21"/>
                      <w:szCs w:val="21"/>
                    </w:rPr>
                    <w:t>kW组串式逆变器</w:t>
                  </w:r>
                </w:p>
              </w:tc>
            </w:tr>
            <w:tr w14:paraId="2FDDA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423A4EF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2208" w:type="dxa"/>
                  <w:tcBorders>
                    <w:tl2br w:val="nil"/>
                    <w:tr2bl w:val="nil"/>
                  </w:tcBorders>
                  <w:vAlign w:val="center"/>
                </w:tcPr>
                <w:p w14:paraId="2877E951">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就地升压变压器</w:t>
                  </w:r>
                </w:p>
              </w:tc>
              <w:tc>
                <w:tcPr>
                  <w:tcW w:w="866" w:type="dxa"/>
                  <w:tcBorders>
                    <w:tl2br w:val="nil"/>
                    <w:tr2bl w:val="nil"/>
                  </w:tcBorders>
                  <w:vAlign w:val="center"/>
                </w:tcPr>
                <w:p w14:paraId="1394911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1168" w:type="dxa"/>
                  <w:tcBorders>
                    <w:tl2br w:val="nil"/>
                    <w:tr2bl w:val="nil"/>
                  </w:tcBorders>
                  <w:vAlign w:val="center"/>
                </w:tcPr>
                <w:p w14:paraId="2387F80E">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26</w:t>
                  </w:r>
                </w:p>
              </w:tc>
              <w:tc>
                <w:tcPr>
                  <w:tcW w:w="2894" w:type="dxa"/>
                  <w:tcBorders>
                    <w:tl2br w:val="nil"/>
                    <w:tr2bl w:val="nil"/>
                  </w:tcBorders>
                  <w:vAlign w:val="center"/>
                </w:tcPr>
                <w:p w14:paraId="3C4E9E60">
                  <w:pPr>
                    <w:pStyle w:val="49"/>
                    <w:rPr>
                      <w:rFonts w:hint="default" w:ascii="Times New Roman" w:hAnsi="Times New Roman" w:eastAsia="宋体" w:cs="Times New Roman"/>
                      <w:color w:val="auto"/>
                      <w:sz w:val="21"/>
                      <w:szCs w:val="21"/>
                    </w:rPr>
                  </w:pPr>
                </w:p>
              </w:tc>
            </w:tr>
            <w:tr w14:paraId="52543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A1CB1AA">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3</w:t>
                  </w:r>
                </w:p>
              </w:tc>
              <w:tc>
                <w:tcPr>
                  <w:tcW w:w="2208" w:type="dxa"/>
                  <w:tcBorders>
                    <w:tl2br w:val="nil"/>
                    <w:tr2bl w:val="nil"/>
                  </w:tcBorders>
                  <w:vAlign w:val="center"/>
                </w:tcPr>
                <w:p w14:paraId="49B8AFE0">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土石方工程量</w:t>
                  </w:r>
                </w:p>
              </w:tc>
              <w:tc>
                <w:tcPr>
                  <w:tcW w:w="866" w:type="dxa"/>
                  <w:tcBorders>
                    <w:tl2br w:val="nil"/>
                    <w:tr2bl w:val="nil"/>
                  </w:tcBorders>
                  <w:vAlign w:val="center"/>
                </w:tcPr>
                <w:p w14:paraId="74DF422A">
                  <w:pPr>
                    <w:pStyle w:val="49"/>
                    <w:rPr>
                      <w:rFonts w:hint="default" w:ascii="Times New Roman" w:hAnsi="Times New Roman" w:eastAsia="宋体" w:cs="Times New Roman"/>
                      <w:color w:val="auto"/>
                      <w:sz w:val="21"/>
                      <w:szCs w:val="21"/>
                    </w:rPr>
                  </w:pPr>
                </w:p>
              </w:tc>
              <w:tc>
                <w:tcPr>
                  <w:tcW w:w="1168" w:type="dxa"/>
                  <w:tcBorders>
                    <w:tl2br w:val="nil"/>
                    <w:tr2bl w:val="nil"/>
                  </w:tcBorders>
                  <w:vAlign w:val="center"/>
                </w:tcPr>
                <w:p w14:paraId="231F886E">
                  <w:pPr>
                    <w:pStyle w:val="49"/>
                    <w:rPr>
                      <w:rFonts w:hint="default" w:ascii="Times New Roman" w:hAnsi="Times New Roman" w:eastAsia="宋体" w:cs="Times New Roman"/>
                      <w:color w:val="auto"/>
                      <w:sz w:val="21"/>
                      <w:szCs w:val="21"/>
                    </w:rPr>
                  </w:pPr>
                </w:p>
              </w:tc>
              <w:tc>
                <w:tcPr>
                  <w:tcW w:w="2894" w:type="dxa"/>
                  <w:tcBorders>
                    <w:tl2br w:val="nil"/>
                    <w:tr2bl w:val="nil"/>
                  </w:tcBorders>
                  <w:vAlign w:val="center"/>
                </w:tcPr>
                <w:p w14:paraId="4C745283">
                  <w:pPr>
                    <w:pStyle w:val="49"/>
                    <w:rPr>
                      <w:rFonts w:hint="default" w:ascii="Times New Roman" w:hAnsi="Times New Roman" w:eastAsia="宋体" w:cs="Times New Roman"/>
                      <w:color w:val="auto"/>
                      <w:sz w:val="21"/>
                      <w:szCs w:val="21"/>
                    </w:rPr>
                  </w:pPr>
                </w:p>
              </w:tc>
            </w:tr>
            <w:tr w14:paraId="6492E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D5BEE9B">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.1</w:t>
                  </w:r>
                </w:p>
              </w:tc>
              <w:tc>
                <w:tcPr>
                  <w:tcW w:w="2208" w:type="dxa"/>
                  <w:tcBorders>
                    <w:tl2br w:val="nil"/>
                    <w:tr2bl w:val="nil"/>
                  </w:tcBorders>
                  <w:vAlign w:val="center"/>
                </w:tcPr>
                <w:p w14:paraId="5D6126B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挖方</w:t>
                  </w:r>
                </w:p>
              </w:tc>
              <w:tc>
                <w:tcPr>
                  <w:tcW w:w="866" w:type="dxa"/>
                  <w:tcBorders>
                    <w:tl2br w:val="nil"/>
                    <w:tr2bl w:val="nil"/>
                  </w:tcBorders>
                  <w:vAlign w:val="center"/>
                </w:tcPr>
                <w:p w14:paraId="5484305C">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168" w:type="dxa"/>
                  <w:tcBorders>
                    <w:tl2br w:val="nil"/>
                    <w:tr2bl w:val="nil"/>
                  </w:tcBorders>
                  <w:vAlign w:val="center"/>
                </w:tcPr>
                <w:p w14:paraId="239EE530">
                  <w:pPr>
                    <w:widowControl/>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bidi="ar"/>
                    </w:rPr>
                    <w:t>135285</w:t>
                  </w:r>
                </w:p>
              </w:tc>
              <w:tc>
                <w:tcPr>
                  <w:tcW w:w="2894" w:type="dxa"/>
                  <w:tcBorders>
                    <w:tl2br w:val="nil"/>
                    <w:tr2bl w:val="nil"/>
                  </w:tcBorders>
                  <w:vAlign w:val="center"/>
                </w:tcPr>
                <w:p w14:paraId="6D06F1F9">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道路、场平开挖、升压站、支架基础及设备基础开挖，</w:t>
                  </w:r>
                  <w:r>
                    <w:rPr>
                      <w:rFonts w:hint="default" w:ascii="Times New Roman" w:hAnsi="Times New Roman" w:eastAsia="宋体" w:cs="Times New Roman"/>
                      <w:color w:val="auto"/>
                      <w:sz w:val="21"/>
                      <w:szCs w:val="21"/>
                      <w:lang w:bidi="ar"/>
                    </w:rPr>
                    <w:t>包含表土4785 m³</w:t>
                  </w:r>
                </w:p>
              </w:tc>
            </w:tr>
            <w:tr w14:paraId="68375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AA3ECED">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.2</w:t>
                  </w:r>
                </w:p>
              </w:tc>
              <w:tc>
                <w:tcPr>
                  <w:tcW w:w="2208" w:type="dxa"/>
                  <w:tcBorders>
                    <w:tl2br w:val="nil"/>
                    <w:tr2bl w:val="nil"/>
                  </w:tcBorders>
                  <w:vAlign w:val="center"/>
                </w:tcPr>
                <w:p w14:paraId="43D6F05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填方</w:t>
                  </w:r>
                </w:p>
              </w:tc>
              <w:tc>
                <w:tcPr>
                  <w:tcW w:w="866" w:type="dxa"/>
                  <w:tcBorders>
                    <w:tl2br w:val="nil"/>
                    <w:tr2bl w:val="nil"/>
                  </w:tcBorders>
                  <w:vAlign w:val="center"/>
                </w:tcPr>
                <w:p w14:paraId="3271AA71">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m³</w:t>
                  </w:r>
                </w:p>
              </w:tc>
              <w:tc>
                <w:tcPr>
                  <w:tcW w:w="1168" w:type="dxa"/>
                  <w:tcBorders>
                    <w:tl2br w:val="nil"/>
                    <w:tr2bl w:val="nil"/>
                  </w:tcBorders>
                  <w:vAlign w:val="center"/>
                </w:tcPr>
                <w:p w14:paraId="1121CEAF">
                  <w:pPr>
                    <w:widowControl/>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lang w:bidi="ar"/>
                    </w:rPr>
                    <w:t>135285</w:t>
                  </w:r>
                </w:p>
              </w:tc>
              <w:tc>
                <w:tcPr>
                  <w:tcW w:w="2894" w:type="dxa"/>
                  <w:tcBorders>
                    <w:tl2br w:val="nil"/>
                    <w:tr2bl w:val="nil"/>
                  </w:tcBorders>
                  <w:vAlign w:val="center"/>
                </w:tcPr>
                <w:p w14:paraId="67632CD3">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场地平整及基础回填，</w:t>
                  </w:r>
                  <w:r>
                    <w:rPr>
                      <w:rFonts w:hint="default" w:ascii="Times New Roman" w:hAnsi="Times New Roman" w:eastAsia="宋体" w:cs="Times New Roman"/>
                      <w:color w:val="auto"/>
                      <w:sz w:val="21"/>
                      <w:szCs w:val="21"/>
                      <w:lang w:bidi="ar"/>
                    </w:rPr>
                    <w:t>包含表土4785 m³</w:t>
                  </w:r>
                </w:p>
              </w:tc>
            </w:tr>
            <w:tr w14:paraId="4BD75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FBB2B1D">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4</w:t>
                  </w:r>
                </w:p>
              </w:tc>
              <w:tc>
                <w:tcPr>
                  <w:tcW w:w="2208" w:type="dxa"/>
                  <w:tcBorders>
                    <w:tl2br w:val="nil"/>
                    <w:tr2bl w:val="nil"/>
                  </w:tcBorders>
                  <w:vAlign w:val="center"/>
                </w:tcPr>
                <w:p w14:paraId="69ADFD8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围栏工程</w:t>
                  </w:r>
                </w:p>
              </w:tc>
              <w:tc>
                <w:tcPr>
                  <w:tcW w:w="866" w:type="dxa"/>
                  <w:tcBorders>
                    <w:tl2br w:val="nil"/>
                    <w:tr2bl w:val="nil"/>
                  </w:tcBorders>
                  <w:vAlign w:val="center"/>
                </w:tcPr>
                <w:p w14:paraId="6E03AB54">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km</w:t>
                  </w:r>
                </w:p>
              </w:tc>
              <w:tc>
                <w:tcPr>
                  <w:tcW w:w="1168" w:type="dxa"/>
                  <w:tcBorders>
                    <w:tl2br w:val="nil"/>
                    <w:tr2bl w:val="nil"/>
                  </w:tcBorders>
                  <w:vAlign w:val="center"/>
                </w:tcPr>
                <w:p w14:paraId="3449B870">
                  <w:pPr>
                    <w:pStyle w:val="49"/>
                    <w:rPr>
                      <w:rFonts w:hint="default" w:ascii="Times New Roman" w:hAnsi="Times New Roman" w:eastAsia="宋体" w:cs="Times New Roman"/>
                      <w:color w:val="auto"/>
                      <w:sz w:val="21"/>
                      <w:szCs w:val="21"/>
                      <w:highlight w:val="yellow"/>
                      <w:lang w:val="en-US" w:eastAsia="zh-CN"/>
                    </w:rPr>
                  </w:pPr>
                  <w:r>
                    <w:rPr>
                      <w:rFonts w:hint="eastAsia" w:eastAsia="宋体" w:cs="Times New Roman"/>
                      <w:color w:val="auto"/>
                      <w:sz w:val="21"/>
                      <w:szCs w:val="21"/>
                      <w:lang w:val="en-US" w:eastAsia="zh-CN"/>
                    </w:rPr>
                    <w:t>45.5</w:t>
                  </w:r>
                </w:p>
              </w:tc>
              <w:tc>
                <w:tcPr>
                  <w:tcW w:w="2894" w:type="dxa"/>
                  <w:tcBorders>
                    <w:tl2br w:val="nil"/>
                    <w:tr2bl w:val="nil"/>
                  </w:tcBorders>
                  <w:vAlign w:val="center"/>
                </w:tcPr>
                <w:p w14:paraId="28A152B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高1.8m</w:t>
                  </w:r>
                </w:p>
              </w:tc>
            </w:tr>
            <w:tr w14:paraId="73AA96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3C239680">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2208" w:type="dxa"/>
                  <w:tcBorders>
                    <w:tl2br w:val="nil"/>
                    <w:tr2bl w:val="nil"/>
                  </w:tcBorders>
                  <w:vAlign w:val="center"/>
                </w:tcPr>
                <w:p w14:paraId="1293F98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装机规模</w:t>
                  </w:r>
                </w:p>
              </w:tc>
              <w:tc>
                <w:tcPr>
                  <w:tcW w:w="866" w:type="dxa"/>
                  <w:tcBorders>
                    <w:tl2br w:val="nil"/>
                    <w:tr2bl w:val="nil"/>
                  </w:tcBorders>
                  <w:vAlign w:val="center"/>
                </w:tcPr>
                <w:p w14:paraId="082A85AB">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MWp</w:t>
                  </w:r>
                </w:p>
              </w:tc>
              <w:tc>
                <w:tcPr>
                  <w:tcW w:w="1168" w:type="dxa"/>
                  <w:tcBorders>
                    <w:tl2br w:val="nil"/>
                    <w:tr2bl w:val="nil"/>
                  </w:tcBorders>
                  <w:vAlign w:val="center"/>
                </w:tcPr>
                <w:p w14:paraId="173C721F">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rPr>
                    <w:t>88</w:t>
                  </w:r>
                </w:p>
              </w:tc>
              <w:tc>
                <w:tcPr>
                  <w:tcW w:w="2894" w:type="dxa"/>
                  <w:tcBorders>
                    <w:tl2br w:val="nil"/>
                    <w:tr2bl w:val="nil"/>
                  </w:tcBorders>
                  <w:vAlign w:val="center"/>
                </w:tcPr>
                <w:p w14:paraId="7A06941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工程额定容量</w:t>
                  </w:r>
                  <w:r>
                    <w:rPr>
                      <w:rFonts w:hint="eastAsia" w:ascii="Times New Roman" w:hAnsi="Times New Roman" w:eastAsia="宋体" w:cs="Times New Roman"/>
                      <w:color w:val="auto"/>
                      <w:sz w:val="21"/>
                      <w:szCs w:val="21"/>
                      <w:lang w:val="en-US" w:eastAsia="zh-CN"/>
                    </w:rPr>
                    <w:t>69</w:t>
                  </w:r>
                  <w:r>
                    <w:rPr>
                      <w:rFonts w:hint="default" w:ascii="Times New Roman" w:hAnsi="Times New Roman" w:eastAsia="宋体" w:cs="Times New Roman"/>
                      <w:color w:val="auto"/>
                      <w:sz w:val="21"/>
                      <w:szCs w:val="21"/>
                    </w:rPr>
                    <w:t>MW</w:t>
                  </w:r>
                </w:p>
              </w:tc>
            </w:tr>
            <w:tr w14:paraId="19F185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22C70EC5">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6</w:t>
                  </w:r>
                </w:p>
              </w:tc>
              <w:tc>
                <w:tcPr>
                  <w:tcW w:w="2208" w:type="dxa"/>
                  <w:tcBorders>
                    <w:tl2br w:val="nil"/>
                    <w:tr2bl w:val="nil"/>
                  </w:tcBorders>
                  <w:vAlign w:val="center"/>
                </w:tcPr>
                <w:p w14:paraId="76604AC2">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年平均上网电量</w:t>
                  </w:r>
                </w:p>
              </w:tc>
              <w:tc>
                <w:tcPr>
                  <w:tcW w:w="866" w:type="dxa"/>
                  <w:tcBorders>
                    <w:tl2br w:val="nil"/>
                    <w:tr2bl w:val="nil"/>
                  </w:tcBorders>
                  <w:vAlign w:val="center"/>
                </w:tcPr>
                <w:p w14:paraId="4DBD5351">
                  <w:pPr>
                    <w:pStyle w:val="4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W·h</w:t>
                  </w:r>
                </w:p>
              </w:tc>
              <w:tc>
                <w:tcPr>
                  <w:tcW w:w="1168" w:type="dxa"/>
                  <w:tcBorders>
                    <w:tl2br w:val="nil"/>
                    <w:tr2bl w:val="nil"/>
                  </w:tcBorders>
                  <w:vAlign w:val="center"/>
                </w:tcPr>
                <w:p w14:paraId="278D8D0C">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12478.1万</w:t>
                  </w:r>
                </w:p>
              </w:tc>
              <w:tc>
                <w:tcPr>
                  <w:tcW w:w="2894" w:type="dxa"/>
                  <w:tcBorders>
                    <w:tl2br w:val="nil"/>
                    <w:tr2bl w:val="nil"/>
                  </w:tcBorders>
                  <w:vAlign w:val="center"/>
                </w:tcPr>
                <w:p w14:paraId="647B570E">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7E1DA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6A5A21B3">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7</w:t>
                  </w:r>
                </w:p>
              </w:tc>
              <w:tc>
                <w:tcPr>
                  <w:tcW w:w="2208" w:type="dxa"/>
                  <w:tcBorders>
                    <w:tl2br w:val="nil"/>
                    <w:tr2bl w:val="nil"/>
                  </w:tcBorders>
                  <w:vAlign w:val="center"/>
                </w:tcPr>
                <w:p w14:paraId="63C255FC">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年平均等效利用小时数</w:t>
                  </w:r>
                </w:p>
              </w:tc>
              <w:tc>
                <w:tcPr>
                  <w:tcW w:w="866" w:type="dxa"/>
                  <w:tcBorders>
                    <w:tl2br w:val="nil"/>
                    <w:tr2bl w:val="nil"/>
                  </w:tcBorders>
                  <w:vAlign w:val="center"/>
                </w:tcPr>
                <w:p w14:paraId="52621725">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t>
                  </w:r>
                </w:p>
              </w:tc>
              <w:tc>
                <w:tcPr>
                  <w:tcW w:w="1168" w:type="dxa"/>
                  <w:tcBorders>
                    <w:tl2br w:val="nil"/>
                    <w:tr2bl w:val="nil"/>
                  </w:tcBorders>
                  <w:vAlign w:val="center"/>
                </w:tcPr>
                <w:p w14:paraId="4FDD8307">
                  <w:pPr>
                    <w:pStyle w:val="4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1411</w:t>
                  </w:r>
                </w:p>
              </w:tc>
              <w:tc>
                <w:tcPr>
                  <w:tcW w:w="2894" w:type="dxa"/>
                  <w:tcBorders>
                    <w:tl2br w:val="nil"/>
                    <w:tr2bl w:val="nil"/>
                  </w:tcBorders>
                  <w:vAlign w:val="center"/>
                </w:tcPr>
                <w:p w14:paraId="28157EA8">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前2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w:t>
                  </w:r>
                </w:p>
              </w:tc>
            </w:tr>
            <w:tr w14:paraId="701D74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39970B1">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8</w:t>
                  </w:r>
                </w:p>
              </w:tc>
              <w:tc>
                <w:tcPr>
                  <w:tcW w:w="2208" w:type="dxa"/>
                  <w:tcBorders>
                    <w:tl2br w:val="nil"/>
                    <w:tr2bl w:val="nil"/>
                  </w:tcBorders>
                  <w:vAlign w:val="center"/>
                </w:tcPr>
                <w:p w14:paraId="0F1296A7">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总工期</w:t>
                  </w:r>
                </w:p>
              </w:tc>
              <w:tc>
                <w:tcPr>
                  <w:tcW w:w="866" w:type="dxa"/>
                  <w:tcBorders>
                    <w:tl2br w:val="nil"/>
                    <w:tr2bl w:val="nil"/>
                  </w:tcBorders>
                  <w:vAlign w:val="center"/>
                </w:tcPr>
                <w:p w14:paraId="064B6F22">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月</w:t>
                  </w:r>
                </w:p>
              </w:tc>
              <w:tc>
                <w:tcPr>
                  <w:tcW w:w="1168" w:type="dxa"/>
                  <w:tcBorders>
                    <w:tl2br w:val="nil"/>
                    <w:tr2bl w:val="nil"/>
                  </w:tcBorders>
                  <w:vAlign w:val="center"/>
                </w:tcPr>
                <w:p w14:paraId="06EEB74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2894" w:type="dxa"/>
                  <w:tcBorders>
                    <w:tl2br w:val="nil"/>
                    <w:tr2bl w:val="nil"/>
                  </w:tcBorders>
                  <w:vAlign w:val="center"/>
                </w:tcPr>
                <w:p w14:paraId="3CF9B888">
                  <w:pPr>
                    <w:pStyle w:val="49"/>
                    <w:rPr>
                      <w:rFonts w:hint="default" w:ascii="Times New Roman" w:hAnsi="Times New Roman" w:eastAsia="宋体" w:cs="Times New Roman"/>
                      <w:color w:val="auto"/>
                      <w:sz w:val="21"/>
                      <w:szCs w:val="21"/>
                    </w:rPr>
                  </w:pPr>
                </w:p>
              </w:tc>
            </w:tr>
            <w:tr w14:paraId="43B75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80" w:type="dxa"/>
                  <w:tcBorders>
                    <w:tl2br w:val="nil"/>
                    <w:tr2bl w:val="nil"/>
                  </w:tcBorders>
                  <w:vAlign w:val="center"/>
                </w:tcPr>
                <w:p w14:paraId="08F17884">
                  <w:pPr>
                    <w:pStyle w:val="4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9</w:t>
                  </w:r>
                </w:p>
              </w:tc>
              <w:tc>
                <w:tcPr>
                  <w:tcW w:w="2208" w:type="dxa"/>
                  <w:tcBorders>
                    <w:tl2br w:val="nil"/>
                    <w:tr2bl w:val="nil"/>
                  </w:tcBorders>
                  <w:vAlign w:val="center"/>
                </w:tcPr>
                <w:p w14:paraId="49CFF00E">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生产单位定员</w:t>
                  </w:r>
                </w:p>
              </w:tc>
              <w:tc>
                <w:tcPr>
                  <w:tcW w:w="866" w:type="dxa"/>
                  <w:tcBorders>
                    <w:tl2br w:val="nil"/>
                    <w:tr2bl w:val="nil"/>
                  </w:tcBorders>
                  <w:vAlign w:val="center"/>
                </w:tcPr>
                <w:p w14:paraId="4126DD13">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人</w:t>
                  </w:r>
                </w:p>
              </w:tc>
              <w:tc>
                <w:tcPr>
                  <w:tcW w:w="1168" w:type="dxa"/>
                  <w:tcBorders>
                    <w:tl2br w:val="nil"/>
                    <w:tr2bl w:val="nil"/>
                  </w:tcBorders>
                  <w:vAlign w:val="center"/>
                </w:tcPr>
                <w:p w14:paraId="23F6F826">
                  <w:pPr>
                    <w:pStyle w:val="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2894" w:type="dxa"/>
                  <w:tcBorders>
                    <w:tl2br w:val="nil"/>
                    <w:tr2bl w:val="nil"/>
                  </w:tcBorders>
                  <w:vAlign w:val="center"/>
                </w:tcPr>
                <w:p w14:paraId="4E1A069D">
                  <w:pPr>
                    <w:pStyle w:val="49"/>
                    <w:rPr>
                      <w:rFonts w:hint="default" w:ascii="Times New Roman" w:hAnsi="Times New Roman" w:eastAsia="宋体" w:cs="Times New Roman"/>
                      <w:color w:val="auto"/>
                      <w:sz w:val="21"/>
                      <w:szCs w:val="21"/>
                    </w:rPr>
                  </w:pPr>
                </w:p>
              </w:tc>
            </w:tr>
          </w:tbl>
          <w:p w14:paraId="47F1A764">
            <w:pPr>
              <w:pStyle w:val="12"/>
              <w:rPr>
                <w:rFonts w:hint="default"/>
                <w:lang w:val="en-US" w:eastAsia="zh-CN"/>
              </w:rPr>
            </w:pPr>
          </w:p>
          <w:p w14:paraId="7A31129E">
            <w:pPr>
              <w:widowControl/>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4、光伏发电</w:t>
            </w:r>
          </w:p>
          <w:p w14:paraId="5BE54B9B">
            <w:pPr>
              <w:widowControl/>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本项目安装容量 88MWp，额定容量 69MW，全部采用 650Wp 双面双玻电池组件，320kW 组串式逆变器，采用固定支架运行方式。</w:t>
            </w:r>
            <w:r>
              <w:rPr>
                <w:spacing w:val="-4"/>
              </w:rPr>
              <w:t>本项目</w:t>
            </w:r>
            <w:r>
              <w:rPr>
                <w:rFonts w:ascii="Times New Roman" w:hAnsi="Times New Roman" w:eastAsia="Times New Roman"/>
              </w:rPr>
              <w:t>25</w:t>
            </w:r>
            <w:r>
              <w:rPr>
                <w:spacing w:val="-1"/>
              </w:rPr>
              <w:t>年运行期内多年平均上网电量为</w:t>
            </w:r>
            <w:r>
              <w:rPr>
                <w:rFonts w:ascii="Times New Roman" w:hAnsi="Times New Roman" w:eastAsia="Times New Roman"/>
              </w:rPr>
              <w:t>9638</w:t>
            </w:r>
            <w:r>
              <w:rPr>
                <w:spacing w:val="-25"/>
              </w:rPr>
              <w:t xml:space="preserve">万 </w:t>
            </w:r>
            <w:r>
              <w:rPr>
                <w:rFonts w:ascii="Times New Roman" w:hAnsi="Times New Roman" w:eastAsia="Times New Roman"/>
              </w:rPr>
              <w:t>kW</w:t>
            </w:r>
            <w:r>
              <w:t>·</w:t>
            </w:r>
            <w:r>
              <w:rPr>
                <w:rFonts w:ascii="Times New Roman" w:hAnsi="Times New Roman" w:eastAsia="Times New Roman"/>
              </w:rPr>
              <w:t>h</w:t>
            </w:r>
            <w:r>
              <w:rPr>
                <w:spacing w:val="-4"/>
              </w:rPr>
              <w:t xml:space="preserve">年平均满负荷利用小时数为 </w:t>
            </w:r>
            <w:r>
              <w:rPr>
                <w:rFonts w:ascii="Times New Roman" w:hAnsi="Times New Roman" w:eastAsia="Times New Roman"/>
              </w:rPr>
              <w:t>1393hr</w:t>
            </w:r>
            <w:r>
              <w:rPr>
                <w:rFonts w:hint="eastAsia" w:ascii="Times New Roman" w:hAnsi="Times New Roman" w:eastAsia="宋体"/>
                <w:lang w:eastAsia="zh-CN"/>
              </w:rPr>
              <w:t>。</w:t>
            </w:r>
          </w:p>
          <w:p w14:paraId="6F9C67E7">
            <w:pPr>
              <w:widowControl/>
              <w:spacing w:line="360" w:lineRule="auto"/>
              <w:ind w:firstLine="480" w:firstLineChars="200"/>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sz w:val="24"/>
                <w:szCs w:val="24"/>
                <w:lang w:val="en-US" w:eastAsia="zh-CN" w:bidi="ar"/>
              </w:rPr>
              <w:t>4.1、光伏阵列</w:t>
            </w:r>
          </w:p>
          <w:p w14:paraId="31D06CDE">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26</w:t>
            </w:r>
            <w:r>
              <w:rPr>
                <w:rFonts w:hint="default" w:ascii="Times New Roman" w:hAnsi="Times New Roman" w:eastAsia="宋体" w:cs="Times New Roman"/>
                <w:color w:val="auto"/>
                <w:sz w:val="24"/>
                <w:szCs w:val="24"/>
                <w:lang w:val="en-US" w:eastAsia="zh-CN" w:bidi="ar"/>
              </w:rPr>
              <w:t>个光伏方阵，其中 1</w:t>
            </w:r>
            <w:r>
              <w:rPr>
                <w:rFonts w:hint="eastAsia" w:ascii="Times New Roman" w:hAnsi="Times New Roman" w:eastAsia="宋体" w:cs="Times New Roman"/>
                <w:color w:val="auto"/>
                <w:sz w:val="24"/>
                <w:szCs w:val="24"/>
                <w:lang w:val="en-US" w:eastAsia="zh-CN" w:bidi="ar"/>
              </w:rPr>
              <w:t>6</w:t>
            </w:r>
            <w:r>
              <w:rPr>
                <w:rFonts w:hint="default" w:ascii="Times New Roman" w:hAnsi="Times New Roman" w:eastAsia="宋体" w:cs="Times New Roman"/>
                <w:color w:val="auto"/>
                <w:sz w:val="24"/>
                <w:szCs w:val="24"/>
                <w:lang w:val="en-US" w:eastAsia="zh-CN" w:bidi="ar"/>
              </w:rPr>
              <w:t>个3.2MW、</w:t>
            </w:r>
            <w:r>
              <w:rPr>
                <w:rFonts w:hint="eastAsia" w:ascii="Times New Roman" w:hAnsi="Times New Roman" w:eastAsia="宋体" w:cs="Times New Roman"/>
                <w:color w:val="auto"/>
                <w:sz w:val="24"/>
                <w:szCs w:val="24"/>
                <w:lang w:val="en-US" w:eastAsia="zh-CN" w:bidi="ar"/>
              </w:rPr>
              <w:t>8</w:t>
            </w:r>
            <w:r>
              <w:rPr>
                <w:rFonts w:hint="default" w:ascii="Times New Roman" w:hAnsi="Times New Roman" w:eastAsia="宋体" w:cs="Times New Roman"/>
                <w:color w:val="auto"/>
                <w:sz w:val="24"/>
                <w:szCs w:val="24"/>
                <w:lang w:val="en-US" w:eastAsia="zh-CN" w:bidi="ar"/>
              </w:rPr>
              <w:t>个2MW、1个1.6MW 及</w:t>
            </w:r>
            <w:r>
              <w:rPr>
                <w:rFonts w:hint="eastAsia"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val="en-US" w:eastAsia="zh-CN" w:bidi="ar"/>
              </w:rPr>
              <w:t>个1MW方阵，每个3.2MW方阵包含10个320kW 逆变发电单元，每个2MW方阵包含6个320kW逆变发电单元，每个1.6MW方阵包含5个 320kW逆变发电单元，每个1MW方阵包含3个320kW 逆变发电单元。</w:t>
            </w:r>
            <w:r>
              <w:rPr>
                <w:rFonts w:hint="default" w:ascii="Times New Roman" w:hAnsi="Times New Roman" w:eastAsia="宋体" w:cs="Times New Roman"/>
                <w:color w:val="auto"/>
                <w:kern w:val="0"/>
                <w:sz w:val="24"/>
                <w:szCs w:val="24"/>
              </w:rPr>
              <w:t>新建1座110kV升压站，光伏电站通过3回35kV集电线路汇集至升压站35kV母线，</w:t>
            </w:r>
            <w:r>
              <w:rPr>
                <w:rFonts w:hint="default" w:ascii="Times New Roman" w:hAnsi="Times New Roman" w:eastAsia="宋体" w:cs="Times New Roman"/>
                <w:color w:val="auto"/>
                <w:kern w:val="0"/>
                <w:sz w:val="24"/>
              </w:rPr>
              <w:t>再由110kV升压站新建1回110kV线路接入110kV</w:t>
            </w:r>
            <w:r>
              <w:rPr>
                <w:rFonts w:hint="default" w:ascii="Times New Roman" w:hAnsi="Times New Roman" w:cs="Times New Roman"/>
                <w:spacing w:val="-12"/>
              </w:rPr>
              <w:t>轩岗变</w:t>
            </w:r>
            <w:r>
              <w:rPr>
                <w:rFonts w:hint="default" w:ascii="Times New Roman" w:hAnsi="Times New Roman" w:eastAsia="宋体" w:cs="Times New Roman"/>
                <w:color w:val="auto"/>
                <w:kern w:val="0"/>
                <w:sz w:val="24"/>
                <w:szCs w:val="24"/>
              </w:rPr>
              <w:t>。本工程拟采用固定式支架的建设方案。</w:t>
            </w:r>
          </w:p>
          <w:p w14:paraId="64578BAC">
            <w:pPr>
              <w:pStyle w:val="12"/>
              <w:rPr>
                <w:rFonts w:hint="eastAsia" w:ascii="Times New Roman" w:hAnsi="Times New Roman" w:eastAsia="宋体" w:cs="Times New Roman"/>
                <w:color w:val="auto"/>
                <w:sz w:val="24"/>
                <w:szCs w:val="24"/>
                <w:lang w:val="en-US" w:eastAsia="zh-CN" w:bidi="ar"/>
              </w:rPr>
            </w:pPr>
            <w:r>
              <w:rPr>
                <w:rFonts w:hint="eastAsia" w:ascii="Times New Roman" w:hAnsi="Times New Roman" w:eastAsia="宋体" w:cs="Times New Roman"/>
                <w:color w:val="auto"/>
                <w:kern w:val="0"/>
                <w:sz w:val="24"/>
                <w:szCs w:val="24"/>
                <w:lang w:eastAsia="zh-CN"/>
              </w:rPr>
              <w:t>（</w:t>
            </w:r>
            <w:r>
              <w:rPr>
                <w:rFonts w:hint="eastAsia" w:ascii="Times New Roman" w:hAnsi="Times New Roman" w:eastAsia="宋体" w:cs="Times New Roman"/>
                <w:color w:val="auto"/>
                <w:kern w:val="0"/>
                <w:sz w:val="24"/>
                <w:szCs w:val="24"/>
                <w:lang w:val="en-US" w:eastAsia="zh-CN"/>
              </w:rPr>
              <w:t>1</w:t>
            </w:r>
            <w:r>
              <w:rPr>
                <w:rFonts w:hint="eastAsia" w:ascii="Times New Roman" w:hAnsi="Times New Roman" w:eastAsia="宋体" w:cs="Times New Roman"/>
                <w:color w:val="auto"/>
                <w:kern w:val="0"/>
                <w:sz w:val="24"/>
                <w:szCs w:val="24"/>
                <w:lang w:eastAsia="zh-CN"/>
              </w:rPr>
              <w:t>）光伏组件</w:t>
            </w:r>
          </w:p>
          <w:p w14:paraId="25D1C214">
            <w:pPr>
              <w:widowControl/>
              <w:spacing w:line="360" w:lineRule="auto"/>
              <w:ind w:firstLine="468" w:firstLineChars="200"/>
              <w:rPr>
                <w:rFonts w:hint="eastAsia"/>
                <w:lang w:eastAsia="zh-CN"/>
              </w:rPr>
            </w:pPr>
            <w:r>
              <w:rPr>
                <w:spacing w:val="-3"/>
              </w:rPr>
              <w:t xml:space="preserve">本工程采用容量为 </w:t>
            </w:r>
            <w:r>
              <w:rPr>
                <w:rFonts w:ascii="Times New Roman" w:eastAsia="Times New Roman"/>
              </w:rPr>
              <w:t xml:space="preserve">650Wp </w:t>
            </w:r>
            <w:r>
              <w:t>的双面双玻光伏组件。</w:t>
            </w:r>
            <w:r>
              <w:rPr>
                <w:rFonts w:hint="eastAsia"/>
                <w:lang w:eastAsia="zh-CN"/>
              </w:rPr>
              <w:t>主要参数入下表：</w:t>
            </w:r>
          </w:p>
          <w:p w14:paraId="6AFA9826">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2-3</w:t>
            </w:r>
            <w:r>
              <w:rPr>
                <w:rFonts w:hint="default" w:ascii="Times New Roman" w:hAnsi="Times New Roman" w:cs="Times New Roman"/>
                <w:b/>
                <w:bCs/>
                <w:sz w:val="21"/>
                <w:szCs w:val="21"/>
              </w:rPr>
              <w:tab/>
            </w:r>
            <w:r>
              <w:rPr>
                <w:rFonts w:hint="default" w:ascii="Times New Roman" w:hAnsi="Times New Roman" w:cs="Times New Roman"/>
                <w:b/>
                <w:bCs/>
                <w:sz w:val="21"/>
                <w:szCs w:val="21"/>
              </w:rPr>
              <w:t>光伏组件典型参数表</w:t>
            </w:r>
          </w:p>
          <w:tbl>
            <w:tblPr>
              <w:tblStyle w:val="21"/>
              <w:tblW w:w="781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3145"/>
              <w:gridCol w:w="1931"/>
              <w:gridCol w:w="2740"/>
            </w:tblGrid>
            <w:tr w14:paraId="1979E7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18A3A52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931" w:type="dxa"/>
                  <w:tcBorders>
                    <w:tl2br w:val="nil"/>
                    <w:tr2bl w:val="nil"/>
                  </w:tcBorders>
                  <w:vAlign w:val="top"/>
                </w:tcPr>
                <w:p w14:paraId="197E7EC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c>
                <w:tcPr>
                  <w:tcW w:w="2740" w:type="dxa"/>
                  <w:tcBorders>
                    <w:tl2br w:val="nil"/>
                    <w:tr2bl w:val="nil"/>
                  </w:tcBorders>
                  <w:vAlign w:val="top"/>
                </w:tcPr>
                <w:p w14:paraId="694D244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650Wp</w:t>
                  </w:r>
                </w:p>
              </w:tc>
            </w:tr>
            <w:tr w14:paraId="2F0DDC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8813E0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w:t>
                  </w:r>
                </w:p>
              </w:tc>
              <w:tc>
                <w:tcPr>
                  <w:tcW w:w="1931" w:type="dxa"/>
                  <w:tcBorders>
                    <w:tl2br w:val="nil"/>
                    <w:tr2bl w:val="nil"/>
                  </w:tcBorders>
                  <w:vAlign w:val="top"/>
                </w:tcPr>
                <w:p w14:paraId="716185F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6955D4C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650</w:t>
                  </w:r>
                </w:p>
              </w:tc>
            </w:tr>
            <w:tr w14:paraId="153963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4AC340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输出功率公差</w:t>
                  </w:r>
                </w:p>
              </w:tc>
              <w:tc>
                <w:tcPr>
                  <w:tcW w:w="1931" w:type="dxa"/>
                  <w:tcBorders>
                    <w:tl2br w:val="nil"/>
                    <w:tr2bl w:val="nil"/>
                  </w:tcBorders>
                  <w:vAlign w:val="top"/>
                </w:tcPr>
                <w:p w14:paraId="1DDFD2E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w:t>
                  </w:r>
                </w:p>
              </w:tc>
              <w:tc>
                <w:tcPr>
                  <w:tcW w:w="2740" w:type="dxa"/>
                  <w:tcBorders>
                    <w:tl2br w:val="nil"/>
                    <w:tr2bl w:val="nil"/>
                  </w:tcBorders>
                  <w:vAlign w:val="top"/>
                </w:tcPr>
                <w:p w14:paraId="767E6FF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r w14:paraId="6D5DCF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2F4244B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最大功率点的工作电压</w:t>
                  </w:r>
                </w:p>
              </w:tc>
              <w:tc>
                <w:tcPr>
                  <w:tcW w:w="1931" w:type="dxa"/>
                  <w:tcBorders>
                    <w:tl2br w:val="nil"/>
                    <w:tr2bl w:val="nil"/>
                  </w:tcBorders>
                  <w:vAlign w:val="top"/>
                </w:tcPr>
                <w:p w14:paraId="3C3CB9B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6E2DF20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37.7</w:t>
                  </w:r>
                </w:p>
              </w:tc>
            </w:tr>
            <w:tr w14:paraId="60A4C6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46500B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最大功率点的工作电流</w:t>
                  </w:r>
                </w:p>
              </w:tc>
              <w:tc>
                <w:tcPr>
                  <w:tcW w:w="1931" w:type="dxa"/>
                  <w:tcBorders>
                    <w:tl2br w:val="nil"/>
                    <w:tr2bl w:val="nil"/>
                  </w:tcBorders>
                  <w:vAlign w:val="top"/>
                </w:tcPr>
                <w:p w14:paraId="179B7D0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30A3D0E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17.27</w:t>
                  </w:r>
                </w:p>
              </w:tc>
            </w:tr>
            <w:tr w14:paraId="1139A7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7EFCAD2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w:t>
                  </w:r>
                </w:p>
              </w:tc>
              <w:tc>
                <w:tcPr>
                  <w:tcW w:w="1931" w:type="dxa"/>
                  <w:tcBorders>
                    <w:tl2br w:val="nil"/>
                    <w:tr2bl w:val="nil"/>
                  </w:tcBorders>
                  <w:vAlign w:val="top"/>
                </w:tcPr>
                <w:p w14:paraId="01DFDE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108885C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45.5</w:t>
                  </w:r>
                </w:p>
              </w:tc>
            </w:tr>
            <w:tr w14:paraId="408D50F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6E96084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w:t>
                  </w:r>
                </w:p>
              </w:tc>
              <w:tc>
                <w:tcPr>
                  <w:tcW w:w="1931" w:type="dxa"/>
                  <w:tcBorders>
                    <w:tl2br w:val="nil"/>
                    <w:tr2bl w:val="nil"/>
                  </w:tcBorders>
                  <w:vAlign w:val="top"/>
                </w:tcPr>
                <w:p w14:paraId="2409413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w:t>
                  </w:r>
                </w:p>
              </w:tc>
              <w:tc>
                <w:tcPr>
                  <w:tcW w:w="2740" w:type="dxa"/>
                  <w:tcBorders>
                    <w:tl2br w:val="nil"/>
                    <w:tr2bl w:val="nil"/>
                  </w:tcBorders>
                  <w:vAlign w:val="top"/>
                </w:tcPr>
                <w:p w14:paraId="07AF2C8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18.35</w:t>
                  </w:r>
                </w:p>
              </w:tc>
            </w:tr>
            <w:tr w14:paraId="2FD13CD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A43C3B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短路电流的温度系数</w:t>
                  </w:r>
                </w:p>
              </w:tc>
              <w:tc>
                <w:tcPr>
                  <w:tcW w:w="1931" w:type="dxa"/>
                  <w:tcBorders>
                    <w:tl2br w:val="nil"/>
                    <w:tr2bl w:val="nil"/>
                  </w:tcBorders>
                  <w:vAlign w:val="top"/>
                </w:tcPr>
                <w:p w14:paraId="68055E2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6848DFB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+0.04</w:t>
                  </w:r>
                </w:p>
              </w:tc>
            </w:tr>
            <w:tr w14:paraId="51B686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41D056D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开路电压的温度系数</w:t>
                  </w:r>
                </w:p>
              </w:tc>
              <w:tc>
                <w:tcPr>
                  <w:tcW w:w="1931" w:type="dxa"/>
                  <w:tcBorders>
                    <w:tl2br w:val="nil"/>
                    <w:tr2bl w:val="nil"/>
                  </w:tcBorders>
                  <w:vAlign w:val="top"/>
                </w:tcPr>
                <w:p w14:paraId="5AD8A16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0F0685D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r>
            <w:tr w14:paraId="676A73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3F93D5F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峰值功率的温度系数</w:t>
                  </w:r>
                </w:p>
              </w:tc>
              <w:tc>
                <w:tcPr>
                  <w:tcW w:w="1931" w:type="dxa"/>
                  <w:tcBorders>
                    <w:tl2br w:val="nil"/>
                    <w:tr2bl w:val="nil"/>
                  </w:tcBorders>
                  <w:vAlign w:val="top"/>
                </w:tcPr>
                <w:p w14:paraId="5AB06FA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w:t>
                  </w:r>
                </w:p>
              </w:tc>
              <w:tc>
                <w:tcPr>
                  <w:tcW w:w="2740" w:type="dxa"/>
                  <w:tcBorders>
                    <w:tl2br w:val="nil"/>
                    <w:tr2bl w:val="nil"/>
                  </w:tcBorders>
                  <w:vAlign w:val="top"/>
                </w:tcPr>
                <w:p w14:paraId="19A78A3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-0.34</w:t>
                  </w:r>
                </w:p>
              </w:tc>
            </w:tr>
            <w:tr w14:paraId="744A4C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580D7E3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最大系统电压</w:t>
                  </w:r>
                </w:p>
              </w:tc>
              <w:tc>
                <w:tcPr>
                  <w:tcW w:w="1931" w:type="dxa"/>
                  <w:tcBorders>
                    <w:tl2br w:val="nil"/>
                    <w:tr2bl w:val="nil"/>
                  </w:tcBorders>
                  <w:vAlign w:val="top"/>
                </w:tcPr>
                <w:p w14:paraId="09B720D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w:t>
                  </w:r>
                </w:p>
              </w:tc>
              <w:tc>
                <w:tcPr>
                  <w:tcW w:w="2740" w:type="dxa"/>
                  <w:tcBorders>
                    <w:tl2br w:val="nil"/>
                    <w:tr2bl w:val="nil"/>
                  </w:tcBorders>
                  <w:vAlign w:val="top"/>
                </w:tcPr>
                <w:p w14:paraId="540A86C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192D53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09C8468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尺寸（L/W/T）</w:t>
                  </w:r>
                </w:p>
              </w:tc>
              <w:tc>
                <w:tcPr>
                  <w:tcW w:w="1931" w:type="dxa"/>
                  <w:tcBorders>
                    <w:tl2br w:val="nil"/>
                    <w:tr2bl w:val="nil"/>
                  </w:tcBorders>
                  <w:vAlign w:val="top"/>
                </w:tcPr>
                <w:p w14:paraId="4B5D2E7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mm</w:t>
                  </w:r>
                </w:p>
              </w:tc>
              <w:tc>
                <w:tcPr>
                  <w:tcW w:w="2740" w:type="dxa"/>
                  <w:tcBorders>
                    <w:tl2br w:val="nil"/>
                    <w:tr2bl w:val="nil"/>
                  </w:tcBorders>
                  <w:vAlign w:val="top"/>
                </w:tcPr>
                <w:p w14:paraId="37F2158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2384/1303/35</w:t>
                  </w:r>
                </w:p>
              </w:tc>
            </w:tr>
            <w:tr w14:paraId="7F4ABC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3" w:hRule="atLeast"/>
              </w:trPr>
              <w:tc>
                <w:tcPr>
                  <w:tcW w:w="3145" w:type="dxa"/>
                  <w:tcBorders>
                    <w:tl2br w:val="nil"/>
                    <w:tr2bl w:val="nil"/>
                  </w:tcBorders>
                  <w:vAlign w:val="top"/>
                </w:tcPr>
                <w:p w14:paraId="794AB18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工作温度范围</w:t>
                  </w:r>
                </w:p>
              </w:tc>
              <w:tc>
                <w:tcPr>
                  <w:tcW w:w="1931" w:type="dxa"/>
                  <w:tcBorders>
                    <w:tl2br w:val="nil"/>
                    <w:tr2bl w:val="nil"/>
                  </w:tcBorders>
                  <w:vAlign w:val="top"/>
                </w:tcPr>
                <w:p w14:paraId="145C2B9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2740" w:type="dxa"/>
                  <w:tcBorders>
                    <w:tl2br w:val="nil"/>
                    <w:tr2bl w:val="nil"/>
                  </w:tcBorders>
                  <w:vAlign w:val="top"/>
                </w:tcPr>
                <w:p w14:paraId="63B9B71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-40～+85</w:t>
                  </w:r>
                </w:p>
              </w:tc>
            </w:tr>
          </w:tbl>
          <w:p w14:paraId="17CCA07A">
            <w:pPr>
              <w:pStyle w:val="12"/>
              <w:ind w:left="0" w:leftChars="0" w:firstLine="480" w:firstLineChars="200"/>
              <w:rPr>
                <w:rFonts w:hint="default" w:ascii="Times New Roman" w:hAnsi="Times New Roman" w:cs="Times New Roman"/>
                <w:lang w:val="en-US" w:eastAsia="zh-CN"/>
              </w:rPr>
            </w:pPr>
          </w:p>
          <w:p w14:paraId="459C3775">
            <w:pPr>
              <w:pStyle w:val="12"/>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（2）逆变器</w:t>
            </w:r>
          </w:p>
          <w:p w14:paraId="46700476">
            <w:pPr>
              <w:pStyle w:val="12"/>
              <w:spacing w:line="360" w:lineRule="auto"/>
              <w:rPr>
                <w:rFonts w:hint="eastAsia"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2"/>
                <w:sz w:val="24"/>
                <w:szCs w:val="24"/>
                <w:lang w:val="en-US" w:eastAsia="zh-CN" w:bidi="ar"/>
              </w:rPr>
              <w:t>光伏厂区采用</w:t>
            </w:r>
            <w:r>
              <w:rPr>
                <w:rFonts w:hint="eastAsia" w:ascii="Times New Roman" w:hAnsi="Times New Roman" w:eastAsia="宋体" w:cs="Times New Roman"/>
                <w:color w:val="auto"/>
                <w:kern w:val="2"/>
                <w:sz w:val="24"/>
                <w:szCs w:val="24"/>
                <w:lang w:val="en-US" w:eastAsia="zh-CN" w:bidi="ar"/>
              </w:rPr>
              <w:t>320</w:t>
            </w:r>
            <w:r>
              <w:rPr>
                <w:rFonts w:hint="default" w:ascii="Times New Roman" w:hAnsi="Times New Roman" w:eastAsia="宋体" w:cs="Times New Roman"/>
                <w:color w:val="auto"/>
                <w:kern w:val="2"/>
                <w:sz w:val="24"/>
                <w:szCs w:val="24"/>
                <w:lang w:val="en-US" w:eastAsia="zh-CN" w:bidi="ar"/>
              </w:rPr>
              <w:t>kW组串式逆变器，1MW单个子方阵采用3台320kW组串式逆变器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1.6MW单个子方阵采用5台320kW组串式逆变器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2MW单个子方阵采用6台320kW组串式逆变器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3.2MW单个子方阵采用10台320kW组串式逆变器</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0"/>
                <w:sz w:val="24"/>
              </w:rPr>
              <w:t>再由逆变器汇至35kV箱变</w:t>
            </w:r>
            <w:r>
              <w:rPr>
                <w:rFonts w:hint="eastAsia" w:ascii="Times New Roman" w:hAnsi="Times New Roman" w:eastAsia="宋体" w:cs="Times New Roman"/>
                <w:color w:val="auto"/>
                <w:kern w:val="0"/>
                <w:sz w:val="24"/>
                <w:lang w:eastAsia="zh-CN"/>
              </w:rPr>
              <w:t>。</w:t>
            </w:r>
          </w:p>
          <w:p w14:paraId="544D854F">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w:t>
            </w:r>
            <w:r>
              <w:rPr>
                <w:rFonts w:hint="default" w:ascii="Times New Roman" w:hAnsi="Times New Roman" w:cs="Times New Roman"/>
                <w:b/>
                <w:bCs/>
                <w:sz w:val="21"/>
                <w:szCs w:val="21"/>
                <w:lang w:val="en-US" w:eastAsia="zh-CN"/>
              </w:rPr>
              <w:t>2-4</w:t>
            </w:r>
            <w:r>
              <w:rPr>
                <w:rFonts w:hint="default" w:ascii="Times New Roman" w:hAnsi="Times New Roman" w:cs="Times New Roman"/>
                <w:b/>
                <w:bCs/>
                <w:sz w:val="21"/>
                <w:szCs w:val="21"/>
              </w:rPr>
              <w:tab/>
            </w:r>
            <w:r>
              <w:rPr>
                <w:rFonts w:hint="default" w:ascii="Times New Roman" w:hAnsi="Times New Roman" w:cs="Times New Roman"/>
                <w:b/>
                <w:bCs/>
                <w:sz w:val="21"/>
                <w:szCs w:val="21"/>
              </w:rPr>
              <w:t>组串式逆变器主要参数</w:t>
            </w:r>
          </w:p>
          <w:tbl>
            <w:tblPr>
              <w:tblStyle w:val="21"/>
              <w:tblW w:w="780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80"/>
              <w:gridCol w:w="3443"/>
              <w:gridCol w:w="3183"/>
            </w:tblGrid>
            <w:tr w14:paraId="75947E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623" w:type="dxa"/>
                  <w:gridSpan w:val="2"/>
                  <w:tcBorders>
                    <w:tl2br w:val="nil"/>
                    <w:tr2bl w:val="nil"/>
                  </w:tcBorders>
                  <w:vAlign w:val="top"/>
                </w:tcPr>
                <w:p w14:paraId="730D2C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3183" w:type="dxa"/>
                  <w:tcBorders>
                    <w:tl2br w:val="nil"/>
                    <w:tr2bl w:val="nil"/>
                  </w:tcBorders>
                  <w:vAlign w:val="top"/>
                </w:tcPr>
                <w:p w14:paraId="35E8A66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320kW 逆变器</w:t>
                  </w:r>
                </w:p>
              </w:tc>
            </w:tr>
            <w:tr w14:paraId="40434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0E840266">
                  <w:pPr>
                    <w:jc w:val="center"/>
                    <w:rPr>
                      <w:rFonts w:hint="default" w:ascii="Times New Roman" w:hAnsi="Times New Roman" w:eastAsia="宋体" w:cs="Times New Roman"/>
                      <w:sz w:val="21"/>
                      <w:szCs w:val="21"/>
                    </w:rPr>
                  </w:pPr>
                </w:p>
                <w:p w14:paraId="269E5C62">
                  <w:pPr>
                    <w:jc w:val="center"/>
                    <w:rPr>
                      <w:rFonts w:hint="default" w:ascii="Times New Roman" w:hAnsi="Times New Roman" w:eastAsia="宋体" w:cs="Times New Roman"/>
                      <w:sz w:val="21"/>
                      <w:szCs w:val="21"/>
                    </w:rPr>
                  </w:pPr>
                </w:p>
                <w:p w14:paraId="0F4AD8D7">
                  <w:pPr>
                    <w:jc w:val="center"/>
                    <w:rPr>
                      <w:rFonts w:hint="default" w:ascii="Times New Roman" w:hAnsi="Times New Roman" w:eastAsia="宋体" w:cs="Times New Roman"/>
                      <w:sz w:val="21"/>
                      <w:szCs w:val="21"/>
                    </w:rPr>
                  </w:pPr>
                </w:p>
                <w:p w14:paraId="1A8A1C0F">
                  <w:pPr>
                    <w:jc w:val="center"/>
                    <w:rPr>
                      <w:rFonts w:hint="default" w:ascii="Times New Roman" w:hAnsi="Times New Roman" w:eastAsia="宋体" w:cs="Times New Roman"/>
                      <w:sz w:val="21"/>
                      <w:szCs w:val="21"/>
                    </w:rPr>
                  </w:pPr>
                </w:p>
                <w:p w14:paraId="1700EE0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输入参数</w:t>
                  </w:r>
                </w:p>
              </w:tc>
              <w:tc>
                <w:tcPr>
                  <w:tcW w:w="3443" w:type="dxa"/>
                  <w:tcBorders>
                    <w:tl2br w:val="nil"/>
                    <w:tr2bl w:val="nil"/>
                  </w:tcBorders>
                  <w:vAlign w:val="top"/>
                </w:tcPr>
                <w:p w14:paraId="299D86C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最大输入电压（Vdc）</w:t>
                  </w:r>
                </w:p>
              </w:tc>
              <w:tc>
                <w:tcPr>
                  <w:tcW w:w="3183" w:type="dxa"/>
                  <w:tcBorders>
                    <w:tl2br w:val="nil"/>
                    <w:tr2bl w:val="nil"/>
                  </w:tcBorders>
                  <w:vAlign w:val="top"/>
                </w:tcPr>
                <w:p w14:paraId="34CAD3E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1500</w:t>
                  </w:r>
                </w:p>
              </w:tc>
            </w:tr>
            <w:tr w14:paraId="6D7FC6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D1E95E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F3BD49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直流输入支路数</w:t>
                  </w:r>
                </w:p>
              </w:tc>
              <w:tc>
                <w:tcPr>
                  <w:tcW w:w="3183" w:type="dxa"/>
                  <w:tcBorders>
                    <w:tl2br w:val="nil"/>
                    <w:tr2bl w:val="nil"/>
                  </w:tcBorders>
                  <w:vAlign w:val="top"/>
                </w:tcPr>
                <w:p w14:paraId="77CD3C4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28</w:t>
                  </w:r>
                </w:p>
              </w:tc>
            </w:tr>
            <w:tr w14:paraId="40B73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4A3F136">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44CBE2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路数</w:t>
                  </w:r>
                </w:p>
              </w:tc>
              <w:tc>
                <w:tcPr>
                  <w:tcW w:w="3183" w:type="dxa"/>
                  <w:tcBorders>
                    <w:tl2br w:val="nil"/>
                    <w:tr2bl w:val="nil"/>
                  </w:tcBorders>
                  <w:vAlign w:val="top"/>
                </w:tcPr>
                <w:p w14:paraId="057EE3F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r>
            <w:tr w14:paraId="791561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E587B07">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8D250B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MPPT 电压范围（Vac）</w:t>
                  </w:r>
                </w:p>
              </w:tc>
              <w:tc>
                <w:tcPr>
                  <w:tcW w:w="3183" w:type="dxa"/>
                  <w:tcBorders>
                    <w:tl2br w:val="nil"/>
                    <w:tr2bl w:val="nil"/>
                  </w:tcBorders>
                  <w:vAlign w:val="top"/>
                </w:tcPr>
                <w:p w14:paraId="092C4E2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500V-1500V</w:t>
                  </w:r>
                </w:p>
              </w:tc>
            </w:tr>
            <w:tr w14:paraId="1043BC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508CAF0B">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1F9531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每路 MPPT 最大输入电流（Adc）</w:t>
                  </w:r>
                </w:p>
              </w:tc>
              <w:tc>
                <w:tcPr>
                  <w:tcW w:w="3183" w:type="dxa"/>
                  <w:tcBorders>
                    <w:tl2br w:val="nil"/>
                    <w:tr2bl w:val="nil"/>
                  </w:tcBorders>
                  <w:vAlign w:val="top"/>
                </w:tcPr>
                <w:p w14:paraId="5C568B5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14:paraId="49D564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61E5C99C">
                  <w:pPr>
                    <w:jc w:val="center"/>
                    <w:rPr>
                      <w:rFonts w:hint="default" w:ascii="Times New Roman" w:hAnsi="Times New Roman" w:eastAsia="宋体" w:cs="Times New Roman"/>
                      <w:sz w:val="21"/>
                      <w:szCs w:val="21"/>
                    </w:rPr>
                  </w:pPr>
                </w:p>
                <w:p w14:paraId="0BB703C3">
                  <w:pPr>
                    <w:jc w:val="center"/>
                    <w:rPr>
                      <w:rFonts w:hint="default" w:ascii="Times New Roman" w:hAnsi="Times New Roman" w:eastAsia="宋体" w:cs="Times New Roman"/>
                      <w:sz w:val="21"/>
                      <w:szCs w:val="21"/>
                    </w:rPr>
                  </w:pPr>
                </w:p>
                <w:p w14:paraId="7CB02264">
                  <w:pPr>
                    <w:jc w:val="center"/>
                    <w:rPr>
                      <w:rFonts w:hint="default" w:ascii="Times New Roman" w:hAnsi="Times New Roman" w:eastAsia="宋体" w:cs="Times New Roman"/>
                      <w:sz w:val="21"/>
                      <w:szCs w:val="21"/>
                    </w:rPr>
                  </w:pPr>
                </w:p>
                <w:p w14:paraId="4B412364">
                  <w:pPr>
                    <w:jc w:val="center"/>
                    <w:rPr>
                      <w:rFonts w:hint="default" w:ascii="Times New Roman" w:hAnsi="Times New Roman" w:eastAsia="宋体" w:cs="Times New Roman"/>
                      <w:sz w:val="21"/>
                      <w:szCs w:val="21"/>
                    </w:rPr>
                  </w:pPr>
                </w:p>
                <w:p w14:paraId="5989C6CC">
                  <w:pPr>
                    <w:jc w:val="center"/>
                    <w:rPr>
                      <w:rFonts w:hint="default" w:ascii="Times New Roman" w:hAnsi="Times New Roman" w:eastAsia="宋体" w:cs="Times New Roman"/>
                      <w:sz w:val="21"/>
                      <w:szCs w:val="21"/>
                    </w:rPr>
                  </w:pPr>
                </w:p>
                <w:p w14:paraId="137B73F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输出参数</w:t>
                  </w:r>
                </w:p>
              </w:tc>
              <w:tc>
                <w:tcPr>
                  <w:tcW w:w="3443" w:type="dxa"/>
                  <w:tcBorders>
                    <w:tl2br w:val="nil"/>
                    <w:tr2bl w:val="nil"/>
                  </w:tcBorders>
                  <w:vAlign w:val="top"/>
                </w:tcPr>
                <w:p w14:paraId="4F4D5ABF">
                  <w:pPr>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额定交流输出功率（kW</w:t>
                  </w:r>
                  <w:r>
                    <w:rPr>
                      <w:rFonts w:hint="eastAsia" w:ascii="Times New Roman" w:hAnsi="Times New Roman" w:eastAsia="宋体" w:cs="Times New Roman"/>
                      <w:sz w:val="21"/>
                      <w:szCs w:val="21"/>
                      <w:lang w:eastAsia="zh-CN"/>
                    </w:rPr>
                    <w:t>）</w:t>
                  </w:r>
                </w:p>
              </w:tc>
              <w:tc>
                <w:tcPr>
                  <w:tcW w:w="3183" w:type="dxa"/>
                  <w:tcBorders>
                    <w:tl2br w:val="nil"/>
                    <w:tr2bl w:val="nil"/>
                  </w:tcBorders>
                  <w:vAlign w:val="top"/>
                </w:tcPr>
                <w:p w14:paraId="7D091D0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320</w:t>
                  </w:r>
                </w:p>
              </w:tc>
            </w:tr>
            <w:tr w14:paraId="129DB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AB6E1ED">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B72CD1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最大输出功率（kVA）</w:t>
                  </w:r>
                </w:p>
              </w:tc>
              <w:tc>
                <w:tcPr>
                  <w:tcW w:w="3183" w:type="dxa"/>
                  <w:tcBorders>
                    <w:tl2br w:val="nil"/>
                    <w:tr2bl w:val="nil"/>
                  </w:tcBorders>
                  <w:vAlign w:val="top"/>
                </w:tcPr>
                <w:p w14:paraId="2DAC8A3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352</w:t>
                  </w:r>
                </w:p>
              </w:tc>
            </w:tr>
            <w:tr w14:paraId="0D2115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06A2340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419D91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最大输出电流（Aac）</w:t>
                  </w:r>
                </w:p>
              </w:tc>
              <w:tc>
                <w:tcPr>
                  <w:tcW w:w="3183" w:type="dxa"/>
                  <w:tcBorders>
                    <w:tl2br w:val="nil"/>
                    <w:tr2bl w:val="nil"/>
                  </w:tcBorders>
                  <w:vAlign w:val="top"/>
                </w:tcPr>
                <w:p w14:paraId="3C5D856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254</w:t>
                  </w:r>
                </w:p>
              </w:tc>
            </w:tr>
            <w:tr w14:paraId="6B648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66F20E0">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61CFF4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额定电网频率（Hz）</w:t>
                  </w:r>
                </w:p>
              </w:tc>
              <w:tc>
                <w:tcPr>
                  <w:tcW w:w="3183" w:type="dxa"/>
                  <w:tcBorders>
                    <w:tl2br w:val="nil"/>
                    <w:tr2bl w:val="nil"/>
                  </w:tcBorders>
                  <w:vAlign w:val="top"/>
                </w:tcPr>
                <w:p w14:paraId="0BDDC54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14:paraId="3FEDC2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9C1DBF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602947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额定输出电压</w:t>
                  </w:r>
                </w:p>
              </w:tc>
              <w:tc>
                <w:tcPr>
                  <w:tcW w:w="3183" w:type="dxa"/>
                  <w:tcBorders>
                    <w:tl2br w:val="nil"/>
                    <w:tr2bl w:val="nil"/>
                  </w:tcBorders>
                  <w:vAlign w:val="top"/>
                </w:tcPr>
                <w:p w14:paraId="520ED8D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800V，3W+PE</w:t>
                  </w:r>
                </w:p>
              </w:tc>
            </w:tr>
            <w:tr w14:paraId="5330C6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D26380B">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A1DED8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功率因数</w:t>
                  </w:r>
                </w:p>
              </w:tc>
              <w:tc>
                <w:tcPr>
                  <w:tcW w:w="3183" w:type="dxa"/>
                  <w:tcBorders>
                    <w:tl2br w:val="nil"/>
                    <w:tr2bl w:val="nil"/>
                  </w:tcBorders>
                  <w:vAlign w:val="top"/>
                </w:tcPr>
                <w:p w14:paraId="7DF0702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0.8（超前）～0.8（滞后）</w:t>
                  </w:r>
                </w:p>
              </w:tc>
            </w:tr>
            <w:tr w14:paraId="725CEA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17A1F95E">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385C9E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最大总谐波失真</w:t>
                  </w:r>
                </w:p>
              </w:tc>
              <w:tc>
                <w:tcPr>
                  <w:tcW w:w="3183" w:type="dxa"/>
                  <w:tcBorders>
                    <w:tl2br w:val="nil"/>
                    <w:tr2bl w:val="nil"/>
                  </w:tcBorders>
                  <w:vAlign w:val="top"/>
                </w:tcPr>
                <w:p w14:paraId="1D18E1F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r>
            <w:tr w14:paraId="1FBA7F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restart"/>
                  <w:tcBorders>
                    <w:tl2br w:val="nil"/>
                    <w:tr2bl w:val="nil"/>
                  </w:tcBorders>
                  <w:vAlign w:val="top"/>
                </w:tcPr>
                <w:p w14:paraId="265CA5B6">
                  <w:pPr>
                    <w:jc w:val="center"/>
                    <w:rPr>
                      <w:rFonts w:hint="default" w:ascii="Times New Roman" w:hAnsi="Times New Roman" w:eastAsia="宋体" w:cs="Times New Roman"/>
                      <w:sz w:val="21"/>
                      <w:szCs w:val="21"/>
                    </w:rPr>
                  </w:pPr>
                </w:p>
                <w:p w14:paraId="0C11FD17">
                  <w:pPr>
                    <w:jc w:val="center"/>
                    <w:rPr>
                      <w:rFonts w:hint="default" w:ascii="Times New Roman" w:hAnsi="Times New Roman" w:eastAsia="宋体" w:cs="Times New Roman"/>
                      <w:sz w:val="21"/>
                      <w:szCs w:val="21"/>
                    </w:rPr>
                  </w:pPr>
                </w:p>
                <w:p w14:paraId="51EF14CA">
                  <w:pPr>
                    <w:jc w:val="center"/>
                    <w:rPr>
                      <w:rFonts w:hint="default" w:ascii="Times New Roman" w:hAnsi="Times New Roman" w:eastAsia="宋体" w:cs="Times New Roman"/>
                      <w:sz w:val="21"/>
                      <w:szCs w:val="21"/>
                    </w:rPr>
                  </w:pPr>
                </w:p>
                <w:p w14:paraId="764438C0">
                  <w:pPr>
                    <w:jc w:val="center"/>
                    <w:rPr>
                      <w:rFonts w:hint="default" w:ascii="Times New Roman" w:hAnsi="Times New Roman" w:eastAsia="宋体" w:cs="Times New Roman"/>
                      <w:sz w:val="21"/>
                      <w:szCs w:val="21"/>
                    </w:rPr>
                  </w:pPr>
                </w:p>
                <w:p w14:paraId="700A5F08">
                  <w:pPr>
                    <w:jc w:val="center"/>
                    <w:rPr>
                      <w:rFonts w:hint="default" w:ascii="Times New Roman" w:hAnsi="Times New Roman" w:eastAsia="宋体" w:cs="Times New Roman"/>
                      <w:sz w:val="21"/>
                      <w:szCs w:val="21"/>
                    </w:rPr>
                  </w:pPr>
                </w:p>
                <w:p w14:paraId="661373C4">
                  <w:pPr>
                    <w:jc w:val="center"/>
                    <w:rPr>
                      <w:rFonts w:hint="default" w:ascii="Times New Roman" w:hAnsi="Times New Roman" w:eastAsia="宋体" w:cs="Times New Roman"/>
                      <w:sz w:val="21"/>
                      <w:szCs w:val="21"/>
                    </w:rPr>
                  </w:pPr>
                </w:p>
                <w:p w14:paraId="13BEFCAC">
                  <w:pPr>
                    <w:jc w:val="center"/>
                    <w:rPr>
                      <w:rFonts w:hint="default" w:ascii="Times New Roman" w:hAnsi="Times New Roman" w:eastAsia="宋体" w:cs="Times New Roman"/>
                      <w:sz w:val="21"/>
                      <w:szCs w:val="21"/>
                    </w:rPr>
                  </w:pPr>
                </w:p>
                <w:p w14:paraId="06886AFD">
                  <w:pPr>
                    <w:jc w:val="center"/>
                    <w:rPr>
                      <w:rFonts w:hint="default" w:ascii="Times New Roman" w:hAnsi="Times New Roman" w:eastAsia="宋体" w:cs="Times New Roman"/>
                      <w:sz w:val="21"/>
                      <w:szCs w:val="21"/>
                    </w:rPr>
                  </w:pPr>
                </w:p>
                <w:p w14:paraId="19A4771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系统性能</w:t>
                  </w:r>
                </w:p>
              </w:tc>
              <w:tc>
                <w:tcPr>
                  <w:tcW w:w="3443" w:type="dxa"/>
                  <w:tcBorders>
                    <w:tl2br w:val="nil"/>
                    <w:tr2bl w:val="nil"/>
                  </w:tcBorders>
                  <w:vAlign w:val="top"/>
                </w:tcPr>
                <w:p w14:paraId="607D7A2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最大逆变器效率（%）</w:t>
                  </w:r>
                </w:p>
              </w:tc>
              <w:tc>
                <w:tcPr>
                  <w:tcW w:w="3183" w:type="dxa"/>
                  <w:tcBorders>
                    <w:tl2br w:val="nil"/>
                    <w:tr2bl w:val="nil"/>
                  </w:tcBorders>
                  <w:vAlign w:val="top"/>
                </w:tcPr>
                <w:p w14:paraId="15DBA3C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≥99.01</w:t>
                  </w:r>
                </w:p>
              </w:tc>
            </w:tr>
            <w:tr w14:paraId="76F3A2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5FC3B5F">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6DE7077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中国效率（%）</w:t>
                  </w:r>
                </w:p>
              </w:tc>
              <w:tc>
                <w:tcPr>
                  <w:tcW w:w="3183" w:type="dxa"/>
                  <w:tcBorders>
                    <w:tl2br w:val="nil"/>
                    <w:tr2bl w:val="nil"/>
                  </w:tcBorders>
                  <w:vAlign w:val="top"/>
                </w:tcPr>
                <w:p w14:paraId="17D56911">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≥98.52</w:t>
                  </w:r>
                </w:p>
              </w:tc>
            </w:tr>
            <w:tr w14:paraId="32C18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B2FC453">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2F66E36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外壳防护等级</w:t>
                  </w:r>
                </w:p>
              </w:tc>
              <w:tc>
                <w:tcPr>
                  <w:tcW w:w="3183" w:type="dxa"/>
                  <w:tcBorders>
                    <w:tl2br w:val="nil"/>
                    <w:tr2bl w:val="nil"/>
                  </w:tcBorders>
                  <w:vAlign w:val="top"/>
                </w:tcPr>
                <w:p w14:paraId="1E81190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IP66</w:t>
                  </w:r>
                </w:p>
              </w:tc>
            </w:tr>
            <w:tr w14:paraId="30D825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A92FD99">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37CD74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环境温度（℃）</w:t>
                  </w:r>
                </w:p>
              </w:tc>
              <w:tc>
                <w:tcPr>
                  <w:tcW w:w="3183" w:type="dxa"/>
                  <w:tcBorders>
                    <w:tl2br w:val="nil"/>
                    <w:tr2bl w:val="nil"/>
                  </w:tcBorders>
                  <w:vAlign w:val="top"/>
                </w:tcPr>
                <w:p w14:paraId="73679AA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-30～60</w:t>
                  </w:r>
                </w:p>
              </w:tc>
            </w:tr>
            <w:tr w14:paraId="6D6A02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68D3AF1">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735F973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冷却方式</w:t>
                  </w:r>
                </w:p>
              </w:tc>
              <w:tc>
                <w:tcPr>
                  <w:tcW w:w="3183" w:type="dxa"/>
                  <w:tcBorders>
                    <w:tl2br w:val="nil"/>
                    <w:tr2bl w:val="nil"/>
                  </w:tcBorders>
                  <w:vAlign w:val="top"/>
                </w:tcPr>
                <w:p w14:paraId="31B7D7B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智能强制风冷</w:t>
                  </w:r>
                </w:p>
              </w:tc>
            </w:tr>
            <w:tr w14:paraId="5D2421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46A9A1FE">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07D8B1C4">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相对湿度</w:t>
                  </w:r>
                </w:p>
              </w:tc>
              <w:tc>
                <w:tcPr>
                  <w:tcW w:w="3183" w:type="dxa"/>
                  <w:tcBorders>
                    <w:tl2br w:val="nil"/>
                    <w:tr2bl w:val="nil"/>
                  </w:tcBorders>
                  <w:vAlign w:val="top"/>
                </w:tcPr>
                <w:p w14:paraId="1F7E192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0%～100%</w:t>
                  </w:r>
                </w:p>
              </w:tc>
            </w:tr>
            <w:tr w14:paraId="6E2CB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25FD0422">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14C86E6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允许最高安装海拔高度（m）</w:t>
                  </w:r>
                </w:p>
              </w:tc>
              <w:tc>
                <w:tcPr>
                  <w:tcW w:w="3183" w:type="dxa"/>
                  <w:tcBorders>
                    <w:tl2br w:val="nil"/>
                    <w:tr2bl w:val="nil"/>
                  </w:tcBorders>
                  <w:vAlign w:val="top"/>
                </w:tcPr>
                <w:p w14:paraId="6780D263">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5000m（&gt;4000m 降额）</w:t>
                  </w:r>
                </w:p>
              </w:tc>
            </w:tr>
            <w:tr w14:paraId="313A21C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3BE7098B">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347D36C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通讯方式</w:t>
                  </w:r>
                </w:p>
              </w:tc>
              <w:tc>
                <w:tcPr>
                  <w:tcW w:w="3183" w:type="dxa"/>
                  <w:tcBorders>
                    <w:tl2br w:val="nil"/>
                    <w:tr2bl w:val="nil"/>
                  </w:tcBorders>
                  <w:vAlign w:val="top"/>
                </w:tcPr>
                <w:p w14:paraId="4D34E2C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RS485/PLC</w:t>
                  </w:r>
                </w:p>
              </w:tc>
            </w:tr>
            <w:tr w14:paraId="5F2EB2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744FF0A7">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1740F4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宽×高×深（mm）</w:t>
                  </w:r>
                </w:p>
              </w:tc>
              <w:tc>
                <w:tcPr>
                  <w:tcW w:w="3183" w:type="dxa"/>
                  <w:tcBorders>
                    <w:tl2br w:val="nil"/>
                    <w:tr2bl w:val="nil"/>
                  </w:tcBorders>
                  <w:vAlign w:val="top"/>
                </w:tcPr>
                <w:p w14:paraId="34FCA87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1136×870×361mm</w:t>
                  </w:r>
                </w:p>
              </w:tc>
            </w:tr>
            <w:tr w14:paraId="5055CC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180" w:type="dxa"/>
                  <w:vMerge w:val="continue"/>
                  <w:tcBorders>
                    <w:tl2br w:val="nil"/>
                    <w:tr2bl w:val="nil"/>
                  </w:tcBorders>
                  <w:vAlign w:val="top"/>
                </w:tcPr>
                <w:p w14:paraId="6B4ACAAB">
                  <w:pPr>
                    <w:jc w:val="center"/>
                    <w:rPr>
                      <w:rFonts w:hint="default" w:ascii="Times New Roman" w:hAnsi="Times New Roman" w:eastAsia="宋体" w:cs="Times New Roman"/>
                      <w:sz w:val="21"/>
                      <w:szCs w:val="21"/>
                    </w:rPr>
                  </w:pPr>
                </w:p>
              </w:tc>
              <w:tc>
                <w:tcPr>
                  <w:tcW w:w="3443" w:type="dxa"/>
                  <w:tcBorders>
                    <w:tl2br w:val="nil"/>
                    <w:tr2bl w:val="nil"/>
                  </w:tcBorders>
                  <w:vAlign w:val="top"/>
                </w:tcPr>
                <w:p w14:paraId="51EE8A6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重量（含挂架）</w:t>
                  </w:r>
                </w:p>
              </w:tc>
              <w:tc>
                <w:tcPr>
                  <w:tcW w:w="3183" w:type="dxa"/>
                  <w:tcBorders>
                    <w:tl2br w:val="nil"/>
                    <w:tr2bl w:val="nil"/>
                  </w:tcBorders>
                  <w:vAlign w:val="top"/>
                </w:tcPr>
                <w:p w14:paraId="675CD82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116kg</w:t>
                  </w:r>
                </w:p>
              </w:tc>
            </w:tr>
          </w:tbl>
          <w:p w14:paraId="2BB71B55">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3</w:t>
            </w:r>
            <w:r>
              <w:rPr>
                <w:rFonts w:hint="default" w:ascii="Times New Roman" w:hAnsi="Times New Roman" w:eastAsia="宋体" w:cs="Times New Roman"/>
                <w:color w:val="auto"/>
                <w:kern w:val="0"/>
                <w:sz w:val="24"/>
                <w:lang w:eastAsia="zh-CN"/>
              </w:rPr>
              <w:t>）箱变</w:t>
            </w:r>
          </w:p>
          <w:p w14:paraId="0239E724">
            <w:pPr>
              <w:adjustRightInd w:val="0"/>
              <w:snapToGrid w:val="0"/>
              <w:spacing w:line="360" w:lineRule="auto"/>
              <w:ind w:firstLine="480" w:firstLineChars="200"/>
              <w:jc w:val="left"/>
              <w:rPr>
                <w:rFonts w:hint="eastAsia" w:ascii="Times New Roman" w:hAnsi="Times New Roman" w:cs="Times New Roman" w:eastAsiaTheme="minorEastAsia"/>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考虑到光伏发电利用小时较低，变压器故障概率较小，推荐采用3200kVA、2000kVA、1600kVA 、 1000kVA 双绕组箱式升压变压器，型号</w:t>
            </w:r>
            <w:r>
              <w:rPr>
                <w:rFonts w:hint="eastAsia" w:ascii="Times New Roman" w:hAnsi="Times New Roman" w:eastAsia="宋体" w:cs="Times New Roman"/>
                <w:color w:val="auto"/>
                <w:kern w:val="2"/>
                <w:sz w:val="24"/>
                <w:szCs w:val="24"/>
                <w:lang w:val="en-US" w:eastAsia="zh-CN" w:bidi="ar"/>
              </w:rPr>
              <w:t>为</w:t>
            </w:r>
            <w:r>
              <w:rPr>
                <w:rFonts w:hint="default" w:ascii="Times New Roman" w:hAnsi="Times New Roman" w:eastAsia="宋体" w:cs="Times New Roman"/>
                <w:color w:val="auto"/>
                <w:kern w:val="2"/>
                <w:sz w:val="24"/>
                <w:szCs w:val="24"/>
                <w:lang w:val="en-US" w:eastAsia="zh-CN" w:bidi="ar"/>
              </w:rPr>
              <w:t>S18-3200kVA-37/0.8kV 、S18-2000kVA-37/0.8kV、S18-1600kVA-37/0.8kV、S18-1000kVA-37/0.8kV，每个方阵布置对应容量的箱变一台</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共计</w:t>
            </w:r>
            <w:r>
              <w:rPr>
                <w:rFonts w:hint="eastAsia" w:ascii="Times New Roman" w:hAnsi="Times New Roman" w:eastAsia="宋体" w:cs="Times New Roman"/>
                <w:color w:val="auto"/>
                <w:kern w:val="2"/>
                <w:sz w:val="24"/>
                <w:szCs w:val="24"/>
                <w:lang w:val="en-US" w:eastAsia="zh-CN" w:bidi="ar"/>
              </w:rPr>
              <w:t>26</w:t>
            </w:r>
            <w:r>
              <w:rPr>
                <w:rFonts w:hint="default" w:ascii="Times New Roman" w:hAnsi="Times New Roman" w:eastAsia="宋体" w:cs="Times New Roman"/>
                <w:color w:val="auto"/>
                <w:kern w:val="2"/>
                <w:sz w:val="24"/>
                <w:szCs w:val="24"/>
                <w:lang w:val="en-US" w:eastAsia="zh-CN" w:bidi="ar"/>
              </w:rPr>
              <w:t>台。箱式变压器为一体化集装箱型式，箱变采用美变，就地布置在光伏方阵附近。箱变采用配置负荷开关+隔离开关，两侧采用电缆出线，箱变低压侧设置一台变压器，作为箱变内部照明、检修、加热电源</w:t>
            </w:r>
            <w:r>
              <w:rPr>
                <w:rFonts w:hint="eastAsia" w:ascii="Times New Roman" w:hAnsi="Times New Roman" w:eastAsia="宋体" w:cs="Times New Roman"/>
                <w:color w:val="auto"/>
                <w:kern w:val="2"/>
                <w:sz w:val="24"/>
                <w:szCs w:val="24"/>
                <w:lang w:val="en-US" w:eastAsia="zh-CN" w:bidi="ar"/>
              </w:rPr>
              <w:t>。</w:t>
            </w:r>
            <w:r>
              <w:rPr>
                <w:spacing w:val="-8"/>
              </w:rPr>
              <w:t xml:space="preserve">光伏发电系统的 </w:t>
            </w:r>
            <w:r>
              <w:rPr>
                <w:rFonts w:ascii="Times New Roman" w:eastAsia="Times New Roman"/>
              </w:rPr>
              <w:t>37/0.8kV</w:t>
            </w:r>
            <w:r>
              <w:t>升压变压器高压侧采用负荷开关</w:t>
            </w:r>
            <w:r>
              <w:rPr>
                <w:rFonts w:ascii="Times New Roman" w:eastAsia="Times New Roman"/>
              </w:rPr>
              <w:t>+</w:t>
            </w:r>
            <w:r>
              <w:rPr>
                <w:spacing w:val="-2"/>
              </w:rPr>
              <w:t>隔离开关作为主保护。</w:t>
            </w:r>
            <w:r>
              <w:rPr>
                <w:spacing w:val="-5"/>
              </w:rPr>
              <w:t>变压器温度、压力释放等非电量保护，作用于信号和箱变低压侧断路器的跳闸。以上保</w:t>
            </w:r>
            <w:r>
              <w:rPr>
                <w:spacing w:val="-8"/>
              </w:rPr>
              <w:t>护及现地控制要求与箱变一体化设计及制造，并外送空接点信号，电压、电流模拟量信号。箱变配置智能保护测控装置</w:t>
            </w:r>
            <w:r>
              <w:rPr>
                <w:rFonts w:hint="eastAsia"/>
                <w:spacing w:val="-8"/>
                <w:lang w:eastAsia="zh-CN"/>
              </w:rPr>
              <w:t>。</w:t>
            </w:r>
          </w:p>
          <w:p w14:paraId="0BDCB4DD">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4</w:t>
            </w:r>
            <w:r>
              <w:rPr>
                <w:rFonts w:hint="default" w:ascii="Times New Roman" w:hAnsi="Times New Roman" w:eastAsia="宋体" w:cs="Times New Roman"/>
                <w:color w:val="auto"/>
                <w:kern w:val="0"/>
                <w:sz w:val="24"/>
                <w:szCs w:val="24"/>
                <w:lang w:val="en-US" w:eastAsia="zh-CN" w:bidi="en-US"/>
              </w:rPr>
              <w:t>）35kV电缆分接箱的选择</w:t>
            </w:r>
          </w:p>
          <w:p w14:paraId="7E117B3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为了便于各个光伏发电单元的电能汇集，在光伏厂区适当位置设置 35kV电缆分接箱，根据不同情况，形成合理的连接，每台电缆分接箱除出线回路不装设隔离开关外， 其余进线回路均装设隔离开关。此种连接不仅可以避免一个方阵出问题整条集电线路失电的弊端，还可以避免电缆分接箱及分接箱间电缆发生故障对整条集电线路的影响，同时使并网光伏电站各个发电单元相互独立，运行更安全，检修更方便，且影响范围更小。</w:t>
            </w:r>
          </w:p>
          <w:p w14:paraId="0EBF290A">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w:t>
            </w:r>
            <w:r>
              <w:rPr>
                <w:rFonts w:hint="eastAsia" w:ascii="Times New Roman" w:hAnsi="Times New Roman" w:eastAsia="宋体" w:cs="Times New Roman"/>
                <w:color w:val="auto"/>
                <w:kern w:val="0"/>
                <w:sz w:val="24"/>
                <w:szCs w:val="24"/>
                <w:lang w:val="en-US" w:eastAsia="zh-CN" w:bidi="en-US"/>
              </w:rPr>
              <w:t>5</w:t>
            </w:r>
            <w:r>
              <w:rPr>
                <w:rFonts w:hint="default" w:ascii="Times New Roman" w:hAnsi="Times New Roman" w:eastAsia="宋体" w:cs="Times New Roman"/>
                <w:color w:val="auto"/>
                <w:kern w:val="0"/>
                <w:sz w:val="24"/>
                <w:szCs w:val="24"/>
                <w:lang w:val="en-US" w:eastAsia="zh-CN" w:bidi="en-US"/>
              </w:rPr>
              <w:t>）光伏阵列运行方式设计</w:t>
            </w:r>
          </w:p>
          <w:p w14:paraId="63EF82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本阶段根据项目地形地貌条件、项目地理纬度，推荐本工程采用固定式运行方式，安装支架倾角均为2</w:t>
            </w:r>
            <w:r>
              <w:rPr>
                <w:rFonts w:hint="eastAsia" w:ascii="Times New Roman" w:hAnsi="Times New Roman" w:eastAsia="宋体" w:cs="Times New Roman"/>
                <w:color w:val="auto"/>
                <w:kern w:val="0"/>
                <w:sz w:val="24"/>
                <w:lang w:val="en-US" w:eastAsia="zh-CN" w:bidi="en-US"/>
              </w:rPr>
              <w:t>2</w:t>
            </w:r>
            <w:r>
              <w:rPr>
                <w:rFonts w:hint="default" w:ascii="Times New Roman" w:hAnsi="Times New Roman" w:eastAsia="宋体" w:cs="Times New Roman"/>
                <w:color w:val="auto"/>
                <w:kern w:val="0"/>
                <w:sz w:val="24"/>
                <w:lang w:val="en-US" w:eastAsia="zh-CN" w:bidi="en-US"/>
              </w:rPr>
              <w:t>°。</w:t>
            </w:r>
          </w:p>
          <w:p w14:paraId="01B76072">
            <w:pPr>
              <w:adjustRightInd w:val="0"/>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461510" cy="2160270"/>
                  <wp:effectExtent l="9525" t="9525" r="24765" b="20955"/>
                  <wp:docPr id="33" name="图片 1" descr="2011010712350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20110107123508548"/>
                          <pic:cNvPicPr>
                            <a:picLocks noChangeAspect="1"/>
                          </pic:cNvPicPr>
                        </pic:nvPicPr>
                        <pic:blipFill>
                          <a:blip r:embed="rId16"/>
                          <a:stretch>
                            <a:fillRect/>
                          </a:stretch>
                        </pic:blipFill>
                        <pic:spPr>
                          <a:xfrm>
                            <a:off x="0" y="0"/>
                            <a:ext cx="4461510" cy="2160270"/>
                          </a:xfrm>
                          <a:prstGeom prst="rect">
                            <a:avLst/>
                          </a:prstGeom>
                          <a:noFill/>
                          <a:ln w="6350" cap="flat" cmpd="sng">
                            <a:solidFill>
                              <a:srgbClr val="000000"/>
                            </a:solidFill>
                            <a:prstDash val="solid"/>
                            <a:miter/>
                            <a:headEnd type="none" w="med" len="med"/>
                            <a:tailEnd type="none" w="med" len="med"/>
                          </a:ln>
                        </pic:spPr>
                      </pic:pic>
                    </a:graphicData>
                  </a:graphic>
                </wp:inline>
              </w:drawing>
            </w:r>
          </w:p>
          <w:p w14:paraId="3A754AA4">
            <w:pPr>
              <w:adjustRightInd w:val="0"/>
              <w:snapToGrid w:val="0"/>
              <w:spacing w:line="360" w:lineRule="auto"/>
              <w:jc w:val="center"/>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图2-</w:t>
            </w:r>
            <w:r>
              <w:rPr>
                <w:rFonts w:hint="eastAsia" w:ascii="Times New Roman" w:hAnsi="Times New Roman" w:eastAsia="宋体" w:cs="Times New Roman"/>
                <w:b/>
                <w:bCs/>
                <w:color w:val="auto"/>
                <w:kern w:val="0"/>
                <w:sz w:val="24"/>
                <w:lang w:val="en-US" w:eastAsia="zh-CN"/>
              </w:rPr>
              <w:t>2</w:t>
            </w:r>
            <w:r>
              <w:rPr>
                <w:rFonts w:hint="default" w:ascii="Times New Roman" w:hAnsi="Times New Roman" w:eastAsia="宋体" w:cs="Times New Roman"/>
                <w:b/>
                <w:bCs/>
                <w:color w:val="auto"/>
                <w:kern w:val="0"/>
                <w:sz w:val="24"/>
              </w:rPr>
              <w:t xml:space="preserve"> 固定式安装运行方式</w:t>
            </w:r>
          </w:p>
          <w:p w14:paraId="03059796">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（6）</w:t>
            </w:r>
            <w:r>
              <w:rPr>
                <w:rFonts w:hint="default" w:ascii="Times New Roman" w:hAnsi="Times New Roman" w:eastAsia="宋体" w:cs="Times New Roman"/>
                <w:color w:val="auto"/>
                <w:kern w:val="0"/>
                <w:sz w:val="24"/>
                <w:szCs w:val="24"/>
                <w:lang w:val="en-US" w:eastAsia="zh-CN" w:bidi="en-US"/>
              </w:rPr>
              <w:t>单支架光伏组串排列设计</w:t>
            </w:r>
          </w:p>
          <w:p w14:paraId="63F0CC75">
            <w:pPr>
              <w:pStyle w:val="10"/>
              <w:spacing w:line="360" w:lineRule="auto"/>
              <w:ind w:firstLine="480" w:firstLineChars="200"/>
              <w:jc w:val="left"/>
              <w:rPr>
                <w:rFonts w:hint="default" w:ascii="Times New Roman" w:hAnsi="Times New Roman" w:eastAsia="宋体" w:cs="Times New Roman"/>
                <w:color w:val="auto"/>
                <w:kern w:val="0"/>
                <w:sz w:val="24"/>
                <w:szCs w:val="24"/>
                <w:lang w:val="en-US" w:eastAsia="zh-CN" w:bidi="en-US"/>
              </w:rPr>
            </w:pPr>
            <w:r>
              <w:rPr>
                <w:rFonts w:hint="default" w:ascii="Times New Roman" w:hAnsi="Times New Roman" w:eastAsia="宋体" w:cs="Times New Roman"/>
                <w:color w:val="auto"/>
                <w:kern w:val="0"/>
                <w:sz w:val="24"/>
                <w:szCs w:val="24"/>
                <w:lang w:val="en-US" w:eastAsia="zh-CN" w:bidi="en-US"/>
              </w:rPr>
              <w:t>本工程每个支架按2排、每排15个组件进行设计，即：每个支架上安装3</w:t>
            </w:r>
            <w:r>
              <w:rPr>
                <w:rFonts w:hint="eastAsia" w:ascii="Times New Roman" w:hAnsi="Times New Roman" w:eastAsia="宋体" w:cs="Times New Roman"/>
                <w:color w:val="auto"/>
                <w:kern w:val="0"/>
                <w:sz w:val="24"/>
                <w:szCs w:val="24"/>
                <w:lang w:val="en-US" w:eastAsia="zh-CN" w:bidi="en-US"/>
              </w:rPr>
              <w:t>0</w:t>
            </w:r>
            <w:r>
              <w:rPr>
                <w:rFonts w:hint="default" w:ascii="Times New Roman" w:hAnsi="Times New Roman" w:eastAsia="宋体" w:cs="Times New Roman"/>
                <w:color w:val="auto"/>
                <w:kern w:val="0"/>
                <w:sz w:val="24"/>
                <w:szCs w:val="24"/>
                <w:lang w:val="en-US" w:eastAsia="zh-CN" w:bidi="en-US"/>
              </w:rPr>
              <w:t>块双面双玻光伏组件，构成1个组串，平面尺寸约19825mm×4788mm，如图</w:t>
            </w:r>
            <w:r>
              <w:rPr>
                <w:rFonts w:hint="eastAsia" w:ascii="Times New Roman" w:hAnsi="Times New Roman" w:eastAsia="宋体" w:cs="Times New Roman"/>
                <w:color w:val="auto"/>
                <w:kern w:val="0"/>
                <w:sz w:val="24"/>
                <w:szCs w:val="24"/>
                <w:lang w:val="en-US" w:eastAsia="zh-CN" w:bidi="en-US"/>
              </w:rPr>
              <w:t>下图</w:t>
            </w:r>
            <w:r>
              <w:rPr>
                <w:rFonts w:hint="default" w:ascii="Times New Roman" w:hAnsi="Times New Roman" w:eastAsia="宋体" w:cs="Times New Roman"/>
                <w:color w:val="auto"/>
                <w:kern w:val="0"/>
                <w:sz w:val="24"/>
                <w:szCs w:val="24"/>
                <w:lang w:val="en-US" w:eastAsia="zh-CN" w:bidi="en-US"/>
              </w:rPr>
              <w:t>所示</w:t>
            </w:r>
            <w:r>
              <w:rPr>
                <w:rFonts w:hint="eastAsia" w:ascii="Times New Roman" w:hAnsi="Times New Roman" w:eastAsia="宋体" w:cs="Times New Roman"/>
                <w:color w:val="auto"/>
                <w:kern w:val="0"/>
                <w:sz w:val="24"/>
                <w:szCs w:val="24"/>
                <w:lang w:val="en-US" w:eastAsia="zh-CN" w:bidi="en-US"/>
              </w:rPr>
              <w:t>。</w:t>
            </w:r>
          </w:p>
          <w:p w14:paraId="7C47290D">
            <w:pPr>
              <w:widowControl/>
              <w:spacing w:line="360" w:lineRule="auto"/>
              <w:rPr>
                <w:sz w:val="20"/>
              </w:rPr>
            </w:pPr>
            <w:r>
              <w:rPr>
                <w:sz w:val="20"/>
              </w:rPr>
              <mc:AlternateContent>
                <mc:Choice Requires="wpg">
                  <w:drawing>
                    <wp:inline distT="0" distB="0" distL="114300" distR="114300">
                      <wp:extent cx="5002530" cy="1776095"/>
                      <wp:effectExtent l="0" t="0" r="7620" b="14605"/>
                      <wp:docPr id="36" name="组合 36"/>
                      <wp:cNvGraphicFramePr/>
                      <a:graphic xmlns:a="http://schemas.openxmlformats.org/drawingml/2006/main">
                        <a:graphicData uri="http://schemas.microsoft.com/office/word/2010/wordprocessingGroup">
                          <wpg:wgp>
                            <wpg:cNvGrpSpPr/>
                            <wpg:grpSpPr>
                              <a:xfrm>
                                <a:off x="0" y="0"/>
                                <a:ext cx="5002530" cy="1776095"/>
                                <a:chOff x="0" y="0"/>
                                <a:chExt cx="9017" cy="3884"/>
                              </a:xfrm>
                            </wpg:grpSpPr>
                            <pic:pic xmlns:pic="http://schemas.openxmlformats.org/drawingml/2006/picture">
                              <pic:nvPicPr>
                                <pic:cNvPr id="34" name="图片 3"/>
                                <pic:cNvPicPr>
                                  <a:picLocks noChangeAspect="1"/>
                                </pic:cNvPicPr>
                              </pic:nvPicPr>
                              <pic:blipFill>
                                <a:blip r:embed="rId17"/>
                                <a:stretch>
                                  <a:fillRect/>
                                </a:stretch>
                              </pic:blipFill>
                              <pic:spPr>
                                <a:xfrm>
                                  <a:off x="424" y="536"/>
                                  <a:ext cx="8169" cy="2697"/>
                                </a:xfrm>
                                <a:prstGeom prst="rect">
                                  <a:avLst/>
                                </a:prstGeom>
                                <a:noFill/>
                                <a:ln>
                                  <a:noFill/>
                                </a:ln>
                              </pic:spPr>
                            </pic:pic>
                            <wps:wsp>
                              <wps:cNvPr id="35" name="任意多边形 35"/>
                              <wps:cNvSpPr/>
                              <wps:spPr>
                                <a:xfrm>
                                  <a:off x="0" y="0"/>
                                  <a:ext cx="9017" cy="3884"/>
                                </a:xfrm>
                                <a:custGeom>
                                  <a:avLst/>
                                  <a:gdLst/>
                                  <a:ahLst/>
                                  <a:cxnLst/>
                                  <a:pathLst>
                                    <a:path w="9017" h="3884">
                                      <a:moveTo>
                                        <a:pt x="9002" y="3883"/>
                                      </a:moveTo>
                                      <a:lnTo>
                                        <a:pt x="15" y="3883"/>
                                      </a:lnTo>
                                      <a:lnTo>
                                        <a:pt x="12" y="3883"/>
                                      </a:lnTo>
                                      <a:lnTo>
                                        <a:pt x="8" y="3882"/>
                                      </a:lnTo>
                                      <a:lnTo>
                                        <a:pt x="6" y="3880"/>
                                      </a:lnTo>
                                      <a:lnTo>
                                        <a:pt x="3" y="3878"/>
                                      </a:lnTo>
                                      <a:lnTo>
                                        <a:pt x="1" y="3875"/>
                                      </a:lnTo>
                                      <a:lnTo>
                                        <a:pt x="0" y="3872"/>
                                      </a:lnTo>
                                      <a:lnTo>
                                        <a:pt x="0" y="3868"/>
                                      </a:lnTo>
                                      <a:lnTo>
                                        <a:pt x="0" y="15"/>
                                      </a:lnTo>
                                      <a:lnTo>
                                        <a:pt x="0" y="12"/>
                                      </a:lnTo>
                                      <a:lnTo>
                                        <a:pt x="1" y="8"/>
                                      </a:lnTo>
                                      <a:lnTo>
                                        <a:pt x="3" y="6"/>
                                      </a:lnTo>
                                      <a:lnTo>
                                        <a:pt x="6" y="3"/>
                                      </a:lnTo>
                                      <a:lnTo>
                                        <a:pt x="8" y="1"/>
                                      </a:lnTo>
                                      <a:lnTo>
                                        <a:pt x="12" y="0"/>
                                      </a:lnTo>
                                      <a:lnTo>
                                        <a:pt x="15" y="0"/>
                                      </a:lnTo>
                                      <a:lnTo>
                                        <a:pt x="9002" y="0"/>
                                      </a:lnTo>
                                      <a:lnTo>
                                        <a:pt x="9005" y="0"/>
                                      </a:lnTo>
                                      <a:lnTo>
                                        <a:pt x="9008" y="1"/>
                                      </a:lnTo>
                                      <a:lnTo>
                                        <a:pt x="9011" y="3"/>
                                      </a:lnTo>
                                      <a:lnTo>
                                        <a:pt x="9014" y="6"/>
                                      </a:lnTo>
                                      <a:lnTo>
                                        <a:pt x="9015" y="8"/>
                                      </a:lnTo>
                                      <a:lnTo>
                                        <a:pt x="9016" y="12"/>
                                      </a:lnTo>
                                      <a:lnTo>
                                        <a:pt x="9017" y="15"/>
                                      </a:lnTo>
                                      <a:lnTo>
                                        <a:pt x="30" y="15"/>
                                      </a:lnTo>
                                      <a:lnTo>
                                        <a:pt x="15" y="30"/>
                                      </a:lnTo>
                                      <a:lnTo>
                                        <a:pt x="30" y="30"/>
                                      </a:lnTo>
                                      <a:lnTo>
                                        <a:pt x="30" y="3853"/>
                                      </a:lnTo>
                                      <a:lnTo>
                                        <a:pt x="15" y="3853"/>
                                      </a:lnTo>
                                      <a:lnTo>
                                        <a:pt x="30" y="3868"/>
                                      </a:lnTo>
                                      <a:lnTo>
                                        <a:pt x="9017" y="3868"/>
                                      </a:lnTo>
                                      <a:lnTo>
                                        <a:pt x="9016" y="3872"/>
                                      </a:lnTo>
                                      <a:lnTo>
                                        <a:pt x="9015" y="3875"/>
                                      </a:lnTo>
                                      <a:lnTo>
                                        <a:pt x="9014" y="3878"/>
                                      </a:lnTo>
                                      <a:lnTo>
                                        <a:pt x="9011" y="3880"/>
                                      </a:lnTo>
                                      <a:lnTo>
                                        <a:pt x="9008" y="3882"/>
                                      </a:lnTo>
                                      <a:lnTo>
                                        <a:pt x="9005" y="3883"/>
                                      </a:lnTo>
                                      <a:lnTo>
                                        <a:pt x="9002" y="3883"/>
                                      </a:lnTo>
                                      <a:close/>
                                      <a:moveTo>
                                        <a:pt x="30" y="30"/>
                                      </a:moveTo>
                                      <a:lnTo>
                                        <a:pt x="15" y="30"/>
                                      </a:lnTo>
                                      <a:lnTo>
                                        <a:pt x="30" y="15"/>
                                      </a:lnTo>
                                      <a:lnTo>
                                        <a:pt x="30" y="30"/>
                                      </a:lnTo>
                                      <a:close/>
                                      <a:moveTo>
                                        <a:pt x="8987" y="30"/>
                                      </a:moveTo>
                                      <a:lnTo>
                                        <a:pt x="30" y="30"/>
                                      </a:lnTo>
                                      <a:lnTo>
                                        <a:pt x="30" y="15"/>
                                      </a:lnTo>
                                      <a:lnTo>
                                        <a:pt x="8987" y="15"/>
                                      </a:lnTo>
                                      <a:lnTo>
                                        <a:pt x="8987" y="30"/>
                                      </a:lnTo>
                                      <a:close/>
                                      <a:moveTo>
                                        <a:pt x="8987" y="3868"/>
                                      </a:moveTo>
                                      <a:lnTo>
                                        <a:pt x="8987" y="15"/>
                                      </a:lnTo>
                                      <a:lnTo>
                                        <a:pt x="9002" y="30"/>
                                      </a:lnTo>
                                      <a:lnTo>
                                        <a:pt x="9017" y="30"/>
                                      </a:lnTo>
                                      <a:lnTo>
                                        <a:pt x="9017" y="3853"/>
                                      </a:lnTo>
                                      <a:lnTo>
                                        <a:pt x="9002" y="3853"/>
                                      </a:lnTo>
                                      <a:lnTo>
                                        <a:pt x="8987" y="3868"/>
                                      </a:lnTo>
                                      <a:close/>
                                      <a:moveTo>
                                        <a:pt x="9017" y="30"/>
                                      </a:moveTo>
                                      <a:lnTo>
                                        <a:pt x="9002" y="30"/>
                                      </a:lnTo>
                                      <a:lnTo>
                                        <a:pt x="8987" y="15"/>
                                      </a:lnTo>
                                      <a:lnTo>
                                        <a:pt x="9017" y="15"/>
                                      </a:lnTo>
                                      <a:lnTo>
                                        <a:pt x="9017" y="30"/>
                                      </a:lnTo>
                                      <a:close/>
                                      <a:moveTo>
                                        <a:pt x="30" y="3868"/>
                                      </a:moveTo>
                                      <a:lnTo>
                                        <a:pt x="15" y="3853"/>
                                      </a:lnTo>
                                      <a:lnTo>
                                        <a:pt x="30" y="3853"/>
                                      </a:lnTo>
                                      <a:lnTo>
                                        <a:pt x="30" y="3868"/>
                                      </a:lnTo>
                                      <a:close/>
                                      <a:moveTo>
                                        <a:pt x="8987" y="3868"/>
                                      </a:moveTo>
                                      <a:lnTo>
                                        <a:pt x="30" y="3868"/>
                                      </a:lnTo>
                                      <a:lnTo>
                                        <a:pt x="30" y="3853"/>
                                      </a:lnTo>
                                      <a:lnTo>
                                        <a:pt x="8987" y="3853"/>
                                      </a:lnTo>
                                      <a:lnTo>
                                        <a:pt x="8987" y="3868"/>
                                      </a:lnTo>
                                      <a:close/>
                                      <a:moveTo>
                                        <a:pt x="9017" y="3868"/>
                                      </a:moveTo>
                                      <a:lnTo>
                                        <a:pt x="8987" y="3868"/>
                                      </a:lnTo>
                                      <a:lnTo>
                                        <a:pt x="9002" y="3853"/>
                                      </a:lnTo>
                                      <a:lnTo>
                                        <a:pt x="9017" y="3853"/>
                                      </a:lnTo>
                                      <a:lnTo>
                                        <a:pt x="9017" y="3868"/>
                                      </a:lnTo>
                                      <a:close/>
                                    </a:path>
                                  </a:pathLst>
                                </a:custGeom>
                                <a:solidFill>
                                  <a:srgbClr val="000000"/>
                                </a:solidFill>
                                <a:ln>
                                  <a:noFill/>
                                </a:ln>
                              </wps:spPr>
                              <wps:bodyPr upright="1"/>
                            </wps:wsp>
                          </wpg:wgp>
                        </a:graphicData>
                      </a:graphic>
                    </wp:inline>
                  </w:drawing>
                </mc:Choice>
                <mc:Fallback>
                  <w:pict>
                    <v:group id="_x0000_s1026" o:spid="_x0000_s1026" o:spt="203" style="height:139.85pt;width:393.9pt;" coordsize="9017,3884" o:gfxdata="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">
                      <o:lock v:ext="edit" aspectratio="f"/>
                      <v:shape id="图片 3" o:spid="_x0000_s1026" o:spt="75" type="#_x0000_t75" style="position:absolute;left:424;top:536;height:2697;width:8169;" filled="f" o:preferrelative="t" stroked="f" coordsize="21600,21600" o:gfxdata="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BoA+/&#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_x0000_s1026" o:spid="_x0000_s1026" o:spt="100" style="position:absolute;left:0;top:0;height:3884;width:9017;" fillcolor="#000000" filled="t" stroked="f" coordsize="9017,3884" o:gfxdata="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0274A&#10;AADbAAAADwAAAAAAAAABACAAAAAiAAAAZHJzL2Rvd25yZXYueG1sUEsBAhQAFAAAAAgAh07iQDMv&#10;BZ47AAAAOQAAABAAAAAAAAAAAQAgAAAADQEAAGRycy9zaGFwZXhtbC54bWxQSwUGAAAAAAYABgBb&#10;AQAAtwMAAAAA&#10;" path="m9002,3883l15,3883,12,3883,8,3882,6,3880,3,3878,1,3875,0,3872,0,3868,0,15,0,12,1,8,3,6,6,3,8,1,12,0,15,0,9002,0,9005,0,9008,1,9011,3,9014,6,9015,8,9016,12,9017,15,30,15,15,30,30,30,30,3853,15,3853,30,3868,9017,3868,9016,3872,9015,3875,9014,3878,9011,3880,9008,3882,9005,3883,9002,3883xm30,30l15,30,30,15,30,30xm8987,30l30,30,30,15,8987,15,8987,30xm8987,3868l8987,15,9002,30,9017,30,9017,3853,9002,3853,8987,3868xm9017,30l9002,30,8987,15,9017,15,9017,30xm30,3868l15,3853,30,3853,30,3868xm8987,3868l30,3868,30,3853,8987,3853,8987,3868xm9017,3868l8987,3868,9002,3853,9017,3853,9017,3868xe">
                        <v:fill on="t" focussize="0,0"/>
                        <v:stroke on="f"/>
                        <v:imagedata o:title=""/>
                        <o:lock v:ext="edit" aspectratio="f"/>
                      </v:shape>
                      <w10:wrap type="none"/>
                      <w10:anchorlock/>
                    </v:group>
                  </w:pict>
                </mc:Fallback>
              </mc:AlternateContent>
            </w:r>
          </w:p>
          <w:p w14:paraId="09B78BE7">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本工程按照支架长边平行于坡面呈东西走向布置以及组件南北向倾角为22°进行安装建设。在支架安装时，必须保证不同地形条件下的支架满足确定的方位角和倾角，可以采用调整土建基础或者支架高度来完成。</w:t>
            </w:r>
          </w:p>
          <w:p w14:paraId="79F56681">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为符合云南省光伏电站占用一般耕地或其他农用地的光伏复合项目土地政策及德宏州新能源开发领导小组关于进一步做好集中式光伏发电项目开发建设管理通知，要求光伏组件最低沿应高于地面3m；桩基间列间距大于4m，行间距应大于6.5m</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不得破坏原有土地生产条件。</w:t>
            </w:r>
          </w:p>
          <w:p w14:paraId="2FD169B3">
            <w:pPr>
              <w:widowControl/>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en-US"/>
              </w:rPr>
            </w:pPr>
            <w:r>
              <w:rPr>
                <w:rFonts w:hint="eastAsia" w:ascii="Times New Roman" w:hAnsi="Times New Roman" w:eastAsia="宋体" w:cs="Times New Roman"/>
                <w:color w:val="auto"/>
                <w:kern w:val="0"/>
                <w:sz w:val="24"/>
                <w:szCs w:val="24"/>
                <w:lang w:val="en-US" w:eastAsia="zh-CN" w:bidi="en-US"/>
              </w:rPr>
              <w:t>4.2、集电线路及塔基</w:t>
            </w:r>
          </w:p>
          <w:p w14:paraId="4C0878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本工程共布置26个光伏方阵，</w:t>
            </w:r>
            <w:r>
              <w:rPr>
                <w:rFonts w:hint="default" w:ascii="Times New Roman" w:hAnsi="Times New Roman" w:eastAsia="宋体" w:cs="Times New Roman"/>
                <w:color w:val="auto"/>
                <w:kern w:val="0"/>
                <w:sz w:val="24"/>
              </w:rPr>
              <w:t>江东光伏电站每个3.2MW、2MW、1.6MW、1MW光伏子方阵经逆变升压后输出电压为35kV，在适当位置设置35kV电缆分接箱。每个3.2MW、2MW、1.6MW、1MW 光伏方阵电力经箱变升压至35kV后，通过35kV电缆分接箱并联至35kV集电线路，集电线路汇集电力后输送至110kV升压站</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bidi="en-US"/>
              </w:rPr>
              <w:t>根据布置情况分为北片区及南片区，集电线路采用35kV直埋电缆敷设及架空线路混合形式</w:t>
            </w:r>
            <w:r>
              <w:rPr>
                <w:rFonts w:hint="eastAsia" w:ascii="Times New Roman" w:hAnsi="Times New Roman" w:eastAsia="宋体" w:cs="Times New Roman"/>
                <w:color w:val="auto"/>
                <w:kern w:val="0"/>
                <w:sz w:val="24"/>
                <w:lang w:val="en-US" w:eastAsia="zh-CN" w:bidi="en-US"/>
              </w:rPr>
              <w:t>，</w:t>
            </w:r>
            <w:r>
              <w:rPr>
                <w:rFonts w:hint="default" w:ascii="Times New Roman" w:hAnsi="Times New Roman" w:eastAsia="宋体" w:cs="Times New Roman"/>
                <w:color w:val="auto"/>
                <w:kern w:val="0"/>
                <w:sz w:val="24"/>
                <w:lang w:val="en-US" w:eastAsia="zh-CN" w:bidi="en-US"/>
              </w:rPr>
              <w:t>分为</w:t>
            </w:r>
            <w:r>
              <w:rPr>
                <w:rFonts w:hint="eastAsia" w:ascii="Times New Roman" w:hAnsi="Times New Roman" w:eastAsia="宋体" w:cs="Times New Roman"/>
                <w:color w:val="auto"/>
                <w:kern w:val="0"/>
                <w:sz w:val="24"/>
                <w:lang w:val="en-US" w:eastAsia="zh-CN" w:bidi="en-US"/>
              </w:rPr>
              <w:t>3</w:t>
            </w:r>
            <w:r>
              <w:rPr>
                <w:rFonts w:hint="default" w:ascii="Times New Roman" w:hAnsi="Times New Roman" w:eastAsia="宋体" w:cs="Times New Roman"/>
                <w:color w:val="auto"/>
                <w:kern w:val="0"/>
                <w:sz w:val="24"/>
                <w:lang w:val="en-US" w:eastAsia="zh-CN" w:bidi="en-US"/>
              </w:rPr>
              <w:t>回集电线路，其中架空部分由同塔双回线路将光伏方阵电量送至本期新建升压站，路径长共计约2.8km。</w:t>
            </w:r>
          </w:p>
          <w:p w14:paraId="72AEC1D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lang w:val="en-US" w:eastAsia="zh-CN" w:bidi="en-US"/>
              </w:rPr>
            </w:pPr>
            <w:r>
              <w:rPr>
                <w:rFonts w:hint="default" w:ascii="Times New Roman" w:hAnsi="Times New Roman" w:eastAsia="宋体" w:cs="Times New Roman"/>
                <w:color w:val="auto"/>
                <w:kern w:val="0"/>
                <w:sz w:val="24"/>
                <w:lang w:val="en-US" w:eastAsia="zh-CN" w:bidi="en-US"/>
              </w:rPr>
              <w:t>本工程架空集电线路电压等级为35kV，按10mm覆冰，25m/s基本风速设计，全线双回路架设，路径总长约2.8km，导线为JL/G1A-240/30钢芯铝绞线，采用</w:t>
            </w:r>
            <w:r>
              <w:rPr>
                <w:rFonts w:hint="eastAsia" w:ascii="Times New Roman" w:hAnsi="Times New Roman" w:eastAsia="宋体" w:cs="Times New Roman"/>
                <w:color w:val="auto"/>
                <w:kern w:val="0"/>
                <w:sz w:val="24"/>
                <w:lang w:val="en-US" w:eastAsia="zh-CN" w:bidi="en-US"/>
              </w:rPr>
              <w:t>2</w:t>
            </w:r>
            <w:r>
              <w:rPr>
                <w:rFonts w:hint="default" w:ascii="Times New Roman" w:hAnsi="Times New Roman" w:eastAsia="宋体" w:cs="Times New Roman"/>
                <w:color w:val="auto"/>
                <w:kern w:val="0"/>
                <w:sz w:val="24"/>
                <w:lang w:val="en-US" w:eastAsia="zh-CN" w:bidi="en-US"/>
              </w:rPr>
              <w:t>根OPGW-50光缆</w:t>
            </w:r>
            <w:r>
              <w:rPr>
                <w:rFonts w:hint="eastAsia" w:ascii="Times New Roman" w:hAnsi="Times New Roman" w:eastAsia="宋体" w:cs="Times New Roman"/>
                <w:color w:val="auto"/>
                <w:kern w:val="0"/>
                <w:sz w:val="24"/>
                <w:lang w:val="en-US" w:eastAsia="zh-CN" w:bidi="en-US"/>
              </w:rPr>
              <w:t>。</w:t>
            </w:r>
          </w:p>
          <w:p w14:paraId="02136A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bidi="en-US"/>
              </w:rPr>
              <w:t>本工程杆塔：全线采用自立式铁塔1</w:t>
            </w:r>
            <w:r>
              <w:rPr>
                <w:rFonts w:hint="eastAsia" w:ascii="Times New Roman" w:hAnsi="Times New Roman" w:eastAsia="宋体" w:cs="Times New Roman"/>
                <w:color w:val="auto"/>
                <w:kern w:val="0"/>
                <w:sz w:val="24"/>
                <w:lang w:val="en-US" w:eastAsia="zh-CN"/>
              </w:rPr>
              <w:t>2基，其中直线塔5基，耐张塔7基。铁塔从底脚板以上9m范围内采用防盗螺栓，防盗螺栓外的螺栓均采用防松罩防松。杆塔与基础的连接方式采用地脚螺栓连接方式。项目12座塔基占地面积为768m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w:t>
            </w:r>
          </w:p>
          <w:p w14:paraId="23C86A83">
            <w:pPr>
              <w:adjustRightInd w:val="0"/>
              <w:snapToGrid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本工程直埋电缆典型剖面如下图所示，开挖尺寸为顶宽1.6m，底宽1m，深1m。铺砂垫层后放置电缆，再铺一层细沙覆盖红砖，然后进行回填。直埋电缆沟开挖长度约28km，在电缆接头处设砖砌电缆井，电缆井尺寸为长×宽×高：1.2m×1.2m×1.0m、1.6m×1.6m×1.0m 两种型式。</w:t>
            </w:r>
          </w:p>
          <w:p w14:paraId="71AD0DD3">
            <w:pPr>
              <w:pStyle w:val="12"/>
              <w:ind w:left="0" w:leftChars="0" w:firstLine="0" w:firstLineChars="0"/>
              <w:rPr>
                <w:rFonts w:hint="eastAsia"/>
                <w:lang w:val="en-US" w:eastAsia="zh-CN"/>
              </w:rPr>
            </w:pPr>
            <w:r>
              <w:drawing>
                <wp:inline distT="0" distB="0" distL="114300" distR="114300">
                  <wp:extent cx="5033645" cy="3054350"/>
                  <wp:effectExtent l="0" t="0" r="14605"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8"/>
                          <a:stretch>
                            <a:fillRect/>
                          </a:stretch>
                        </pic:blipFill>
                        <pic:spPr>
                          <a:xfrm>
                            <a:off x="0" y="0"/>
                            <a:ext cx="5033645" cy="3054350"/>
                          </a:xfrm>
                          <a:prstGeom prst="rect">
                            <a:avLst/>
                          </a:prstGeom>
                          <a:noFill/>
                          <a:ln>
                            <a:noFill/>
                          </a:ln>
                        </pic:spPr>
                      </pic:pic>
                    </a:graphicData>
                  </a:graphic>
                </wp:inline>
              </w:drawing>
            </w:r>
          </w:p>
          <w:p w14:paraId="0CDFFB0A">
            <w:pPr>
              <w:adjustRightInd w:val="0"/>
              <w:snapToGrid w:val="0"/>
              <w:spacing w:line="360" w:lineRule="auto"/>
              <w:ind w:firstLine="480" w:firstLineChars="200"/>
              <w:jc w:val="center"/>
              <w:rPr>
                <w:rFonts w:hint="default"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直埋电缆典型剖面示意图</w:t>
            </w:r>
          </w:p>
          <w:p w14:paraId="488F6875">
            <w:pPr>
              <w:adjustRightInd w:val="0"/>
              <w:snapToGrid w:val="0"/>
              <w:spacing w:line="360" w:lineRule="auto"/>
              <w:jc w:val="left"/>
              <w:rPr>
                <w:rFonts w:hint="eastAsia" w:ascii="Times New Roman" w:hAnsi="Times New Roman" w:eastAsia="宋体" w:cs="Times New Roman"/>
                <w:color w:val="auto"/>
                <w:kern w:val="0"/>
                <w:sz w:val="24"/>
                <w:lang w:val="en-US" w:eastAsia="zh-CN"/>
              </w:rPr>
            </w:pPr>
          </w:p>
          <w:p w14:paraId="7E54E87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4.3电气二次</w:t>
            </w:r>
          </w:p>
          <w:p w14:paraId="1F563390">
            <w:pPr>
              <w:numPr>
                <w:ilvl w:val="0"/>
                <w:numId w:val="0"/>
              </w:numPr>
              <w:adjustRightInd w:val="0"/>
              <w:snapToGrid w:val="0"/>
              <w:spacing w:line="360" w:lineRule="auto"/>
              <w:ind w:firstLine="440" w:firstLineChars="200"/>
              <w:jc w:val="left"/>
              <w:rPr>
                <w:rFonts w:hint="eastAsia"/>
                <w:lang w:eastAsia="zh-CN"/>
              </w:rPr>
            </w:pPr>
            <w:r>
              <w:rPr>
                <w:spacing w:val="-10"/>
              </w:rPr>
              <w:t xml:space="preserve">本工程电气二次设计力求安全可靠、经济适用，设备配置和功能要求按“无人值班， </w:t>
            </w:r>
            <w:r>
              <w:t>少人值守”原则设计</w:t>
            </w:r>
            <w:r>
              <w:rPr>
                <w:rFonts w:hint="eastAsia"/>
                <w:lang w:eastAsia="zh-CN"/>
              </w:rPr>
              <w:t>，主要包括</w:t>
            </w:r>
            <w:r>
              <w:rPr>
                <w:rFonts w:hint="eastAsia" w:ascii="Times New Roman" w:hAnsi="Times New Roman" w:eastAsia="宋体" w:cs="Times New Roman"/>
                <w:color w:val="auto"/>
                <w:kern w:val="0"/>
                <w:sz w:val="24"/>
                <w:lang w:val="en-US" w:eastAsia="zh-CN" w:bidi="en-US"/>
              </w:rPr>
              <w:t>计算机监控系统、保护、测量、信号和现地控制、</w:t>
            </w:r>
            <w:r>
              <w:t>专用电压计量装置</w:t>
            </w:r>
            <w:r>
              <w:rPr>
                <w:rFonts w:hint="eastAsia"/>
                <w:lang w:eastAsia="zh-CN"/>
              </w:rPr>
              <w:t>、同步相量测量装置、操作电源、电能质量监测设备、微机五防系统、时间同步系统、AGC/AVC 系统、逆变器监测系统、箱式变监测系统、火灾报警系统、图像监视及公共报警系统、环境监测系统、光功率预测系统、电工实验设备、继电保护和故障信息子站系统、一次调频装置等。</w:t>
            </w:r>
          </w:p>
          <w:p w14:paraId="6D79BB78">
            <w:pPr>
              <w:spacing w:line="360" w:lineRule="auto"/>
              <w:ind w:firstLine="450" w:firstLineChars="200"/>
              <w:rPr>
                <w:rFonts w:hint="eastAsia" w:ascii="宋体" w:hAnsi="宋体" w:eastAsia="宋体" w:cs="宋体"/>
                <w:b/>
                <w:bCs/>
                <w:spacing w:val="-8"/>
                <w:sz w:val="24"/>
                <w:szCs w:val="24"/>
                <w:lang w:val="en-US" w:eastAsia="zh-CN"/>
              </w:rPr>
            </w:pPr>
            <w:r>
              <w:rPr>
                <w:rFonts w:hint="eastAsia" w:ascii="宋体" w:hAnsi="宋体" w:eastAsia="宋体" w:cs="宋体"/>
                <w:b/>
                <w:bCs/>
                <w:spacing w:val="-8"/>
                <w:sz w:val="24"/>
                <w:szCs w:val="24"/>
                <w:lang w:val="en-US" w:eastAsia="zh-CN"/>
              </w:rPr>
              <w:t>4.5升压站</w:t>
            </w:r>
          </w:p>
          <w:p w14:paraId="695662B0">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本项目新建110kV升压站一座，</w:t>
            </w:r>
            <w:r>
              <w:rPr>
                <w:rFonts w:hint="eastAsia" w:ascii="Times New Roman" w:hAnsi="Times New Roman" w:eastAsia="宋体" w:cs="Times New Roman"/>
                <w:sz w:val="24"/>
                <w:szCs w:val="24"/>
                <w:lang w:val="en-US" w:eastAsia="zh-CN"/>
              </w:rPr>
              <w:t>本期设置1台69MVA的主变。</w:t>
            </w:r>
            <w:r>
              <w:rPr>
                <w:rFonts w:hint="default" w:ascii="Times New Roman" w:hAnsi="Times New Roman" w:eastAsia="宋体" w:cs="Times New Roman"/>
                <w:sz w:val="24"/>
                <w:szCs w:val="24"/>
                <w:lang w:val="en-US" w:eastAsia="zh-CN"/>
              </w:rPr>
              <w:t>升压站总布置将场地划分为生产区和生活区两部分</w:t>
            </w:r>
            <w:r>
              <w:rPr>
                <w:rFonts w:hint="eastAsia" w:ascii="Times New Roman" w:hAnsi="Times New Roman" w:eastAsia="宋体" w:cs="Times New Roman"/>
                <w:sz w:val="24"/>
                <w:szCs w:val="24"/>
                <w:lang w:val="en-US" w:eastAsia="zh-CN"/>
              </w:rPr>
              <w:t>。北侧生活区设有生活楼、危废暂存间、回车平台及场内绿化。南侧生产区</w:t>
            </w:r>
            <w:r>
              <w:rPr>
                <w:rFonts w:hint="default" w:ascii="Times New Roman" w:hAnsi="Times New Roman" w:eastAsia="宋体" w:cs="Times New Roman"/>
                <w:sz w:val="24"/>
                <w:szCs w:val="24"/>
                <w:lang w:val="en-US" w:eastAsia="zh-CN"/>
              </w:rPr>
              <w:t>布置户外GIS、SVG、无功补偿装置和配电装置</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生产预制舱、主变、事故油池、电池储能仓</w:t>
            </w:r>
            <w:r>
              <w:rPr>
                <w:rFonts w:hint="eastAsia" w:ascii="Times New Roman" w:hAnsi="Times New Roman" w:eastAsia="宋体" w:cs="Times New Roman"/>
                <w:sz w:val="24"/>
                <w:szCs w:val="24"/>
                <w:lang w:val="en-US" w:eastAsia="zh-CN"/>
              </w:rPr>
              <w:t>。升压站还设有危废暂存间、一般固废暂存间。</w:t>
            </w:r>
          </w:p>
          <w:p w14:paraId="2DDD8CDC">
            <w:pPr>
              <w:spacing w:line="360" w:lineRule="auto"/>
              <w:ind w:firstLine="482" w:firstLineChars="200"/>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eastAsia="zh-CN"/>
              </w:rPr>
              <w:t>（</w:t>
            </w:r>
            <w:r>
              <w:rPr>
                <w:rFonts w:hint="eastAsia" w:ascii="Times New Roman" w:hAnsi="Times New Roman" w:eastAsia="宋体" w:cs="Times New Roman"/>
                <w:b/>
                <w:bCs/>
                <w:sz w:val="24"/>
                <w:szCs w:val="24"/>
                <w:lang w:val="en-US" w:eastAsia="zh-CN"/>
              </w:rPr>
              <w:t>1</w:t>
            </w:r>
            <w:r>
              <w:rPr>
                <w:rFonts w:hint="eastAsia" w:ascii="Times New Roman" w:hAnsi="Times New Roman" w:eastAsia="宋体" w:cs="Times New Roman"/>
                <w:b/>
                <w:bCs/>
                <w:sz w:val="24"/>
                <w:szCs w:val="24"/>
                <w:lang w:eastAsia="zh-CN"/>
              </w:rPr>
              <w:t>）</w:t>
            </w:r>
            <w:r>
              <w:rPr>
                <w:rFonts w:ascii="Times New Roman" w:eastAsia="Times New Roman"/>
                <w:b/>
                <w:bCs/>
              </w:rPr>
              <w:t>110kV</w:t>
            </w:r>
            <w:r>
              <w:rPr>
                <w:b/>
                <w:bCs/>
              </w:rPr>
              <w:t>主变压器</w:t>
            </w:r>
          </w:p>
          <w:p w14:paraId="0D1E8BC7">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型号：SZ18-69000/110GY（节能型、高原型）</w:t>
            </w:r>
          </w:p>
          <w:p w14:paraId="68F47705">
            <w:pPr>
              <w:spacing w:line="36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额定容量：69MVA</w:t>
            </w:r>
          </w:p>
          <w:p w14:paraId="4FAB6A33">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电压比：110±8×1.25%/37kV 阻抗电压：Ud%=10.5%</w:t>
            </w:r>
          </w:p>
          <w:p w14:paraId="4E15703F">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联接组别：YN，d11 调压方式：有载调压</w:t>
            </w:r>
          </w:p>
          <w:p w14:paraId="4A6B00AA">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冷却方式：ONAN（根据《云南电网变电一次设备装备技术导则》中 5.1.3 油浸式电力变压器冷却方式的选择要求，本工程主变容量为 69000kVA，故选用自然冷却（ONAN）冷却方式。）</w:t>
            </w:r>
          </w:p>
          <w:p w14:paraId="7551476E">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按中性点接地方式：110kV 侧按不死接地设计。</w:t>
            </w:r>
          </w:p>
          <w:p w14:paraId="74D8F9C0">
            <w:pPr>
              <w:spacing w:line="360" w:lineRule="auto"/>
              <w:ind w:firstLine="482" w:firstLineChars="200"/>
              <w:rPr>
                <w:rFonts w:hint="default" w:ascii="Times New Roman" w:hAnsi="Times New Roman" w:eastAsia="宋体" w:cs="Times New Roman"/>
                <w:b w:val="0"/>
                <w:bCs w:val="0"/>
                <w:sz w:val="24"/>
                <w:szCs w:val="24"/>
                <w:lang w:eastAsia="zh-CN"/>
              </w:rPr>
            </w:pPr>
            <w:r>
              <w:rPr>
                <w:rFonts w:hint="eastAsia" w:ascii="Times New Roman" w:hAnsi="Times New Roman" w:eastAsia="宋体" w:cs="Times New Roman"/>
                <w:b/>
                <w:bCs/>
                <w:sz w:val="24"/>
                <w:szCs w:val="24"/>
                <w:lang w:val="en-US" w:eastAsia="zh-CN"/>
              </w:rPr>
              <w:t xml:space="preserve">（2） </w:t>
            </w:r>
            <w:r>
              <w:rPr>
                <w:rFonts w:hint="default" w:ascii="Times New Roman" w:hAnsi="Times New Roman" w:eastAsia="宋体" w:cs="Times New Roman"/>
                <w:b/>
                <w:bCs/>
                <w:sz w:val="24"/>
                <w:szCs w:val="24"/>
                <w:lang w:eastAsia="zh-CN"/>
              </w:rPr>
              <w:t>110kV配电装置采用GIS设</w:t>
            </w:r>
            <w:r>
              <w:rPr>
                <w:rFonts w:hint="default" w:ascii="Times New Roman" w:hAnsi="Times New Roman" w:eastAsia="宋体" w:cs="Times New Roman"/>
                <w:b w:val="0"/>
                <w:bCs w:val="0"/>
                <w:sz w:val="24"/>
                <w:szCs w:val="24"/>
                <w:lang w:eastAsia="zh-CN"/>
              </w:rPr>
              <w:t>备</w:t>
            </w:r>
          </w:p>
          <w:p w14:paraId="2313CBE8">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0"/>
                <w:sz w:val="24"/>
                <w:lang w:val="en-US" w:eastAsia="zh-CN"/>
              </w:rPr>
            </w:pPr>
            <w:r>
              <w:rPr>
                <w:rFonts w:hint="eastAsia" w:ascii="Times New Roman" w:hAnsi="Times New Roman" w:eastAsia="宋体" w:cs="Times New Roman"/>
                <w:color w:val="auto"/>
                <w:kern w:val="0"/>
                <w:sz w:val="24"/>
                <w:lang w:val="en-US" w:eastAsia="zh-CN"/>
              </w:rPr>
              <w:t>根据项目可行性研究报告对比110kV 配电装置有户外敞开式配电装置（AIS）和六氟化硫组合电器（GIS）两种方案。相比之下六氟化硫组合电器（GIS）运行可靠性更高，占地面积更小，经济性与AIS 相差不大，因此，本阶段推荐采用方案二六氟化硫全封闭组合电器（GIS）作为本工程 110kV 配电装置。</w:t>
            </w:r>
          </w:p>
          <w:p w14:paraId="54696C73">
            <w:pPr>
              <w:keepNext w:val="0"/>
              <w:keepLines w:val="0"/>
              <w:widowControl/>
              <w:suppressLineNumbers w:val="0"/>
              <w:jc w:val="center"/>
              <w:rPr>
                <w:rFonts w:hint="default" w:ascii="Times New Roman" w:hAnsi="Times New Roman" w:cs="Times New Roman"/>
                <w:b/>
                <w:bCs/>
                <w:sz w:val="21"/>
                <w:szCs w:val="21"/>
                <w:lang w:eastAsia="zh-CN"/>
              </w:rPr>
            </w:pPr>
          </w:p>
          <w:p w14:paraId="340981D6">
            <w:pPr>
              <w:keepNext w:val="0"/>
              <w:keepLines w:val="0"/>
              <w:widowControl/>
              <w:suppressLineNumbers w:val="0"/>
              <w:jc w:val="center"/>
              <w:rPr>
                <w:rFonts w:hint="eastAsia"/>
                <w:lang w:val="en-US" w:eastAsia="zh-CN"/>
              </w:rPr>
            </w:pPr>
            <w:r>
              <w:rPr>
                <w:rFonts w:hint="default"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2-5</w:t>
            </w:r>
            <w:r>
              <w:rPr>
                <w:rFonts w:hint="default" w:ascii="Times New Roman" w:hAnsi="Times New Roman" w:cs="Times New Roman"/>
                <w:b/>
                <w:bCs/>
                <w:sz w:val="21"/>
                <w:szCs w:val="21"/>
                <w:lang w:eastAsia="zh-CN"/>
              </w:rPr>
              <w:t xml:space="preserve">  </w:t>
            </w:r>
            <w:r>
              <w:rPr>
                <w:rFonts w:hint="eastAsia" w:ascii="Times New Roman" w:hAnsi="Times New Roman" w:cs="Times New Roman"/>
                <w:b/>
                <w:bCs/>
                <w:sz w:val="21"/>
                <w:szCs w:val="21"/>
                <w:lang w:val="en-US" w:eastAsia="zh-CN"/>
              </w:rPr>
              <w:t>GIS</w:t>
            </w:r>
            <w:r>
              <w:rPr>
                <w:rFonts w:hint="default" w:ascii="Times New Roman" w:hAnsi="Times New Roman" w:cs="Times New Roman"/>
                <w:b/>
                <w:bCs/>
                <w:sz w:val="21"/>
                <w:szCs w:val="21"/>
                <w:lang w:eastAsia="zh-CN"/>
              </w:rPr>
              <w:t>主要设备</w:t>
            </w:r>
            <w:r>
              <w:rPr>
                <w:rFonts w:hint="eastAsia" w:ascii="Times New Roman" w:hAnsi="Times New Roman" w:cs="Times New Roman"/>
                <w:b/>
                <w:bCs/>
                <w:sz w:val="21"/>
                <w:szCs w:val="21"/>
                <w:lang w:eastAsia="zh-CN"/>
              </w:rPr>
              <w:t>参数</w:t>
            </w:r>
          </w:p>
          <w:tbl>
            <w:tblPr>
              <w:tblStyle w:val="33"/>
              <w:tblW w:w="7816"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6"/>
              <w:gridCol w:w="4503"/>
              <w:gridCol w:w="1697"/>
            </w:tblGrid>
            <w:tr w14:paraId="3CE9E9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5C32D5B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4503" w:type="dxa"/>
                  <w:tcBorders>
                    <w:tl2br w:val="nil"/>
                    <w:tr2bl w:val="nil"/>
                  </w:tcBorders>
                  <w:vAlign w:val="top"/>
                </w:tcPr>
                <w:p w14:paraId="495DD5D0">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型式及主要参数</w:t>
                  </w:r>
                </w:p>
              </w:tc>
              <w:tc>
                <w:tcPr>
                  <w:tcW w:w="1697" w:type="dxa"/>
                  <w:tcBorders>
                    <w:tl2br w:val="nil"/>
                    <w:tr2bl w:val="nil"/>
                  </w:tcBorders>
                  <w:vAlign w:val="top"/>
                </w:tcPr>
                <w:p w14:paraId="25D2266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316A5D0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59F1AD5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110kV断路器</w:t>
                  </w:r>
                </w:p>
              </w:tc>
              <w:tc>
                <w:tcPr>
                  <w:tcW w:w="4503" w:type="dxa"/>
                  <w:tcBorders>
                    <w:tl2br w:val="nil"/>
                    <w:tr2bl w:val="nil"/>
                  </w:tcBorders>
                  <w:vAlign w:val="top"/>
                </w:tcPr>
                <w:p w14:paraId="35EB73A8">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额定电压：126kV；额定频率：50Hz；</w:t>
                  </w:r>
                </w:p>
                <w:p w14:paraId="1CDC19CF">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额定电流：400A；额定短路开断电流：40kA； </w:t>
                  </w:r>
                </w:p>
                <w:p w14:paraId="0B4F2E93">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额定短时耐受电流：40kA；额定短路关合电流：100kA；额定峰值耐受电流：100kA； </w:t>
                  </w:r>
                </w:p>
                <w:p w14:paraId="3D144F9E">
                  <w:pPr>
                    <w:pStyle w:val="12"/>
                    <w:ind w:left="0" w:leftChars="0"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额定短路持续时间：3S；</w:t>
                  </w:r>
                </w:p>
              </w:tc>
              <w:tc>
                <w:tcPr>
                  <w:tcW w:w="1697" w:type="dxa"/>
                  <w:tcBorders>
                    <w:tl2br w:val="nil"/>
                    <w:tr2bl w:val="nil"/>
                  </w:tcBorders>
                  <w:vAlign w:val="top"/>
                </w:tcPr>
                <w:p w14:paraId="1A350CF5">
                  <w:pPr>
                    <w:pStyle w:val="10"/>
                    <w:spacing w:before="3"/>
                    <w:jc w:val="center"/>
                  </w:pPr>
                  <w:r>
                    <w:t>数量：</w:t>
                  </w:r>
                  <w:r>
                    <w:rPr>
                      <w:rFonts w:ascii="Times New Roman" w:eastAsia="Times New Roman"/>
                    </w:rPr>
                    <w:t xml:space="preserve">1 </w:t>
                  </w:r>
                  <w:r>
                    <w:t>组</w:t>
                  </w:r>
                </w:p>
                <w:p w14:paraId="0CE8C06B">
                  <w:pPr>
                    <w:spacing w:line="240" w:lineRule="auto"/>
                    <w:jc w:val="center"/>
                    <w:rPr>
                      <w:rFonts w:hint="default" w:ascii="Times New Roman" w:hAnsi="Times New Roman" w:eastAsia="宋体" w:cs="Times New Roman"/>
                      <w:sz w:val="21"/>
                      <w:szCs w:val="21"/>
                    </w:rPr>
                  </w:pPr>
                </w:p>
              </w:tc>
            </w:tr>
            <w:tr w14:paraId="02922A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780EA7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110kV单接地隔离开关</w:t>
                  </w:r>
                </w:p>
              </w:tc>
              <w:tc>
                <w:tcPr>
                  <w:tcW w:w="4503" w:type="dxa"/>
                  <w:tcBorders>
                    <w:tl2br w:val="nil"/>
                    <w:tr2bl w:val="nil"/>
                  </w:tcBorders>
                  <w:vAlign w:val="top"/>
                </w:tcPr>
                <w:p w14:paraId="317B90C4">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额定电压：126kV；额定频率：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0Hz；额定电流：400A；额定短时耐受电流：40kA；额定峰值耐受电流：100kA；额定短路持续时间：3s；数量：1 组。</w:t>
                  </w:r>
                </w:p>
              </w:tc>
              <w:tc>
                <w:tcPr>
                  <w:tcW w:w="1697" w:type="dxa"/>
                  <w:tcBorders>
                    <w:tl2br w:val="nil"/>
                    <w:tr2bl w:val="nil"/>
                  </w:tcBorders>
                  <w:vAlign w:val="top"/>
                </w:tcPr>
                <w:p w14:paraId="48C90CD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1组</w:t>
                  </w:r>
                </w:p>
              </w:tc>
            </w:tr>
            <w:tr w14:paraId="5EAC3D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6DF11FB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110kV双接地隔离开关</w:t>
                  </w:r>
                </w:p>
              </w:tc>
              <w:tc>
                <w:tcPr>
                  <w:tcW w:w="4503" w:type="dxa"/>
                  <w:tcBorders>
                    <w:tl2br w:val="nil"/>
                    <w:tr2bl w:val="nil"/>
                  </w:tcBorders>
                  <w:vAlign w:val="top"/>
                </w:tcPr>
                <w:p w14:paraId="3A613F38">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126kV；额定频率：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0Hz；额定电流：400A；额定短时耐受电流：40kA；额定峰值耐受电流：100kA；额定短路持续时间：3s；数量1组。</w:t>
                  </w:r>
                </w:p>
              </w:tc>
              <w:tc>
                <w:tcPr>
                  <w:tcW w:w="1697" w:type="dxa"/>
                  <w:tcBorders>
                    <w:tl2br w:val="nil"/>
                    <w:tr2bl w:val="nil"/>
                  </w:tcBorders>
                  <w:vAlign w:val="top"/>
                </w:tcPr>
                <w:p w14:paraId="07481168">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1组</w:t>
                  </w:r>
                </w:p>
              </w:tc>
            </w:tr>
            <w:tr w14:paraId="5A58B7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417C54C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110kV线路电压互感器</w:t>
                  </w:r>
                </w:p>
              </w:tc>
              <w:tc>
                <w:tcPr>
                  <w:tcW w:w="4503" w:type="dxa"/>
                  <w:tcBorders>
                    <w:tl2br w:val="nil"/>
                    <w:tr2bl w:val="nil"/>
                  </w:tcBorders>
                  <w:vAlign w:val="top"/>
                </w:tcPr>
                <w:p w14:paraId="3C379FEA">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额定电压：110kV；额定频率：</w:t>
                  </w:r>
                  <w:r>
                    <w:rPr>
                      <w:rFonts w:hint="eastAsia"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lang w:val="en-US" w:eastAsia="zh-CN"/>
                    </w:rPr>
                    <w:t>0Hz；</w:t>
                  </w:r>
                </w:p>
                <w:p w14:paraId="347E612A">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准确级输出：0.2/0.5/3P/3P</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数量：3 台。</w:t>
                  </w:r>
                </w:p>
                <w:p w14:paraId="247BEA1B">
                  <w:pPr>
                    <w:pStyle w:val="12"/>
                    <w:ind w:left="0" w:leftChars="0" w:firstLine="0" w:firstLineChars="0"/>
                    <w:rPr>
                      <w:rFonts w:hint="default" w:ascii="Times New Roman" w:hAnsi="Times New Roman" w:eastAsia="宋体" w:cs="Times New Roman"/>
                      <w:sz w:val="21"/>
                      <w:szCs w:val="21"/>
                      <w:lang w:val="en-US" w:eastAsia="zh-CN"/>
                    </w:rPr>
                  </w:pPr>
                </w:p>
              </w:tc>
              <w:tc>
                <w:tcPr>
                  <w:tcW w:w="1697" w:type="dxa"/>
                  <w:tcBorders>
                    <w:tl2br w:val="nil"/>
                    <w:tr2bl w:val="nil"/>
                  </w:tcBorders>
                  <w:vAlign w:val="top"/>
                </w:tcPr>
                <w:p w14:paraId="4D79CFB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数量：3台</w:t>
                  </w:r>
                </w:p>
              </w:tc>
            </w:tr>
            <w:tr w14:paraId="7E4857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83B0A0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110kV线路侧氧化锌避雷器</w:t>
                  </w:r>
                </w:p>
              </w:tc>
              <w:tc>
                <w:tcPr>
                  <w:tcW w:w="4503" w:type="dxa"/>
                  <w:tcBorders>
                    <w:tl2br w:val="nil"/>
                    <w:tr2bl w:val="nil"/>
                  </w:tcBorders>
                  <w:vAlign w:val="top"/>
                </w:tcPr>
                <w:p w14:paraId="6F3CDA0B">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型式：HY10W-108/281GY</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sz w:val="21"/>
                      <w:szCs w:val="21"/>
                      <w:lang w:val="en-US" w:eastAsia="zh-CN"/>
                    </w:rPr>
                    <w:t xml:space="preserve">额定电压（有效值）：110kV；操作冲击电流残压峰值：108kV； 雷电冲击电流残压峰值：281kV； </w:t>
                  </w:r>
                </w:p>
                <w:p w14:paraId="5A457E89">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陡波冲击电流残压峰值：315kV； </w:t>
                  </w:r>
                </w:p>
                <w:p w14:paraId="0BC35093">
                  <w:pPr>
                    <w:pStyle w:val="12"/>
                    <w:ind w:left="0" w:leftChars="0"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数量：3 台。</w:t>
                  </w:r>
                </w:p>
              </w:tc>
              <w:tc>
                <w:tcPr>
                  <w:tcW w:w="1697" w:type="dxa"/>
                  <w:tcBorders>
                    <w:tl2br w:val="nil"/>
                    <w:tr2bl w:val="nil"/>
                  </w:tcBorders>
                  <w:vAlign w:val="top"/>
                </w:tcPr>
                <w:p w14:paraId="2B99755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数量：3台</w:t>
                  </w:r>
                </w:p>
              </w:tc>
            </w:tr>
          </w:tbl>
          <w:p w14:paraId="559DFA72">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 35kV预制舱主要设备</w:t>
            </w:r>
          </w:p>
          <w:p w14:paraId="1FD92BA8">
            <w:pPr>
              <w:spacing w:line="360" w:lineRule="auto"/>
              <w:ind w:firstLine="480" w:firstLineChars="200"/>
              <w:rPr>
                <w:rFonts w:hint="default" w:ascii="Times New Roman" w:hAnsi="Times New Roman" w:cs="Times New Roman"/>
              </w:rPr>
            </w:pPr>
            <w:r>
              <w:rPr>
                <w:rFonts w:hint="default" w:ascii="Times New Roman" w:hAnsi="Times New Roman" w:cs="Times New Roman" w:eastAsiaTheme="minorEastAsia"/>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5kV配电装置采用户内移开式开关柜。按如下配置：主变线路组柜1面，光伏电缆进线柜3面，母线电压互感器柜1面，动态无功补偿柜1面，接地变柜1面，站用变</w:t>
            </w:r>
            <w:r>
              <w:rPr>
                <w:rFonts w:hint="default" w:ascii="Times New Roman" w:hAnsi="Times New Roman" w:cs="Times New Roman"/>
              </w:rPr>
              <w:t>柜</w:t>
            </w:r>
            <w:r>
              <w:rPr>
                <w:rFonts w:hint="default" w:ascii="Times New Roman" w:hAnsi="Times New Roman" w:eastAsia="Times New Roman" w:cs="Times New Roman"/>
              </w:rPr>
              <w:t>1</w:t>
            </w:r>
            <w:r>
              <w:rPr>
                <w:rFonts w:hint="default" w:ascii="Times New Roman" w:hAnsi="Times New Roman" w:cs="Times New Roman"/>
              </w:rPr>
              <w:t>面，储能进线柜</w:t>
            </w:r>
            <w:r>
              <w:rPr>
                <w:rFonts w:hint="default" w:ascii="Times New Roman" w:hAnsi="Times New Roman" w:eastAsia="Times New Roman" w:cs="Times New Roman"/>
              </w:rPr>
              <w:t>1</w:t>
            </w:r>
            <w:r>
              <w:rPr>
                <w:rFonts w:hint="default" w:ascii="Times New Roman" w:hAnsi="Times New Roman" w:cs="Times New Roman"/>
              </w:rPr>
              <w:t>面，共计</w:t>
            </w:r>
            <w:r>
              <w:rPr>
                <w:rFonts w:hint="default" w:ascii="Times New Roman" w:hAnsi="Times New Roman" w:eastAsia="Times New Roman" w:cs="Times New Roman"/>
              </w:rPr>
              <w:t>9</w:t>
            </w:r>
            <w:r>
              <w:rPr>
                <w:rFonts w:hint="default" w:ascii="Times New Roman" w:hAnsi="Times New Roman" w:cs="Times New Roman"/>
              </w:rPr>
              <w:t>面开关柜。</w:t>
            </w:r>
          </w:p>
          <w:p w14:paraId="1E8AC9B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cs="Times New Roman"/>
              </w:rPr>
              <w:t>除无功补偿柜内配置</w:t>
            </w:r>
            <w:r>
              <w:rPr>
                <w:rFonts w:hint="default" w:ascii="Times New Roman" w:hAnsi="Times New Roman" w:eastAsia="Times New Roman" w:cs="Times New Roman"/>
              </w:rPr>
              <w:t>SF6</w:t>
            </w:r>
            <w:r>
              <w:rPr>
                <w:rFonts w:hint="default" w:ascii="Times New Roman" w:hAnsi="Times New Roman" w:cs="Times New Roman"/>
              </w:rPr>
              <w:t>断路器外其余柜内均配置真空断路器，具体选型如下：</w:t>
            </w:r>
            <w:r>
              <w:rPr>
                <w:rFonts w:hint="default" w:ascii="Times New Roman" w:hAnsi="Times New Roman" w:eastAsia="宋体" w:cs="Times New Roman"/>
                <w:lang w:eastAsia="zh-CN"/>
              </w:rPr>
              <w:t>。</w:t>
            </w:r>
          </w:p>
          <w:p w14:paraId="4D79AB5D">
            <w:pPr>
              <w:keepNext w:val="0"/>
              <w:keepLines w:val="0"/>
              <w:widowControl/>
              <w:suppressLineNumbers w:val="0"/>
              <w:jc w:val="center"/>
            </w:pPr>
            <w:r>
              <w:rPr>
                <w:rFonts w:hint="default" w:ascii="Times New Roman" w:hAnsi="Times New Roman" w:cs="Times New Roman"/>
                <w:b/>
                <w:bCs/>
                <w:sz w:val="21"/>
                <w:szCs w:val="21"/>
                <w:lang w:eastAsia="zh-CN"/>
              </w:rPr>
              <w:t>表</w:t>
            </w:r>
            <w:r>
              <w:rPr>
                <w:rFonts w:hint="eastAsia" w:ascii="Times New Roman" w:hAnsi="Times New Roman" w:cs="Times New Roman"/>
                <w:b/>
                <w:bCs/>
                <w:sz w:val="21"/>
                <w:szCs w:val="21"/>
                <w:lang w:val="en-US" w:eastAsia="zh-CN"/>
              </w:rPr>
              <w:t>2-6</w:t>
            </w:r>
            <w:r>
              <w:rPr>
                <w:rFonts w:hint="default" w:ascii="Times New Roman" w:hAnsi="Times New Roman" w:cs="Times New Roman"/>
                <w:b/>
                <w:bCs/>
                <w:sz w:val="21"/>
                <w:szCs w:val="21"/>
                <w:lang w:eastAsia="zh-CN"/>
              </w:rPr>
              <w:t xml:space="preserve">   35kV 主要设备</w:t>
            </w:r>
            <w:r>
              <w:rPr>
                <w:rFonts w:hint="eastAsia" w:ascii="Times New Roman" w:hAnsi="Times New Roman" w:cs="Times New Roman"/>
                <w:b/>
                <w:bCs/>
                <w:sz w:val="21"/>
                <w:szCs w:val="21"/>
                <w:lang w:eastAsia="zh-CN"/>
              </w:rPr>
              <w:t>参数</w:t>
            </w:r>
          </w:p>
          <w:tbl>
            <w:tblPr>
              <w:tblStyle w:val="33"/>
              <w:tblW w:w="7816" w:type="dxa"/>
              <w:tblInd w:w="-1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616"/>
              <w:gridCol w:w="4503"/>
              <w:gridCol w:w="1697"/>
            </w:tblGrid>
            <w:tr w14:paraId="6110A2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7AE52788">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设备名称</w:t>
                  </w:r>
                </w:p>
              </w:tc>
              <w:tc>
                <w:tcPr>
                  <w:tcW w:w="4503" w:type="dxa"/>
                  <w:tcBorders>
                    <w:tl2br w:val="nil"/>
                    <w:tr2bl w:val="nil"/>
                  </w:tcBorders>
                  <w:vAlign w:val="top"/>
                </w:tcPr>
                <w:p w14:paraId="06C8F9E8">
                  <w:pPr>
                    <w:spacing w:line="240" w:lineRule="auto"/>
                    <w:jc w:val="center"/>
                    <w:rPr>
                      <w:rFonts w:hint="eastAsia"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rPr>
                    <w:t>型式及主要参数</w:t>
                  </w:r>
                  <w:r>
                    <w:rPr>
                      <w:rFonts w:hint="eastAsia" w:ascii="Times New Roman" w:hAnsi="Times New Roman" w:eastAsia="宋体" w:cs="Times New Roman"/>
                      <w:b/>
                      <w:bCs/>
                      <w:sz w:val="21"/>
                      <w:szCs w:val="21"/>
                      <w:lang w:eastAsia="zh-CN"/>
                    </w:rPr>
                    <w:t>（</w:t>
                  </w:r>
                  <w:r>
                    <w:rPr>
                      <w:b/>
                      <w:bCs/>
                      <w:sz w:val="21"/>
                      <w:szCs w:val="21"/>
                    </w:rPr>
                    <w:t>每面内装</w:t>
                  </w:r>
                  <w:r>
                    <w:rPr>
                      <w:rFonts w:hint="eastAsia" w:ascii="Times New Roman" w:hAnsi="Times New Roman" w:eastAsia="宋体" w:cs="Times New Roman"/>
                      <w:b/>
                      <w:bCs/>
                      <w:sz w:val="21"/>
                      <w:szCs w:val="21"/>
                      <w:lang w:eastAsia="zh-CN"/>
                    </w:rPr>
                    <w:t>）</w:t>
                  </w:r>
                </w:p>
              </w:tc>
              <w:tc>
                <w:tcPr>
                  <w:tcW w:w="1697" w:type="dxa"/>
                  <w:tcBorders>
                    <w:tl2br w:val="nil"/>
                    <w:tr2bl w:val="nil"/>
                  </w:tcBorders>
                  <w:vAlign w:val="top"/>
                </w:tcPr>
                <w:p w14:paraId="04B8229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703223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112105B6">
                  <w:pPr>
                    <w:spacing w:line="240" w:lineRule="auto"/>
                    <w:jc w:val="center"/>
                    <w:rPr>
                      <w:rFonts w:hint="default" w:ascii="Times New Roman" w:hAnsi="Times New Roman" w:eastAsia="宋体" w:cs="Times New Roman"/>
                      <w:sz w:val="21"/>
                      <w:szCs w:val="21"/>
                    </w:rPr>
                  </w:pPr>
                  <w:r>
                    <w:rPr>
                      <w:sz w:val="21"/>
                      <w:szCs w:val="21"/>
                    </w:rPr>
                    <w:t>母线</w:t>
                  </w:r>
                  <w:r>
                    <w:rPr>
                      <w:rFonts w:ascii="Times New Roman" w:hAnsi="Times New Roman" w:eastAsia="Times New Roman"/>
                      <w:sz w:val="21"/>
                      <w:szCs w:val="21"/>
                    </w:rPr>
                    <w:t>PT</w:t>
                  </w:r>
                  <w:r>
                    <w:rPr>
                      <w:sz w:val="21"/>
                      <w:szCs w:val="21"/>
                    </w:rPr>
                    <w:t>柜</w:t>
                  </w:r>
                </w:p>
              </w:tc>
              <w:tc>
                <w:tcPr>
                  <w:tcW w:w="4503" w:type="dxa"/>
                  <w:tcBorders>
                    <w:tl2br w:val="nil"/>
                    <w:tr2bl w:val="nil"/>
                  </w:tcBorders>
                  <w:vAlign w:val="top"/>
                </w:tcPr>
                <w:p w14:paraId="27D92315">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熔断器：XRNP1-40.5/0.5A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1只</w:t>
                  </w:r>
                </w:p>
                <w:p w14:paraId="00DBA582">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电压互感器：0.2/0.5/3P/3P</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rPr>
                    <w:t>3只</w:t>
                  </w:r>
                </w:p>
                <w:p w14:paraId="4ECF6601">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2864EDDF">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消谐器：LXQ-40.5，35kV1只</w:t>
                  </w:r>
                </w:p>
                <w:p w14:paraId="042898FA">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630A 31.5kA</w:t>
                  </w:r>
                </w:p>
                <w:p w14:paraId="4B0155A8">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4B4D9A0C">
                  <w:pPr>
                    <w:spacing w:line="240" w:lineRule="auto"/>
                    <w:jc w:val="center"/>
                    <w:rPr>
                      <w:rFonts w:hint="default" w:ascii="Times New Roman" w:hAnsi="Times New Roman" w:eastAsia="宋体" w:cs="Times New Roman"/>
                      <w:sz w:val="21"/>
                      <w:szCs w:val="21"/>
                    </w:rPr>
                  </w:pPr>
                  <w:r>
                    <w:rPr>
                      <w:rFonts w:ascii="Times New Roman" w:hAnsi="Times New Roman" w:eastAsia="Times New Roman"/>
                    </w:rPr>
                    <w:t>1</w:t>
                  </w:r>
                  <w:r>
                    <w:t>面</w:t>
                  </w:r>
                </w:p>
              </w:tc>
            </w:tr>
            <w:tr w14:paraId="6B92C8E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39A9F53B">
                  <w:pPr>
                    <w:pStyle w:val="12"/>
                    <w:ind w:left="0" w:leftChars="0" w:firstLine="0" w:firstLineChars="0"/>
                    <w:rPr>
                      <w:rFonts w:hint="default"/>
                      <w:sz w:val="21"/>
                      <w:szCs w:val="21"/>
                    </w:rPr>
                  </w:pPr>
                  <w:r>
                    <w:rPr>
                      <w:rFonts w:hint="default"/>
                      <w:sz w:val="21"/>
                      <w:szCs w:val="21"/>
                    </w:rPr>
                    <w:t>光伏电缆进线柜</w:t>
                  </w:r>
                </w:p>
              </w:tc>
              <w:tc>
                <w:tcPr>
                  <w:tcW w:w="4503" w:type="dxa"/>
                  <w:tcBorders>
                    <w:tl2br w:val="nil"/>
                    <w:tr2bl w:val="nil"/>
                  </w:tcBorders>
                  <w:vAlign w:val="top"/>
                </w:tcPr>
                <w:p w14:paraId="1A6B3355">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真空断路器：630A，31.5kA，配弹簧操作机构1台</w:t>
                  </w:r>
                </w:p>
                <w:p w14:paraId="4FA9416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电流互感器：5P30/5P30/0.5/0.2S：600/1A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14595A86">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避雷器：HW5WZ-51/125GY，3只</w:t>
                  </w:r>
                </w:p>
                <w:p w14:paraId="3647321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630A 31.5kA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1组</w:t>
                  </w:r>
                </w:p>
                <w:p w14:paraId="2892BC9E">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零序电流互感器：100/1A，15VA，10P5</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1只</w:t>
                  </w:r>
                </w:p>
                <w:p w14:paraId="2C1FF45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35ADFDFB">
                  <w:pPr>
                    <w:spacing w:line="240" w:lineRule="auto"/>
                    <w:jc w:val="center"/>
                    <w:rPr>
                      <w:rFonts w:hint="default" w:ascii="Times New Roman" w:hAnsi="Times New Roman" w:eastAsia="宋体" w:cs="Times New Roman"/>
                      <w:sz w:val="21"/>
                      <w:szCs w:val="21"/>
                    </w:rPr>
                  </w:pPr>
                  <w:r>
                    <w:rPr>
                      <w:rFonts w:ascii="Times New Roman" w:hAnsi="Times New Roman" w:eastAsia="Times New Roman"/>
                      <w:sz w:val="21"/>
                      <w:szCs w:val="21"/>
                    </w:rPr>
                    <w:t>3</w:t>
                  </w:r>
                  <w:r>
                    <w:rPr>
                      <w:sz w:val="21"/>
                      <w:szCs w:val="21"/>
                    </w:rPr>
                    <w:t>面</w:t>
                  </w:r>
                </w:p>
              </w:tc>
            </w:tr>
            <w:tr w14:paraId="3CDBFDC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1D6AF11B">
                  <w:pPr>
                    <w:pStyle w:val="12"/>
                    <w:ind w:left="0" w:leftChars="0" w:firstLine="0" w:firstLineChars="0"/>
                    <w:rPr>
                      <w:rFonts w:hint="default"/>
                      <w:sz w:val="21"/>
                      <w:szCs w:val="21"/>
                    </w:rPr>
                  </w:pPr>
                  <w:r>
                    <w:rPr>
                      <w:sz w:val="21"/>
                      <w:szCs w:val="21"/>
                    </w:rPr>
                    <w:t>主变进线柜</w:t>
                  </w:r>
                </w:p>
              </w:tc>
              <w:tc>
                <w:tcPr>
                  <w:tcW w:w="4503" w:type="dxa"/>
                  <w:tcBorders>
                    <w:tl2br w:val="nil"/>
                    <w:tr2bl w:val="nil"/>
                  </w:tcBorders>
                  <w:vAlign w:val="top"/>
                </w:tcPr>
                <w:p w14:paraId="1175DC9B">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1250A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31.5kA，配弹簧操作机构1台</w:t>
                  </w:r>
                </w:p>
                <w:p w14:paraId="68CCA98B">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1250A 31.5kA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1组</w:t>
                  </w:r>
                </w:p>
                <w:p w14:paraId="696A667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带电显示装置1台</w:t>
                  </w:r>
                </w:p>
              </w:tc>
              <w:tc>
                <w:tcPr>
                  <w:tcW w:w="1697" w:type="dxa"/>
                  <w:tcBorders>
                    <w:tl2br w:val="nil"/>
                    <w:tr2bl w:val="nil"/>
                  </w:tcBorders>
                  <w:vAlign w:val="top"/>
                </w:tcPr>
                <w:p w14:paraId="4D566AD2">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34804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2C1FF0BF">
                  <w:pPr>
                    <w:pStyle w:val="12"/>
                    <w:ind w:left="0" w:leftChars="0" w:firstLine="0" w:firstLineChars="0"/>
                    <w:rPr>
                      <w:sz w:val="21"/>
                      <w:szCs w:val="21"/>
                    </w:rPr>
                  </w:pPr>
                  <w:r>
                    <w:rPr>
                      <w:sz w:val="21"/>
                      <w:szCs w:val="21"/>
                    </w:rPr>
                    <w:t>站用变柜</w:t>
                  </w:r>
                </w:p>
              </w:tc>
              <w:tc>
                <w:tcPr>
                  <w:tcW w:w="4503" w:type="dxa"/>
                  <w:tcBorders>
                    <w:tl2br w:val="nil"/>
                    <w:tr2bl w:val="nil"/>
                  </w:tcBorders>
                  <w:vAlign w:val="top"/>
                </w:tcPr>
                <w:p w14:paraId="01FC84EF">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630A，31.5kA，</w:t>
                  </w:r>
                </w:p>
                <w:p w14:paraId="0852E94C">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配弹簧操作机构1台</w:t>
                  </w:r>
                </w:p>
                <w:p w14:paraId="2369501D">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电流互感器：5P30/5P30：500/1A，0.5S/0.2S：100/1A</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rPr>
                    <w:t>3只</w:t>
                  </w:r>
                </w:p>
                <w:p w14:paraId="1B46A8B3">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避雷器：HY5WZ-51/125GY，3只</w:t>
                  </w:r>
                </w:p>
                <w:p w14:paraId="68922724">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31274880">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6B68313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17346EDB">
                  <w:pPr>
                    <w:pStyle w:val="12"/>
                    <w:ind w:left="0" w:leftChars="0" w:firstLine="0" w:firstLineChars="0"/>
                    <w:rPr>
                      <w:sz w:val="21"/>
                      <w:szCs w:val="21"/>
                    </w:rPr>
                  </w:pPr>
                  <w:r>
                    <w:rPr>
                      <w:sz w:val="21"/>
                      <w:szCs w:val="21"/>
                    </w:rPr>
                    <w:t>接地变柜</w:t>
                  </w:r>
                </w:p>
              </w:tc>
              <w:tc>
                <w:tcPr>
                  <w:tcW w:w="4503" w:type="dxa"/>
                  <w:tcBorders>
                    <w:tl2br w:val="nil"/>
                    <w:tr2bl w:val="nil"/>
                  </w:tcBorders>
                  <w:vAlign w:val="top"/>
                </w:tcPr>
                <w:p w14:paraId="719D4162">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真空断路器 630A，31.5kA，配弹簧操作机构 1 台</w:t>
                  </w:r>
                </w:p>
                <w:p w14:paraId="386F8E40">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电流互感器：5P30/5P30：600/1A，0.5S/0.2S：100/1A，3 只</w:t>
                  </w:r>
                </w:p>
                <w:p w14:paraId="212FB183">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避雷器：HY5WZ-51/125GY，3 只</w:t>
                  </w:r>
                </w:p>
                <w:p w14:paraId="0EF77A9A">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121855B6">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r w14:paraId="3E066B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trPr>
              <w:tc>
                <w:tcPr>
                  <w:tcW w:w="1616" w:type="dxa"/>
                  <w:tcBorders>
                    <w:tl2br w:val="nil"/>
                    <w:tr2bl w:val="nil"/>
                  </w:tcBorders>
                  <w:vAlign w:val="top"/>
                </w:tcPr>
                <w:p w14:paraId="1DA2A9A2">
                  <w:pPr>
                    <w:pStyle w:val="12"/>
                    <w:ind w:left="0" w:leftChars="0" w:firstLine="0" w:firstLineChars="0"/>
                    <w:rPr>
                      <w:sz w:val="21"/>
                      <w:szCs w:val="21"/>
                    </w:rPr>
                  </w:pPr>
                  <w:r>
                    <w:rPr>
                      <w:sz w:val="21"/>
                      <w:szCs w:val="21"/>
                    </w:rPr>
                    <w:t>无功补偿柜</w:t>
                  </w:r>
                </w:p>
              </w:tc>
              <w:tc>
                <w:tcPr>
                  <w:tcW w:w="4503" w:type="dxa"/>
                  <w:tcBorders>
                    <w:tl2br w:val="nil"/>
                    <w:tr2bl w:val="nil"/>
                  </w:tcBorders>
                  <w:vAlign w:val="top"/>
                </w:tcPr>
                <w:p w14:paraId="4D239897">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SF6 断路器</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1250A，31.5kA</w:t>
                  </w:r>
                </w:p>
                <w:p w14:paraId="0F1D79A7">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电流互感器：5P30/5P30/5P30.5S/0.2S：600/1A，3 只</w:t>
                  </w:r>
                </w:p>
                <w:p w14:paraId="4D86F076">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避雷器：HY5WR-51/125GY，3 只</w:t>
                  </w:r>
                </w:p>
                <w:p w14:paraId="01A806A2">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三位置开关：40.5kV 1250A 31.5kA</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 组</w:t>
                  </w:r>
                </w:p>
                <w:p w14:paraId="218BA31E">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零序电流互感器：300/5A，15VA，5P10</w:t>
                  </w:r>
                  <w:r>
                    <w:rPr>
                      <w:rFonts w:hint="default" w:ascii="Times New Roman" w:hAnsi="Times New Roman" w:eastAsia="宋体" w:cs="Times New Roman"/>
                      <w:sz w:val="21"/>
                      <w:szCs w:val="21"/>
                    </w:rPr>
                    <w:tab/>
                  </w:r>
                  <w:r>
                    <w:rPr>
                      <w:rFonts w:hint="default" w:ascii="Times New Roman" w:hAnsi="Times New Roman" w:eastAsia="宋体" w:cs="Times New Roman"/>
                      <w:sz w:val="21"/>
                      <w:szCs w:val="21"/>
                    </w:rPr>
                    <w:t>1 只</w:t>
                  </w:r>
                </w:p>
                <w:p w14:paraId="779FF145">
                  <w:pPr>
                    <w:spacing w:line="240" w:lineRule="auto"/>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带电显示装置 1 台</w:t>
                  </w:r>
                </w:p>
              </w:tc>
              <w:tc>
                <w:tcPr>
                  <w:tcW w:w="1697" w:type="dxa"/>
                  <w:tcBorders>
                    <w:tl2br w:val="nil"/>
                    <w:tr2bl w:val="nil"/>
                  </w:tcBorders>
                  <w:vAlign w:val="top"/>
                </w:tcPr>
                <w:p w14:paraId="02F7A331">
                  <w:pPr>
                    <w:spacing w:line="240" w:lineRule="auto"/>
                    <w:jc w:val="center"/>
                    <w:rPr>
                      <w:rFonts w:ascii="Times New Roman" w:hAnsi="Times New Roman" w:eastAsia="Times New Roman"/>
                      <w:sz w:val="21"/>
                      <w:szCs w:val="21"/>
                    </w:rPr>
                  </w:pPr>
                  <w:r>
                    <w:rPr>
                      <w:rFonts w:ascii="Times New Roman" w:hAnsi="Times New Roman" w:eastAsia="Times New Roman"/>
                      <w:sz w:val="21"/>
                      <w:szCs w:val="21"/>
                    </w:rPr>
                    <w:t>1</w:t>
                  </w:r>
                  <w:r>
                    <w:rPr>
                      <w:sz w:val="21"/>
                      <w:szCs w:val="21"/>
                    </w:rPr>
                    <w:t>面</w:t>
                  </w:r>
                </w:p>
              </w:tc>
            </w:tr>
          </w:tbl>
          <w:p w14:paraId="3DB0A197">
            <w:pPr>
              <w:pStyle w:val="25"/>
              <w:numPr>
                <w:ilvl w:val="0"/>
                <w:numId w:val="0"/>
              </w:numPr>
              <w:bidi w:val="0"/>
              <w:spacing w:line="360" w:lineRule="auto"/>
              <w:ind w:leftChars="0" w:firstLine="482" w:firstLineChars="200"/>
              <w:jc w:val="left"/>
              <w:rPr>
                <w:rFonts w:hint="default"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储能装置</w:t>
            </w:r>
          </w:p>
          <w:p w14:paraId="78203F96">
            <w:pPr>
              <w:spacing w:line="360" w:lineRule="auto"/>
              <w:ind w:firstLine="480" w:firstLineChars="200"/>
              <w:jc w:val="left"/>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江东光伏电站项目安装容量88MWp，额定容69MW，结合项目本身特点，为保证供电可靠，本期工程考虑预留10%储能系统位置，实际布置10%储能位置。储能系统设置独立的逆变器和升压变压器，最终直接并入电站的35kV母线，对35kV母线上的发电单元都能进行补偿、平滑。本工程配套建设1套7MW/14MW·h 储能系统。储能系统需采用2台1500kW及2台2000kW储能变流器。储能系统电能通过变流器、升压变压器将蓄电池电能逆变升压至35kV后，以35kV线路接入升压站35kV母线，本项目要采用微网方案进行设计，可以实现无人值守，全智能控制，可以自动实现对整个系统进行能量管理和控制，因此需要配置1套EMS 微电网能量管理系统。</w:t>
            </w:r>
          </w:p>
          <w:p w14:paraId="3D77002B">
            <w:pPr>
              <w:numPr>
                <w:ilvl w:val="0"/>
                <w:numId w:val="0"/>
              </w:numPr>
              <w:rPr>
                <w:rFonts w:hint="eastAsia" w:ascii="Times New Roman" w:hAnsi="Times New Roman" w:eastAsia="宋体" w:cs="Times New Roman"/>
                <w:spacing w:val="-7"/>
                <w:kern w:val="2"/>
                <w:sz w:val="24"/>
                <w:szCs w:val="24"/>
                <w:lang w:val="en-US" w:eastAsia="zh-CN" w:bidi="ar-SA"/>
              </w:rPr>
            </w:pPr>
            <w:r>
              <w:rPr>
                <w:rFonts w:hint="eastAsia" w:ascii="Times New Roman" w:hAnsi="Times New Roman" w:eastAsia="宋体" w:cs="Times New Roman"/>
                <w:spacing w:val="-7"/>
                <w:kern w:val="2"/>
                <w:sz w:val="24"/>
                <w:szCs w:val="24"/>
                <w:lang w:val="en-US" w:eastAsia="zh-CN" w:bidi="ar-SA"/>
              </w:rPr>
              <w:t xml:space="preserve">    </w:t>
            </w:r>
            <w:r>
              <w:rPr>
                <w:rFonts w:hint="eastAsia" w:ascii="Times New Roman" w:hAnsi="Times New Roman" w:eastAsia="宋体" w:cs="Times New Roman"/>
                <w:b/>
                <w:bCs/>
                <w:kern w:val="2"/>
                <w:sz w:val="24"/>
                <w:szCs w:val="24"/>
                <w:lang w:val="en-US" w:eastAsia="zh-CN" w:bidi="ar-SA"/>
              </w:rPr>
              <w:t>（5）蓄电池组</w:t>
            </w:r>
          </w:p>
          <w:p w14:paraId="3440A023">
            <w:pPr>
              <w:pStyle w:val="12"/>
              <w:numPr>
                <w:ilvl w:val="0"/>
                <w:numId w:val="0"/>
              </w:numPr>
              <w:spacing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江东光伏电站项目安装容量88MWp，额定容量69MW，结合项目本身特点，为保证供电可靠。储能容量按10%左右的装机容量考虑，则储能容量为 7MW。蓄电池容量按连续供电两小时计算，负载供电需求：7×2=14MW·h</w:t>
            </w:r>
            <w:r>
              <w:rPr>
                <w:rFonts w:hint="eastAsia" w:ascii="Times New Roman" w:hAnsi="Times New Roman" w:cs="Times New Roman"/>
                <w:kern w:val="2"/>
                <w:sz w:val="24"/>
                <w:szCs w:val="24"/>
                <w:lang w:val="en-US" w:eastAsia="zh-CN" w:bidi="ar-SA"/>
              </w:rPr>
              <w:t xml:space="preserve">。 </w:t>
            </w:r>
          </w:p>
          <w:p w14:paraId="192EB081">
            <w:pPr>
              <w:pStyle w:val="25"/>
              <w:numPr>
                <w:ilvl w:val="0"/>
                <w:numId w:val="0"/>
              </w:numPr>
              <w:bidi w:val="0"/>
              <w:ind w:leftChars="0"/>
              <w:jc w:val="left"/>
              <w:rPr>
                <w:rFonts w:hint="eastAsia"/>
                <w:b/>
                <w:bCs/>
                <w:lang w:val="en-US" w:eastAsia="zh-CN"/>
              </w:rPr>
            </w:pPr>
            <w:r>
              <w:rPr>
                <w:rFonts w:hint="eastAsia"/>
                <w:b/>
                <w:bCs/>
                <w:lang w:val="en-US" w:eastAsia="zh-CN"/>
              </w:rPr>
              <w:t xml:space="preserve">    二、公辅工程</w:t>
            </w:r>
          </w:p>
          <w:p w14:paraId="0B77C123">
            <w:pPr>
              <w:pStyle w:val="25"/>
              <w:numPr>
                <w:ilvl w:val="0"/>
                <w:numId w:val="0"/>
              </w:numPr>
              <w:bidi w:val="0"/>
              <w:jc w:val="left"/>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    1、</w:t>
            </w:r>
            <w:r>
              <w:rPr>
                <w:rFonts w:hint="default" w:ascii="Times New Roman" w:hAnsi="Times New Roman" w:eastAsia="宋体" w:cs="Times New Roman"/>
                <w:b/>
                <w:bCs/>
                <w:sz w:val="24"/>
                <w:szCs w:val="24"/>
                <w:lang w:val="en-US" w:eastAsia="zh-CN"/>
              </w:rPr>
              <w:t>给水</w:t>
            </w:r>
          </w:p>
          <w:p w14:paraId="3B447946">
            <w:pPr>
              <w:pStyle w:val="25"/>
              <w:numPr>
                <w:ilvl w:val="0"/>
                <w:numId w:val="0"/>
              </w:numPr>
              <w:bidi w:val="0"/>
              <w:spacing w:line="360" w:lineRule="auto"/>
              <w:ind w:firstLine="480" w:firstLineChars="200"/>
              <w:jc w:val="left"/>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运行期生产用水、生活用水均取自站址附近村庄，采用水车运水的方式供应，运距约1.5km。直饮水采用桶装矿泉水；施工场地内设容积为50m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临时水池三座，供施工用水。运营期设置容积为8m</w:t>
            </w:r>
            <w:r>
              <w:rPr>
                <w:rFonts w:hint="eastAsia"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生活水池。</w:t>
            </w:r>
            <w:r>
              <w:rPr>
                <w:spacing w:val="-9"/>
              </w:rPr>
              <w:t xml:space="preserve">升压站内设置 </w:t>
            </w:r>
            <w:r>
              <w:rPr>
                <w:rFonts w:ascii="Times New Roman" w:hAnsi="Times New Roman" w:eastAsia="Times New Roman"/>
                <w:spacing w:val="8"/>
              </w:rPr>
              <w:t>180m</w:t>
            </w:r>
            <w:r>
              <w:rPr>
                <w:spacing w:val="8"/>
              </w:rPr>
              <w:t>³</w:t>
            </w:r>
            <w:r>
              <w:rPr>
                <w:spacing w:val="7"/>
              </w:rPr>
              <w:t>消防水池满足消防用水量</w:t>
            </w:r>
            <w:r>
              <w:rPr>
                <w:rFonts w:hint="eastAsia"/>
                <w:spacing w:val="7"/>
                <w:lang w:eastAsia="zh-CN"/>
              </w:rPr>
              <w:t>。</w:t>
            </w:r>
            <w:r>
              <w:rPr>
                <w:rFonts w:hint="eastAsia" w:ascii="Times New Roman" w:hAnsi="Times New Roman" w:eastAsia="宋体" w:cs="Times New Roman"/>
                <w:kern w:val="2"/>
                <w:sz w:val="24"/>
                <w:szCs w:val="24"/>
                <w:lang w:val="en-US" w:eastAsia="zh-CN" w:bidi="ar-SA"/>
              </w:rPr>
              <w:t>生活供水采用罐车拉水至升压站水箱供水。</w:t>
            </w:r>
            <w:r>
              <w:rPr>
                <w:rFonts w:hint="default" w:ascii="Times New Roman" w:hAnsi="Times New Roman" w:eastAsia="宋体" w:cs="Times New Roman"/>
                <w:kern w:val="2"/>
                <w:sz w:val="24"/>
                <w:szCs w:val="24"/>
                <w:lang w:val="en-US" w:eastAsia="zh-CN" w:bidi="ar-SA"/>
              </w:rPr>
              <w:t>定期清洗光伏组件用水采用罐车从附近水源运水至各用水点区域</w:t>
            </w:r>
            <w:r>
              <w:rPr>
                <w:rFonts w:hint="eastAsia" w:ascii="Times New Roman" w:hAnsi="Times New Roman" w:eastAsia="宋体" w:cs="Times New Roman"/>
                <w:kern w:val="2"/>
                <w:sz w:val="24"/>
                <w:szCs w:val="24"/>
                <w:lang w:val="en-US" w:eastAsia="zh-CN" w:bidi="ar-SA"/>
              </w:rPr>
              <w:t>。</w:t>
            </w:r>
          </w:p>
          <w:p w14:paraId="54F2FEB2">
            <w:pPr>
              <w:pStyle w:val="25"/>
              <w:numPr>
                <w:ilvl w:val="0"/>
                <w:numId w:val="0"/>
              </w:numPr>
              <w:bidi w:val="0"/>
              <w:spacing w:line="360" w:lineRule="auto"/>
              <w:ind w:firstLine="454" w:firstLineChars="200"/>
              <w:jc w:val="left"/>
              <w:rPr>
                <w:rFonts w:hint="default" w:ascii="Times New Roman" w:hAnsi="Times New Roman" w:eastAsia="宋体" w:cs="Times New Roman"/>
                <w:b/>
                <w:bCs/>
                <w:color w:val="auto"/>
                <w:spacing w:val="-7"/>
                <w:kern w:val="2"/>
                <w:sz w:val="24"/>
                <w:szCs w:val="24"/>
                <w:lang w:val="en-US" w:eastAsia="zh-CN" w:bidi="ar-SA"/>
              </w:rPr>
            </w:pPr>
            <w:r>
              <w:rPr>
                <w:rFonts w:hint="default" w:ascii="Times New Roman" w:hAnsi="Times New Roman" w:eastAsia="宋体" w:cs="Times New Roman"/>
                <w:b/>
                <w:bCs/>
                <w:color w:val="auto"/>
                <w:spacing w:val="-7"/>
                <w:kern w:val="2"/>
                <w:sz w:val="24"/>
                <w:szCs w:val="24"/>
                <w:lang w:val="en-US" w:eastAsia="zh-CN" w:bidi="ar-SA"/>
              </w:rPr>
              <w:t>2、排水</w:t>
            </w:r>
          </w:p>
          <w:p w14:paraId="6929F03A">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排水系统主要包括站内雨水排水管网、站内生活污水排水管网。</w:t>
            </w:r>
          </w:p>
          <w:p w14:paraId="456E2099">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排水系统为</w:t>
            </w:r>
            <w:r>
              <w:rPr>
                <w:rFonts w:hint="default" w:ascii="Times New Roman" w:hAnsi="Times New Roman" w:eastAsia="宋体" w:cs="Times New Roman"/>
                <w:color w:val="auto"/>
                <w:kern w:val="0"/>
                <w:sz w:val="24"/>
                <w:szCs w:val="24"/>
                <w:lang w:val="en-US" w:eastAsia="zh-CN"/>
              </w:rPr>
              <w:t>雨污</w:t>
            </w:r>
            <w:r>
              <w:rPr>
                <w:rFonts w:hint="default" w:ascii="Times New Roman" w:hAnsi="Times New Roman" w:eastAsia="宋体" w:cs="Times New Roman"/>
                <w:color w:val="auto"/>
                <w:kern w:val="0"/>
                <w:sz w:val="24"/>
                <w:szCs w:val="24"/>
              </w:rPr>
              <w:t>分流制排水方式，其中</w:t>
            </w:r>
            <w:r>
              <w:rPr>
                <w:rFonts w:hint="default" w:ascii="Times New Roman" w:hAnsi="Times New Roman" w:eastAsia="宋体" w:cs="Times New Roman"/>
                <w:color w:val="auto"/>
                <w:sz w:val="24"/>
                <w:szCs w:val="24"/>
                <w:lang w:val="en-US" w:eastAsia="zh-CN"/>
              </w:rPr>
              <w:t>升压</w:t>
            </w:r>
            <w:r>
              <w:rPr>
                <w:rFonts w:hint="default" w:ascii="Times New Roman" w:hAnsi="Times New Roman" w:eastAsia="宋体" w:cs="Times New Roman"/>
                <w:color w:val="auto"/>
                <w:kern w:val="0"/>
                <w:sz w:val="24"/>
                <w:szCs w:val="24"/>
                <w:lang w:val="en-US" w:eastAsia="zh-CN"/>
              </w:rPr>
              <w:t>站内</w:t>
            </w:r>
            <w:r>
              <w:rPr>
                <w:rFonts w:hint="default" w:ascii="Times New Roman" w:hAnsi="Times New Roman" w:eastAsia="宋体" w:cs="Times New Roman"/>
                <w:color w:val="auto"/>
                <w:kern w:val="0"/>
                <w:sz w:val="24"/>
                <w:szCs w:val="24"/>
              </w:rPr>
              <w:t>雨水经过雨水管网排放至站外</w:t>
            </w:r>
            <w:r>
              <w:rPr>
                <w:rFonts w:hint="default" w:ascii="Times New Roman" w:hAnsi="Times New Roman" w:eastAsia="宋体" w:cs="Times New Roman"/>
                <w:color w:val="auto"/>
                <w:kern w:val="0"/>
                <w:sz w:val="24"/>
                <w:szCs w:val="24"/>
                <w:lang w:val="en-US" w:eastAsia="zh-CN"/>
              </w:rPr>
              <w:t>雨水沟</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val="en-US" w:eastAsia="zh-CN"/>
              </w:rPr>
              <w:t>升压站</w:t>
            </w:r>
            <w:r>
              <w:rPr>
                <w:rFonts w:hint="default" w:ascii="Times New Roman" w:hAnsi="Times New Roman" w:eastAsia="宋体" w:cs="Times New Roman"/>
                <w:color w:val="auto"/>
                <w:sz w:val="24"/>
                <w:szCs w:val="24"/>
              </w:rPr>
              <w:t>产生的生活废水经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回用于</w:t>
            </w:r>
            <w:r>
              <w:rPr>
                <w:rFonts w:hint="eastAsia" w:ascii="Times New Roman" w:hAnsi="Times New Roman" w:eastAsia="宋体" w:cs="Times New Roman"/>
                <w:color w:val="auto"/>
                <w:sz w:val="24"/>
                <w:szCs w:val="24"/>
                <w:lang w:eastAsia="zh-CN"/>
              </w:rPr>
              <w:t>升压站内</w:t>
            </w:r>
            <w:r>
              <w:rPr>
                <w:rFonts w:hint="default" w:ascii="Times New Roman" w:hAnsi="Times New Roman" w:eastAsia="宋体" w:cs="Times New Roman"/>
                <w:color w:val="auto"/>
                <w:sz w:val="24"/>
                <w:szCs w:val="24"/>
              </w:rPr>
              <w:t>绿化，不外排</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光伏阵列</w:t>
            </w:r>
            <w:r>
              <w:rPr>
                <w:rFonts w:hint="default"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rPr>
              <w:t>清洁废水</w:t>
            </w:r>
            <w:r>
              <w:rPr>
                <w:rFonts w:hint="eastAsia" w:ascii="Times New Roman" w:hAnsi="Times New Roman" w:eastAsia="宋体" w:cs="Times New Roman"/>
                <w:color w:val="auto"/>
                <w:kern w:val="0"/>
                <w:sz w:val="24"/>
                <w:szCs w:val="24"/>
                <w:lang w:eastAsia="zh-CN"/>
              </w:rPr>
              <w:t>经沉淀池处理后</w:t>
            </w:r>
            <w:r>
              <w:rPr>
                <w:rFonts w:hint="default" w:ascii="Times New Roman" w:hAnsi="Times New Roman" w:eastAsia="宋体" w:cs="Times New Roman"/>
                <w:color w:val="auto"/>
                <w:kern w:val="0"/>
                <w:sz w:val="24"/>
                <w:szCs w:val="24"/>
              </w:rPr>
              <w:t>用于光伏板区绿化，无废水外排</w:t>
            </w:r>
            <w:r>
              <w:rPr>
                <w:rFonts w:hint="default" w:ascii="Times New Roman" w:hAnsi="Times New Roman" w:eastAsia="宋体" w:cs="Times New Roman"/>
                <w:color w:val="auto"/>
                <w:kern w:val="0"/>
                <w:sz w:val="24"/>
                <w:szCs w:val="24"/>
                <w:lang w:eastAsia="zh-CN"/>
              </w:rPr>
              <w:t>。</w:t>
            </w:r>
          </w:p>
          <w:p w14:paraId="6142A1E1">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3、排油</w:t>
            </w:r>
          </w:p>
          <w:p w14:paraId="73952520">
            <w:pPr>
              <w:pStyle w:val="8"/>
              <w:numPr>
                <w:ilvl w:val="0"/>
                <w:numId w:val="0"/>
              </w:numPr>
              <w:spacing w:line="360" w:lineRule="auto"/>
              <w:ind w:leftChars="0" w:firstLine="240" w:firstLineChars="1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 w:val="24"/>
                <w:szCs w:val="24"/>
              </w:rPr>
              <w:t>主变压器排油系统包括主变集油坑、排油检查井、排油管道、事故油池。排油坡度不小于1%，事故油池容量满足最大一台主变油量100%的容积</w:t>
            </w:r>
            <w:r>
              <w:rPr>
                <w:rFonts w:hint="default" w:ascii="Times New Roman" w:hAnsi="Times New Roman" w:eastAsia="宋体" w:cs="Times New Roman"/>
                <w:sz w:val="24"/>
                <w:szCs w:val="24"/>
                <w:lang w:val="en-US" w:eastAsia="zh-CN"/>
              </w:rPr>
              <w:t>，钢筋混凝土结构，</w:t>
            </w:r>
            <w:r>
              <w:rPr>
                <w:rFonts w:hint="eastAsia" w:ascii="Times New Roman" w:hAnsi="Times New Roman" w:eastAsia="宋体" w:cs="Times New Roman"/>
                <w:sz w:val="24"/>
                <w:szCs w:val="24"/>
                <w:lang w:val="en-US" w:eastAsia="zh-CN"/>
              </w:rPr>
              <w:t>有效</w:t>
            </w:r>
            <w:r>
              <w:rPr>
                <w:rFonts w:hint="default" w:ascii="Times New Roman" w:hAnsi="Times New Roman" w:eastAsia="宋体" w:cs="Times New Roman"/>
                <w:sz w:val="24"/>
                <w:szCs w:val="24"/>
                <w:lang w:val="en-US" w:eastAsia="zh-CN"/>
              </w:rPr>
              <w:t>容积</w:t>
            </w:r>
            <w:r>
              <w:rPr>
                <w:rFonts w:hint="eastAsia" w:ascii="Times New Roman" w:hAnsi="Times New Roman" w:eastAsia="宋体" w:cs="Times New Roman"/>
                <w:sz w:val="24"/>
                <w:szCs w:val="24"/>
                <w:lang w:val="en-US" w:eastAsia="zh-CN"/>
              </w:rPr>
              <w:t>不小于30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，确保能够收集主变压器泄漏的油量。在每个箱变靠近油箱侧均设置一个容积为</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的</w:t>
            </w:r>
            <w:r>
              <w:rPr>
                <w:rFonts w:hint="eastAsia" w:ascii="Times New Roman" w:hAnsi="Times New Roman" w:eastAsia="宋体" w:cs="Times New Roman"/>
                <w:sz w:val="24"/>
                <w:szCs w:val="24"/>
                <w:lang w:val="en-US" w:eastAsia="zh-CN"/>
              </w:rPr>
              <w:t>事故池</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确保能够收集箱变泄漏的油量。</w:t>
            </w:r>
          </w:p>
          <w:p w14:paraId="3BC253C3">
            <w:pPr>
              <w:pStyle w:val="8"/>
              <w:numPr>
                <w:ilvl w:val="0"/>
                <w:numId w:val="0"/>
              </w:numPr>
              <w:spacing w:line="360" w:lineRule="auto"/>
              <w:ind w:leftChars="20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 xml:space="preserve">4、供电      </w:t>
            </w:r>
          </w:p>
          <w:p w14:paraId="22DAA531">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施工期：</w:t>
            </w:r>
            <w:r>
              <w:rPr>
                <w:rFonts w:hint="eastAsia" w:ascii="Times New Roman" w:hAnsi="Times New Roman" w:eastAsia="宋体" w:cs="Times New Roman"/>
                <w:color w:val="auto"/>
                <w:kern w:val="0"/>
                <w:sz w:val="24"/>
                <w:szCs w:val="24"/>
                <w:lang w:val="en-US" w:eastAsia="zh-CN" w:bidi="ar-SA"/>
              </w:rPr>
              <w:t>施工用电可由场址附近 10kV 线路引接作为电源，距离较远处施工及紧急备用电源采用柴油发电机供电。</w:t>
            </w:r>
          </w:p>
          <w:p w14:paraId="23061684">
            <w:pPr>
              <w:pStyle w:val="8"/>
              <w:numPr>
                <w:ilvl w:val="0"/>
                <w:numId w:val="0"/>
              </w:numPr>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运营期：</w:t>
            </w:r>
            <w:r>
              <w:rPr>
                <w:rFonts w:hint="eastAsia" w:ascii="Times New Roman" w:hAnsi="Times New Roman" w:eastAsia="宋体" w:cs="Times New Roman"/>
                <w:color w:val="auto"/>
                <w:kern w:val="0"/>
                <w:sz w:val="24"/>
                <w:szCs w:val="24"/>
                <w:lang w:val="en-US" w:eastAsia="zh-CN" w:bidi="ar-SA"/>
              </w:rPr>
              <w:t>本升压站站用电采用双电源供电，单母线分段接线。主供电源引自35kV母线，备用电源引自附近10kV电网，设置1台10kV变压器接于外引电源做为站用变。箱变采用配置负荷开关+隔离开关，两侧采用电缆出线，箱变低压侧设置一台变压器，作为箱变内部照明、检修、加热电源。</w:t>
            </w:r>
          </w:p>
          <w:p w14:paraId="1085D8EA">
            <w:pPr>
              <w:pStyle w:val="25"/>
              <w:numPr>
                <w:ilvl w:val="0"/>
                <w:numId w:val="5"/>
              </w:numPr>
              <w:bidi w:val="0"/>
              <w:ind w:left="240" w:leftChars="0" w:firstLine="482" w:firstLineChars="0"/>
              <w:jc w:val="left"/>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道路系统</w:t>
            </w:r>
          </w:p>
          <w:p w14:paraId="16F56F09">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2"/>
                <w:sz w:val="24"/>
                <w:szCs w:val="24"/>
                <w:lang w:val="en-US" w:eastAsia="zh-CN" w:bidi="ar-SA"/>
              </w:rPr>
              <w:t>场</w:t>
            </w:r>
            <w:r>
              <w:rPr>
                <w:rFonts w:hint="default" w:ascii="Times New Roman" w:hAnsi="Times New Roman" w:eastAsia="宋体" w:cs="Times New Roman"/>
                <w:color w:val="auto"/>
                <w:kern w:val="0"/>
                <w:sz w:val="24"/>
                <w:szCs w:val="24"/>
                <w:lang w:val="en-US" w:eastAsia="zh-CN" w:bidi="ar-SA"/>
              </w:rPr>
              <w:t>区内的道路设计原则为：满足施工及光伏组件的安装和运输条件，因地形限制基本不设环道，道路设置满足场区交通运输需求，且坡度不宜过大，尽量利用原有村道。</w:t>
            </w:r>
          </w:p>
          <w:p w14:paraId="3BD619B1">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场区内道路纵坡坡度不大于16%，横向坡度为2%～3%，最小转弯半径15m。</w:t>
            </w:r>
          </w:p>
          <w:p w14:paraId="09032E8D">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场区道路</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路基宽度为4.5m，路面宽度为3.5m</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路面采用20cm泥结碎石面层。升压站进站道路：路基宽度5.0m，路面宽度4.0m，为15cm水泥混凝土面层+20cm级配碎石基层。</w:t>
            </w:r>
          </w:p>
          <w:p w14:paraId="085A5131">
            <w:pPr>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场内道路改扩建长度约 3.8km，进站道路长约0.65km，无新建道路。在每条施工道路末端设置16m×16m的调车平台。</w:t>
            </w:r>
          </w:p>
          <w:p w14:paraId="6DBDBEB0">
            <w:pPr>
              <w:jc w:val="center"/>
              <w:rPr>
                <w:rFonts w:hint="eastAsia" w:ascii="宋体" w:hAnsi="宋体" w:eastAsia="宋体" w:cs="宋体"/>
                <w:b/>
                <w:bCs/>
                <w:sz w:val="21"/>
                <w:szCs w:val="21"/>
              </w:rPr>
            </w:pPr>
            <w:r>
              <w:rPr>
                <w:rFonts w:hint="eastAsia" w:ascii="宋体" w:hAnsi="宋体" w:eastAsia="宋体" w:cs="宋体"/>
                <w:b/>
                <w:bCs/>
                <w:sz w:val="21"/>
                <w:szCs w:val="21"/>
              </w:rPr>
              <w:t>表</w:t>
            </w:r>
            <w:r>
              <w:rPr>
                <w:rFonts w:hint="eastAsia" w:ascii="宋体" w:hAnsi="宋体" w:eastAsia="宋体" w:cs="宋体"/>
                <w:b/>
                <w:bCs/>
                <w:sz w:val="21"/>
                <w:szCs w:val="21"/>
                <w:lang w:val="en-US" w:eastAsia="zh-CN"/>
              </w:rPr>
              <w:t>2-7</w:t>
            </w:r>
            <w:r>
              <w:rPr>
                <w:rFonts w:hint="eastAsia" w:ascii="宋体" w:hAnsi="宋体" w:eastAsia="宋体" w:cs="宋体"/>
                <w:b/>
                <w:bCs/>
                <w:sz w:val="21"/>
                <w:szCs w:val="21"/>
              </w:rPr>
              <w:t xml:space="preserve"> </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rPr>
              <w:tab/>
            </w:r>
            <w:r>
              <w:rPr>
                <w:rFonts w:hint="eastAsia" w:ascii="宋体" w:hAnsi="宋体" w:eastAsia="宋体" w:cs="宋体"/>
                <w:b/>
                <w:bCs/>
                <w:sz w:val="21"/>
                <w:szCs w:val="21"/>
              </w:rPr>
              <w:t>道路工程量表</w:t>
            </w:r>
          </w:p>
          <w:tbl>
            <w:tblPr>
              <w:tblStyle w:val="21"/>
              <w:tblW w:w="7816"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31"/>
              <w:gridCol w:w="2506"/>
              <w:gridCol w:w="1173"/>
              <w:gridCol w:w="1086"/>
              <w:gridCol w:w="1145"/>
              <w:gridCol w:w="1175"/>
            </w:tblGrid>
            <w:tr w14:paraId="0B1030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bottom w:val="single" w:color="000000" w:sz="6" w:space="0"/>
                    <w:right w:val="single" w:color="000000" w:sz="6" w:space="0"/>
                  </w:tcBorders>
                  <w:vAlign w:val="top"/>
                </w:tcPr>
                <w:p w14:paraId="60E938F3">
                  <w:pPr>
                    <w:jc w:val="center"/>
                    <w:rPr>
                      <w:rFonts w:hint="default" w:ascii="Times New Roman" w:hAnsi="Times New Roman" w:cs="Times New Roman"/>
                      <w:sz w:val="21"/>
                      <w:szCs w:val="21"/>
                    </w:rPr>
                  </w:pPr>
                </w:p>
                <w:p w14:paraId="0362FB4B">
                  <w:pPr>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506" w:type="dxa"/>
                  <w:tcBorders>
                    <w:left w:val="single" w:color="000000" w:sz="6" w:space="0"/>
                    <w:bottom w:val="single" w:color="000000" w:sz="6" w:space="0"/>
                    <w:right w:val="single" w:color="000000" w:sz="6" w:space="0"/>
                  </w:tcBorders>
                  <w:vAlign w:val="top"/>
                </w:tcPr>
                <w:p w14:paraId="6F77A2BC">
                  <w:pPr>
                    <w:jc w:val="center"/>
                    <w:rPr>
                      <w:rFonts w:hint="default" w:ascii="Times New Roman" w:hAnsi="Times New Roman" w:cs="Times New Roman"/>
                      <w:sz w:val="21"/>
                      <w:szCs w:val="21"/>
                    </w:rPr>
                  </w:pPr>
                </w:p>
                <w:p w14:paraId="608D2F91">
                  <w:pPr>
                    <w:jc w:val="center"/>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173" w:type="dxa"/>
                  <w:tcBorders>
                    <w:left w:val="single" w:color="000000" w:sz="6" w:space="0"/>
                    <w:bottom w:val="single" w:color="000000" w:sz="6" w:space="0"/>
                    <w:right w:val="single" w:color="000000" w:sz="6" w:space="0"/>
                  </w:tcBorders>
                  <w:vAlign w:val="top"/>
                </w:tcPr>
                <w:p w14:paraId="004B76C0">
                  <w:pPr>
                    <w:jc w:val="center"/>
                    <w:rPr>
                      <w:rFonts w:hint="default" w:ascii="Times New Roman" w:hAnsi="Times New Roman" w:cs="Times New Roman"/>
                      <w:sz w:val="21"/>
                      <w:szCs w:val="21"/>
                    </w:rPr>
                  </w:pPr>
                  <w:r>
                    <w:rPr>
                      <w:rFonts w:hint="default" w:ascii="Times New Roman" w:hAnsi="Times New Roman" w:cs="Times New Roman"/>
                      <w:sz w:val="21"/>
                      <w:szCs w:val="21"/>
                    </w:rPr>
                    <w:t>场内道路改扩建</w:t>
                  </w:r>
                </w:p>
              </w:tc>
              <w:tc>
                <w:tcPr>
                  <w:tcW w:w="1086" w:type="dxa"/>
                  <w:tcBorders>
                    <w:left w:val="single" w:color="000000" w:sz="6" w:space="0"/>
                    <w:bottom w:val="single" w:color="000000" w:sz="6" w:space="0"/>
                    <w:right w:val="single" w:color="000000" w:sz="6" w:space="0"/>
                  </w:tcBorders>
                  <w:vAlign w:val="top"/>
                </w:tcPr>
                <w:p w14:paraId="37CEEF70">
                  <w:pPr>
                    <w:jc w:val="center"/>
                    <w:rPr>
                      <w:rFonts w:hint="default" w:ascii="Times New Roman" w:hAnsi="Times New Roman" w:cs="Times New Roman"/>
                      <w:sz w:val="21"/>
                      <w:szCs w:val="21"/>
                    </w:rPr>
                  </w:pPr>
                  <w:r>
                    <w:rPr>
                      <w:rFonts w:hint="default" w:ascii="Times New Roman" w:hAnsi="Times New Roman" w:cs="Times New Roman"/>
                      <w:sz w:val="21"/>
                      <w:szCs w:val="21"/>
                    </w:rPr>
                    <w:t>新建施工道路</w:t>
                  </w:r>
                </w:p>
              </w:tc>
              <w:tc>
                <w:tcPr>
                  <w:tcW w:w="1145" w:type="dxa"/>
                  <w:tcBorders>
                    <w:left w:val="single" w:color="000000" w:sz="6" w:space="0"/>
                    <w:bottom w:val="single" w:color="000000" w:sz="6" w:space="0"/>
                    <w:right w:val="single" w:color="000000" w:sz="6" w:space="0"/>
                  </w:tcBorders>
                  <w:vAlign w:val="top"/>
                </w:tcPr>
                <w:p w14:paraId="36F90749">
                  <w:pPr>
                    <w:jc w:val="center"/>
                    <w:rPr>
                      <w:rFonts w:hint="default" w:ascii="Times New Roman" w:hAnsi="Times New Roman" w:cs="Times New Roman"/>
                      <w:sz w:val="21"/>
                      <w:szCs w:val="21"/>
                    </w:rPr>
                  </w:pPr>
                </w:p>
                <w:p w14:paraId="1D6DAEA5">
                  <w:pPr>
                    <w:jc w:val="center"/>
                    <w:rPr>
                      <w:rFonts w:hint="default" w:ascii="Times New Roman" w:hAnsi="Times New Roman" w:cs="Times New Roman"/>
                      <w:sz w:val="21"/>
                      <w:szCs w:val="21"/>
                    </w:rPr>
                  </w:pPr>
                  <w:r>
                    <w:rPr>
                      <w:rFonts w:hint="default" w:ascii="Times New Roman" w:hAnsi="Times New Roman" w:cs="Times New Roman"/>
                      <w:sz w:val="21"/>
                      <w:szCs w:val="21"/>
                    </w:rPr>
                    <w:t>进站道路</w:t>
                  </w:r>
                </w:p>
              </w:tc>
              <w:tc>
                <w:tcPr>
                  <w:tcW w:w="1175" w:type="dxa"/>
                  <w:tcBorders>
                    <w:left w:val="single" w:color="000000" w:sz="6" w:space="0"/>
                    <w:bottom w:val="single" w:color="000000" w:sz="6" w:space="0"/>
                  </w:tcBorders>
                  <w:vAlign w:val="top"/>
                </w:tcPr>
                <w:p w14:paraId="7DE7DF5A">
                  <w:pPr>
                    <w:jc w:val="center"/>
                    <w:rPr>
                      <w:rFonts w:hint="default" w:ascii="Times New Roman" w:hAnsi="Times New Roman" w:cs="Times New Roman"/>
                      <w:sz w:val="21"/>
                      <w:szCs w:val="21"/>
                    </w:rPr>
                  </w:pPr>
                </w:p>
                <w:p w14:paraId="73CA9135">
                  <w:pPr>
                    <w:jc w:val="center"/>
                    <w:rPr>
                      <w:rFonts w:hint="default" w:ascii="Times New Roman" w:hAnsi="Times New Roman" w:cs="Times New Roman"/>
                      <w:sz w:val="21"/>
                      <w:szCs w:val="21"/>
                    </w:rPr>
                  </w:pPr>
                  <w:r>
                    <w:rPr>
                      <w:rFonts w:hint="default" w:ascii="Times New Roman" w:hAnsi="Times New Roman" w:cs="Times New Roman"/>
                      <w:sz w:val="21"/>
                      <w:szCs w:val="21"/>
                    </w:rPr>
                    <w:t>合计</w:t>
                  </w:r>
                </w:p>
              </w:tc>
            </w:tr>
            <w:tr w14:paraId="63F603C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1FE182E5">
                  <w:pPr>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506" w:type="dxa"/>
                  <w:tcBorders>
                    <w:top w:val="single" w:color="000000" w:sz="6" w:space="0"/>
                    <w:left w:val="single" w:color="000000" w:sz="6" w:space="0"/>
                    <w:bottom w:val="single" w:color="000000" w:sz="6" w:space="0"/>
                    <w:right w:val="single" w:color="000000" w:sz="6" w:space="0"/>
                  </w:tcBorders>
                  <w:vAlign w:val="top"/>
                </w:tcPr>
                <w:p w14:paraId="48470D48">
                  <w:pPr>
                    <w:jc w:val="center"/>
                    <w:rPr>
                      <w:rFonts w:hint="default" w:ascii="Times New Roman" w:hAnsi="Times New Roman" w:cs="Times New Roman"/>
                      <w:sz w:val="21"/>
                      <w:szCs w:val="21"/>
                    </w:rPr>
                  </w:pPr>
                  <w:r>
                    <w:rPr>
                      <w:rFonts w:hint="default" w:ascii="Times New Roman" w:hAnsi="Times New Roman" w:cs="Times New Roman"/>
                      <w:sz w:val="21"/>
                      <w:szCs w:val="21"/>
                    </w:rPr>
                    <w:t>道路长度（km）</w:t>
                  </w:r>
                </w:p>
              </w:tc>
              <w:tc>
                <w:tcPr>
                  <w:tcW w:w="1173" w:type="dxa"/>
                  <w:tcBorders>
                    <w:top w:val="single" w:color="000000" w:sz="6" w:space="0"/>
                    <w:left w:val="single" w:color="000000" w:sz="6" w:space="0"/>
                    <w:bottom w:val="single" w:color="000000" w:sz="6" w:space="0"/>
                    <w:right w:val="single" w:color="000000" w:sz="6" w:space="0"/>
                  </w:tcBorders>
                  <w:vAlign w:val="top"/>
                </w:tcPr>
                <w:p w14:paraId="2D2CED56">
                  <w:pPr>
                    <w:jc w:val="center"/>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086" w:type="dxa"/>
                  <w:tcBorders>
                    <w:top w:val="single" w:color="000000" w:sz="6" w:space="0"/>
                    <w:left w:val="single" w:color="000000" w:sz="6" w:space="0"/>
                    <w:bottom w:val="single" w:color="000000" w:sz="6" w:space="0"/>
                    <w:right w:val="single" w:color="000000" w:sz="6" w:space="0"/>
                  </w:tcBorders>
                  <w:vAlign w:val="top"/>
                </w:tcPr>
                <w:p w14:paraId="67F3361C">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4C79A40F">
                  <w:pPr>
                    <w:jc w:val="center"/>
                    <w:rPr>
                      <w:rFonts w:hint="default" w:ascii="Times New Roman" w:hAnsi="Times New Roman" w:cs="Times New Roman"/>
                      <w:sz w:val="21"/>
                      <w:szCs w:val="21"/>
                    </w:rPr>
                  </w:pPr>
                  <w:r>
                    <w:rPr>
                      <w:rFonts w:hint="default" w:ascii="Times New Roman" w:hAnsi="Times New Roman" w:cs="Times New Roman"/>
                      <w:sz w:val="21"/>
                      <w:szCs w:val="21"/>
                    </w:rPr>
                    <w:t>0.65</w:t>
                  </w:r>
                </w:p>
              </w:tc>
              <w:tc>
                <w:tcPr>
                  <w:tcW w:w="1175" w:type="dxa"/>
                  <w:tcBorders>
                    <w:top w:val="single" w:color="000000" w:sz="6" w:space="0"/>
                    <w:left w:val="single" w:color="000000" w:sz="6" w:space="0"/>
                    <w:bottom w:val="single" w:color="000000" w:sz="6" w:space="0"/>
                  </w:tcBorders>
                  <w:vAlign w:val="top"/>
                </w:tcPr>
                <w:p w14:paraId="1157302A">
                  <w:pPr>
                    <w:jc w:val="center"/>
                    <w:rPr>
                      <w:rFonts w:hint="default" w:ascii="Times New Roman" w:hAnsi="Times New Roman" w:cs="Times New Roman"/>
                      <w:sz w:val="21"/>
                      <w:szCs w:val="21"/>
                    </w:rPr>
                  </w:pPr>
                  <w:r>
                    <w:rPr>
                      <w:rFonts w:hint="default" w:ascii="Times New Roman" w:hAnsi="Times New Roman" w:cs="Times New Roman"/>
                      <w:sz w:val="21"/>
                      <w:szCs w:val="21"/>
                    </w:rPr>
                    <w:t>4.45</w:t>
                  </w:r>
                </w:p>
              </w:tc>
            </w:tr>
            <w:tr w14:paraId="1673C3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70D61C9C">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506" w:type="dxa"/>
                  <w:tcBorders>
                    <w:top w:val="single" w:color="000000" w:sz="6" w:space="0"/>
                    <w:left w:val="single" w:color="000000" w:sz="6" w:space="0"/>
                    <w:bottom w:val="single" w:color="000000" w:sz="6" w:space="0"/>
                    <w:right w:val="single" w:color="000000" w:sz="6" w:space="0"/>
                  </w:tcBorders>
                  <w:vAlign w:val="top"/>
                </w:tcPr>
                <w:p w14:paraId="20198C65">
                  <w:pPr>
                    <w:jc w:val="center"/>
                    <w:rPr>
                      <w:rFonts w:hint="default" w:ascii="Times New Roman" w:hAnsi="Times New Roman" w:cs="Times New Roman"/>
                      <w:sz w:val="21"/>
                      <w:szCs w:val="21"/>
                    </w:rPr>
                  </w:pPr>
                  <w:r>
                    <w:rPr>
                      <w:rFonts w:hint="default" w:ascii="Times New Roman" w:hAnsi="Times New Roman" w:cs="Times New Roman"/>
                      <w:sz w:val="21"/>
                      <w:szCs w:val="21"/>
                    </w:rPr>
                    <w:t>土方开挖（m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0005EA5E">
                  <w:pPr>
                    <w:jc w:val="center"/>
                    <w:rPr>
                      <w:rFonts w:hint="default" w:ascii="Times New Roman" w:hAnsi="Times New Roman" w:cs="Times New Roman"/>
                      <w:sz w:val="21"/>
                      <w:szCs w:val="21"/>
                    </w:rPr>
                  </w:pPr>
                  <w:r>
                    <w:rPr>
                      <w:rFonts w:hint="default" w:ascii="Times New Roman" w:hAnsi="Times New Roman" w:cs="Times New Roman"/>
                      <w:sz w:val="21"/>
                      <w:szCs w:val="21"/>
                    </w:rPr>
                    <w:t>18853</w:t>
                  </w:r>
                </w:p>
              </w:tc>
              <w:tc>
                <w:tcPr>
                  <w:tcW w:w="1086" w:type="dxa"/>
                  <w:tcBorders>
                    <w:top w:val="single" w:color="000000" w:sz="6" w:space="0"/>
                    <w:left w:val="single" w:color="000000" w:sz="6" w:space="0"/>
                    <w:bottom w:val="single" w:color="000000" w:sz="6" w:space="0"/>
                    <w:right w:val="single" w:color="000000" w:sz="6" w:space="0"/>
                  </w:tcBorders>
                  <w:vAlign w:val="top"/>
                </w:tcPr>
                <w:p w14:paraId="2E4B46FA">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6F8B04F4">
                  <w:pPr>
                    <w:jc w:val="center"/>
                    <w:rPr>
                      <w:rFonts w:hint="default" w:ascii="Times New Roman" w:hAnsi="Times New Roman" w:cs="Times New Roman"/>
                      <w:sz w:val="21"/>
                      <w:szCs w:val="21"/>
                    </w:rPr>
                  </w:pPr>
                  <w:r>
                    <w:rPr>
                      <w:rFonts w:hint="default" w:ascii="Times New Roman" w:hAnsi="Times New Roman" w:cs="Times New Roman"/>
                      <w:sz w:val="21"/>
                      <w:szCs w:val="21"/>
                    </w:rPr>
                    <w:t>5198</w:t>
                  </w:r>
                </w:p>
              </w:tc>
              <w:tc>
                <w:tcPr>
                  <w:tcW w:w="1175" w:type="dxa"/>
                  <w:tcBorders>
                    <w:top w:val="single" w:color="000000" w:sz="6" w:space="0"/>
                    <w:left w:val="single" w:color="000000" w:sz="6" w:space="0"/>
                    <w:bottom w:val="single" w:color="000000" w:sz="6" w:space="0"/>
                  </w:tcBorders>
                  <w:vAlign w:val="top"/>
                </w:tcPr>
                <w:p w14:paraId="0DA7B36F">
                  <w:pPr>
                    <w:jc w:val="center"/>
                    <w:rPr>
                      <w:rFonts w:hint="default" w:ascii="Times New Roman" w:hAnsi="Times New Roman" w:cs="Times New Roman"/>
                      <w:sz w:val="21"/>
                      <w:szCs w:val="21"/>
                    </w:rPr>
                  </w:pPr>
                  <w:r>
                    <w:rPr>
                      <w:rFonts w:hint="default" w:ascii="Times New Roman" w:hAnsi="Times New Roman" w:cs="Times New Roman"/>
                      <w:sz w:val="21"/>
                      <w:szCs w:val="21"/>
                    </w:rPr>
                    <w:t>24051</w:t>
                  </w:r>
                </w:p>
              </w:tc>
            </w:tr>
            <w:tr w14:paraId="60A1FC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42C9A82B">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506" w:type="dxa"/>
                  <w:tcBorders>
                    <w:top w:val="single" w:color="000000" w:sz="6" w:space="0"/>
                    <w:left w:val="single" w:color="000000" w:sz="6" w:space="0"/>
                    <w:bottom w:val="single" w:color="000000" w:sz="6" w:space="0"/>
                    <w:right w:val="single" w:color="000000" w:sz="6" w:space="0"/>
                  </w:tcBorders>
                  <w:vAlign w:val="top"/>
                </w:tcPr>
                <w:p w14:paraId="14EAC248">
                  <w:pPr>
                    <w:jc w:val="center"/>
                    <w:rPr>
                      <w:rFonts w:hint="default" w:ascii="Times New Roman" w:hAnsi="Times New Roman" w:cs="Times New Roman"/>
                      <w:sz w:val="21"/>
                      <w:szCs w:val="21"/>
                    </w:rPr>
                  </w:pPr>
                  <w:r>
                    <w:rPr>
                      <w:rFonts w:hint="default" w:ascii="Times New Roman" w:hAnsi="Times New Roman" w:cs="Times New Roman"/>
                      <w:sz w:val="21"/>
                      <w:szCs w:val="21"/>
                    </w:rPr>
                    <w:t>石方开挖（m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57F7D835">
                  <w:pPr>
                    <w:jc w:val="center"/>
                    <w:rPr>
                      <w:rFonts w:hint="default" w:ascii="Times New Roman" w:hAnsi="Times New Roman" w:cs="Times New Roman"/>
                      <w:sz w:val="21"/>
                      <w:szCs w:val="21"/>
                    </w:rPr>
                  </w:pPr>
                  <w:r>
                    <w:rPr>
                      <w:rFonts w:hint="default" w:ascii="Times New Roman" w:hAnsi="Times New Roman" w:cs="Times New Roman"/>
                      <w:sz w:val="21"/>
                      <w:szCs w:val="21"/>
                    </w:rPr>
                    <w:t>8080</w:t>
                  </w:r>
                </w:p>
              </w:tc>
              <w:tc>
                <w:tcPr>
                  <w:tcW w:w="1086" w:type="dxa"/>
                  <w:tcBorders>
                    <w:top w:val="single" w:color="000000" w:sz="6" w:space="0"/>
                    <w:left w:val="single" w:color="000000" w:sz="6" w:space="0"/>
                    <w:bottom w:val="single" w:color="000000" w:sz="6" w:space="0"/>
                    <w:right w:val="single" w:color="000000" w:sz="6" w:space="0"/>
                  </w:tcBorders>
                  <w:vAlign w:val="top"/>
                </w:tcPr>
                <w:p w14:paraId="1D4AF888">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0BC08E87">
                  <w:pPr>
                    <w:jc w:val="center"/>
                    <w:rPr>
                      <w:rFonts w:hint="default" w:ascii="Times New Roman" w:hAnsi="Times New Roman" w:cs="Times New Roman"/>
                      <w:sz w:val="21"/>
                      <w:szCs w:val="21"/>
                    </w:rPr>
                  </w:pPr>
                  <w:r>
                    <w:rPr>
                      <w:rFonts w:hint="default" w:ascii="Times New Roman" w:hAnsi="Times New Roman" w:cs="Times New Roman"/>
                      <w:sz w:val="21"/>
                      <w:szCs w:val="21"/>
                    </w:rPr>
                    <w:t>2228</w:t>
                  </w:r>
                </w:p>
              </w:tc>
              <w:tc>
                <w:tcPr>
                  <w:tcW w:w="1175" w:type="dxa"/>
                  <w:tcBorders>
                    <w:top w:val="single" w:color="000000" w:sz="6" w:space="0"/>
                    <w:left w:val="single" w:color="000000" w:sz="6" w:space="0"/>
                    <w:bottom w:val="single" w:color="000000" w:sz="6" w:space="0"/>
                  </w:tcBorders>
                  <w:vAlign w:val="top"/>
                </w:tcPr>
                <w:p w14:paraId="505C651E">
                  <w:pPr>
                    <w:jc w:val="center"/>
                    <w:rPr>
                      <w:rFonts w:hint="default" w:ascii="Times New Roman" w:hAnsi="Times New Roman" w:cs="Times New Roman"/>
                      <w:sz w:val="21"/>
                      <w:szCs w:val="21"/>
                    </w:rPr>
                  </w:pPr>
                  <w:r>
                    <w:rPr>
                      <w:rFonts w:hint="default" w:ascii="Times New Roman" w:hAnsi="Times New Roman" w:cs="Times New Roman"/>
                      <w:sz w:val="21"/>
                      <w:szCs w:val="21"/>
                    </w:rPr>
                    <w:t>10308</w:t>
                  </w:r>
                </w:p>
              </w:tc>
            </w:tr>
            <w:tr w14:paraId="0954644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2DCCC8F8">
                  <w:pPr>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506" w:type="dxa"/>
                  <w:tcBorders>
                    <w:top w:val="single" w:color="000000" w:sz="6" w:space="0"/>
                    <w:left w:val="single" w:color="000000" w:sz="6" w:space="0"/>
                    <w:bottom w:val="single" w:color="000000" w:sz="6" w:space="0"/>
                    <w:right w:val="single" w:color="000000" w:sz="6" w:space="0"/>
                  </w:tcBorders>
                  <w:vAlign w:val="top"/>
                </w:tcPr>
                <w:p w14:paraId="2BFA8449">
                  <w:pPr>
                    <w:jc w:val="center"/>
                    <w:rPr>
                      <w:rFonts w:hint="default" w:ascii="Times New Roman" w:hAnsi="Times New Roman" w:cs="Times New Roman"/>
                      <w:sz w:val="21"/>
                      <w:szCs w:val="21"/>
                    </w:rPr>
                  </w:pPr>
                  <w:r>
                    <w:rPr>
                      <w:rFonts w:hint="default" w:ascii="Times New Roman" w:hAnsi="Times New Roman" w:cs="Times New Roman"/>
                      <w:sz w:val="21"/>
                      <w:szCs w:val="21"/>
                    </w:rPr>
                    <w:t>土石方回填（m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42566950">
                  <w:pPr>
                    <w:jc w:val="center"/>
                    <w:rPr>
                      <w:rFonts w:hint="default" w:ascii="Times New Roman" w:hAnsi="Times New Roman" w:cs="Times New Roman"/>
                      <w:sz w:val="21"/>
                      <w:szCs w:val="21"/>
                    </w:rPr>
                  </w:pPr>
                  <w:r>
                    <w:rPr>
                      <w:rFonts w:hint="default" w:ascii="Times New Roman" w:hAnsi="Times New Roman" w:cs="Times New Roman"/>
                      <w:sz w:val="21"/>
                      <w:szCs w:val="21"/>
                    </w:rPr>
                    <w:t>17750</w:t>
                  </w:r>
                </w:p>
              </w:tc>
              <w:tc>
                <w:tcPr>
                  <w:tcW w:w="1086" w:type="dxa"/>
                  <w:tcBorders>
                    <w:top w:val="single" w:color="000000" w:sz="6" w:space="0"/>
                    <w:left w:val="single" w:color="000000" w:sz="6" w:space="0"/>
                    <w:bottom w:val="single" w:color="000000" w:sz="6" w:space="0"/>
                    <w:right w:val="single" w:color="000000" w:sz="6" w:space="0"/>
                  </w:tcBorders>
                  <w:vAlign w:val="top"/>
                </w:tcPr>
                <w:p w14:paraId="7F1CBEEC">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291D7BB9">
                  <w:pPr>
                    <w:jc w:val="center"/>
                    <w:rPr>
                      <w:rFonts w:hint="default" w:ascii="Times New Roman" w:hAnsi="Times New Roman" w:cs="Times New Roman"/>
                      <w:sz w:val="21"/>
                      <w:szCs w:val="21"/>
                    </w:rPr>
                  </w:pPr>
                  <w:r>
                    <w:rPr>
                      <w:rFonts w:hint="default" w:ascii="Times New Roman" w:hAnsi="Times New Roman" w:cs="Times New Roman"/>
                      <w:sz w:val="21"/>
                      <w:szCs w:val="21"/>
                    </w:rPr>
                    <w:t>5310</w:t>
                  </w:r>
                </w:p>
              </w:tc>
              <w:tc>
                <w:tcPr>
                  <w:tcW w:w="1175" w:type="dxa"/>
                  <w:tcBorders>
                    <w:top w:val="single" w:color="000000" w:sz="6" w:space="0"/>
                    <w:left w:val="single" w:color="000000" w:sz="6" w:space="0"/>
                    <w:bottom w:val="single" w:color="000000" w:sz="6" w:space="0"/>
                  </w:tcBorders>
                  <w:vAlign w:val="top"/>
                </w:tcPr>
                <w:p w14:paraId="537EEE1C">
                  <w:pPr>
                    <w:jc w:val="center"/>
                    <w:rPr>
                      <w:rFonts w:hint="default" w:ascii="Times New Roman" w:hAnsi="Times New Roman" w:cs="Times New Roman"/>
                      <w:sz w:val="21"/>
                      <w:szCs w:val="21"/>
                    </w:rPr>
                  </w:pPr>
                  <w:r>
                    <w:rPr>
                      <w:rFonts w:hint="default" w:ascii="Times New Roman" w:hAnsi="Times New Roman" w:cs="Times New Roman"/>
                      <w:sz w:val="21"/>
                      <w:szCs w:val="21"/>
                    </w:rPr>
                    <w:t>23060</w:t>
                  </w:r>
                </w:p>
              </w:tc>
            </w:tr>
            <w:tr w14:paraId="6401E4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26190642">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506" w:type="dxa"/>
                  <w:tcBorders>
                    <w:top w:val="single" w:color="000000" w:sz="6" w:space="0"/>
                    <w:left w:val="single" w:color="000000" w:sz="6" w:space="0"/>
                    <w:bottom w:val="single" w:color="000000" w:sz="6" w:space="0"/>
                    <w:right w:val="single" w:color="000000" w:sz="6" w:space="0"/>
                  </w:tcBorders>
                  <w:vAlign w:val="top"/>
                </w:tcPr>
                <w:p w14:paraId="087EC6F2">
                  <w:pPr>
                    <w:jc w:val="center"/>
                    <w:rPr>
                      <w:rFonts w:hint="default" w:ascii="Times New Roman" w:hAnsi="Times New Roman" w:cs="Times New Roman"/>
                      <w:sz w:val="21"/>
                      <w:szCs w:val="21"/>
                    </w:rPr>
                  </w:pPr>
                  <w:r>
                    <w:rPr>
                      <w:rFonts w:hint="default" w:ascii="Times New Roman" w:hAnsi="Times New Roman" w:cs="Times New Roman"/>
                      <w:sz w:val="21"/>
                      <w:szCs w:val="21"/>
                    </w:rPr>
                    <w:t>浆砌石-挡土墙（m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5C0C2D88">
                  <w:pPr>
                    <w:jc w:val="center"/>
                    <w:rPr>
                      <w:rFonts w:hint="default" w:ascii="Times New Roman" w:hAnsi="Times New Roman" w:cs="Times New Roman"/>
                      <w:sz w:val="21"/>
                      <w:szCs w:val="21"/>
                    </w:rPr>
                  </w:pPr>
                  <w:r>
                    <w:rPr>
                      <w:rFonts w:hint="default" w:ascii="Times New Roman" w:hAnsi="Times New Roman" w:cs="Times New Roman"/>
                      <w:sz w:val="21"/>
                      <w:szCs w:val="21"/>
                    </w:rPr>
                    <w:t>400</w:t>
                  </w:r>
                </w:p>
              </w:tc>
              <w:tc>
                <w:tcPr>
                  <w:tcW w:w="1086" w:type="dxa"/>
                  <w:tcBorders>
                    <w:top w:val="single" w:color="000000" w:sz="6" w:space="0"/>
                    <w:left w:val="single" w:color="000000" w:sz="6" w:space="0"/>
                    <w:bottom w:val="single" w:color="000000" w:sz="6" w:space="0"/>
                    <w:right w:val="single" w:color="000000" w:sz="6" w:space="0"/>
                  </w:tcBorders>
                  <w:vAlign w:val="top"/>
                </w:tcPr>
                <w:p w14:paraId="6907ED92">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3A4F2E2E">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c>
                <w:tcPr>
                  <w:tcW w:w="1175" w:type="dxa"/>
                  <w:tcBorders>
                    <w:top w:val="single" w:color="000000" w:sz="6" w:space="0"/>
                    <w:left w:val="single" w:color="000000" w:sz="6" w:space="0"/>
                    <w:bottom w:val="single" w:color="000000" w:sz="6" w:space="0"/>
                  </w:tcBorders>
                  <w:vAlign w:val="top"/>
                </w:tcPr>
                <w:p w14:paraId="4D55529A">
                  <w:pPr>
                    <w:jc w:val="center"/>
                    <w:rPr>
                      <w:rFonts w:hint="default" w:ascii="Times New Roman" w:hAnsi="Times New Roman" w:cs="Times New Roman"/>
                      <w:sz w:val="21"/>
                      <w:szCs w:val="21"/>
                    </w:rPr>
                  </w:pPr>
                  <w:r>
                    <w:rPr>
                      <w:rFonts w:hint="default" w:ascii="Times New Roman" w:hAnsi="Times New Roman" w:cs="Times New Roman"/>
                      <w:sz w:val="21"/>
                      <w:szCs w:val="21"/>
                    </w:rPr>
                    <w:t>475</w:t>
                  </w:r>
                </w:p>
              </w:tc>
            </w:tr>
            <w:tr w14:paraId="497EC34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47055970">
                  <w:pPr>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506" w:type="dxa"/>
                  <w:tcBorders>
                    <w:top w:val="single" w:color="000000" w:sz="6" w:space="0"/>
                    <w:left w:val="single" w:color="000000" w:sz="6" w:space="0"/>
                    <w:bottom w:val="single" w:color="000000" w:sz="6" w:space="0"/>
                    <w:right w:val="single" w:color="000000" w:sz="6" w:space="0"/>
                  </w:tcBorders>
                  <w:vAlign w:val="top"/>
                </w:tcPr>
                <w:p w14:paraId="0DBF8989">
                  <w:pPr>
                    <w:jc w:val="center"/>
                    <w:rPr>
                      <w:rFonts w:hint="default" w:ascii="Times New Roman" w:hAnsi="Times New Roman" w:cs="Times New Roman"/>
                      <w:sz w:val="21"/>
                      <w:szCs w:val="21"/>
                    </w:rPr>
                  </w:pPr>
                  <w:r>
                    <w:rPr>
                      <w:rFonts w:hint="default" w:ascii="Times New Roman" w:hAnsi="Times New Roman" w:cs="Times New Roman"/>
                      <w:sz w:val="21"/>
                      <w:szCs w:val="21"/>
                    </w:rPr>
                    <w:t>圆管涵(m)</w:t>
                  </w:r>
                </w:p>
              </w:tc>
              <w:tc>
                <w:tcPr>
                  <w:tcW w:w="1173" w:type="dxa"/>
                  <w:tcBorders>
                    <w:top w:val="single" w:color="000000" w:sz="6" w:space="0"/>
                    <w:left w:val="single" w:color="000000" w:sz="6" w:space="0"/>
                    <w:bottom w:val="single" w:color="000000" w:sz="6" w:space="0"/>
                    <w:right w:val="single" w:color="000000" w:sz="6" w:space="0"/>
                  </w:tcBorders>
                  <w:vAlign w:val="top"/>
                </w:tcPr>
                <w:p w14:paraId="19F90ECD">
                  <w:pPr>
                    <w:jc w:val="center"/>
                    <w:rPr>
                      <w:rFonts w:hint="default" w:ascii="Times New Roman" w:hAnsi="Times New Roman" w:cs="Times New Roman"/>
                      <w:sz w:val="21"/>
                      <w:szCs w:val="21"/>
                    </w:rPr>
                  </w:pPr>
                  <w:r>
                    <w:rPr>
                      <w:rFonts w:hint="default" w:ascii="Times New Roman" w:hAnsi="Times New Roman" w:cs="Times New Roman"/>
                      <w:sz w:val="21"/>
                      <w:szCs w:val="21"/>
                    </w:rPr>
                    <w:t>180</w:t>
                  </w:r>
                </w:p>
              </w:tc>
              <w:tc>
                <w:tcPr>
                  <w:tcW w:w="1086" w:type="dxa"/>
                  <w:tcBorders>
                    <w:top w:val="single" w:color="000000" w:sz="6" w:space="0"/>
                    <w:left w:val="single" w:color="000000" w:sz="6" w:space="0"/>
                    <w:bottom w:val="single" w:color="000000" w:sz="6" w:space="0"/>
                    <w:right w:val="single" w:color="000000" w:sz="6" w:space="0"/>
                  </w:tcBorders>
                  <w:vAlign w:val="top"/>
                </w:tcPr>
                <w:p w14:paraId="0C66012D">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0FA59A5C">
                  <w:pPr>
                    <w:jc w:val="center"/>
                    <w:rPr>
                      <w:rFonts w:hint="default" w:ascii="Times New Roman" w:hAnsi="Times New Roman" w:cs="Times New Roman"/>
                      <w:sz w:val="21"/>
                      <w:szCs w:val="21"/>
                    </w:rPr>
                  </w:pPr>
                  <w:r>
                    <w:rPr>
                      <w:rFonts w:hint="default" w:ascii="Times New Roman" w:hAnsi="Times New Roman" w:cs="Times New Roman"/>
                      <w:sz w:val="21"/>
                      <w:szCs w:val="21"/>
                    </w:rPr>
                    <w:t>32</w:t>
                  </w:r>
                </w:p>
              </w:tc>
              <w:tc>
                <w:tcPr>
                  <w:tcW w:w="1175" w:type="dxa"/>
                  <w:tcBorders>
                    <w:top w:val="single" w:color="000000" w:sz="6" w:space="0"/>
                    <w:left w:val="single" w:color="000000" w:sz="6" w:space="0"/>
                    <w:bottom w:val="single" w:color="000000" w:sz="6" w:space="0"/>
                  </w:tcBorders>
                  <w:vAlign w:val="top"/>
                </w:tcPr>
                <w:p w14:paraId="6E1049C9">
                  <w:pPr>
                    <w:jc w:val="center"/>
                    <w:rPr>
                      <w:rFonts w:hint="default" w:ascii="Times New Roman" w:hAnsi="Times New Roman" w:cs="Times New Roman"/>
                      <w:sz w:val="21"/>
                      <w:szCs w:val="21"/>
                    </w:rPr>
                  </w:pPr>
                  <w:r>
                    <w:rPr>
                      <w:rFonts w:hint="default" w:ascii="Times New Roman" w:hAnsi="Times New Roman" w:cs="Times New Roman"/>
                      <w:sz w:val="21"/>
                      <w:szCs w:val="21"/>
                    </w:rPr>
                    <w:t>212</w:t>
                  </w:r>
                </w:p>
              </w:tc>
            </w:tr>
            <w:tr w14:paraId="30BBB6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7DCD9B46">
                  <w:pPr>
                    <w:jc w:val="center"/>
                    <w:rPr>
                      <w:rFonts w:hint="default" w:ascii="Times New Roman" w:hAnsi="Times New Roman" w:cs="Times New Roman"/>
                      <w:sz w:val="21"/>
                      <w:szCs w:val="21"/>
                    </w:rPr>
                  </w:pPr>
                  <w:r>
                    <w:rPr>
                      <w:rFonts w:hint="default" w:ascii="Times New Roman" w:hAnsi="Times New Roman" w:cs="Times New Roman"/>
                      <w:sz w:val="21"/>
                      <w:szCs w:val="21"/>
                    </w:rPr>
                    <w:t>7</w:t>
                  </w:r>
                </w:p>
              </w:tc>
              <w:tc>
                <w:tcPr>
                  <w:tcW w:w="2506" w:type="dxa"/>
                  <w:tcBorders>
                    <w:top w:val="single" w:color="000000" w:sz="6" w:space="0"/>
                    <w:left w:val="single" w:color="000000" w:sz="6" w:space="0"/>
                    <w:bottom w:val="single" w:color="000000" w:sz="6" w:space="0"/>
                    <w:right w:val="single" w:color="000000" w:sz="6" w:space="0"/>
                  </w:tcBorders>
                  <w:vAlign w:val="top"/>
                </w:tcPr>
                <w:p w14:paraId="614F32FC">
                  <w:pPr>
                    <w:jc w:val="center"/>
                    <w:rPr>
                      <w:rFonts w:hint="default" w:ascii="Times New Roman" w:hAnsi="Times New Roman" w:cs="Times New Roman"/>
                      <w:sz w:val="21"/>
                      <w:szCs w:val="21"/>
                    </w:rPr>
                  </w:pPr>
                  <w:r>
                    <w:rPr>
                      <w:rFonts w:hint="default" w:ascii="Times New Roman" w:hAnsi="Times New Roman" w:cs="Times New Roman"/>
                      <w:sz w:val="21"/>
                      <w:szCs w:val="21"/>
                    </w:rPr>
                    <w:t>20cm 泥结碎石面层（m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4D797A34">
                  <w:pPr>
                    <w:jc w:val="center"/>
                    <w:rPr>
                      <w:rFonts w:hint="default" w:ascii="Times New Roman" w:hAnsi="Times New Roman" w:cs="Times New Roman"/>
                      <w:sz w:val="21"/>
                      <w:szCs w:val="21"/>
                    </w:rPr>
                  </w:pPr>
                  <w:r>
                    <w:rPr>
                      <w:rFonts w:hint="default" w:ascii="Times New Roman" w:hAnsi="Times New Roman" w:cs="Times New Roman"/>
                      <w:sz w:val="21"/>
                      <w:szCs w:val="21"/>
                    </w:rPr>
                    <w:t>13965</w:t>
                  </w:r>
                </w:p>
              </w:tc>
              <w:tc>
                <w:tcPr>
                  <w:tcW w:w="1086" w:type="dxa"/>
                  <w:tcBorders>
                    <w:top w:val="single" w:color="000000" w:sz="6" w:space="0"/>
                    <w:left w:val="single" w:color="000000" w:sz="6" w:space="0"/>
                    <w:bottom w:val="single" w:color="000000" w:sz="6" w:space="0"/>
                    <w:right w:val="single" w:color="000000" w:sz="6" w:space="0"/>
                  </w:tcBorders>
                  <w:vAlign w:val="top"/>
                </w:tcPr>
                <w:p w14:paraId="374D5BEB">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3CE8881A">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75" w:type="dxa"/>
                  <w:tcBorders>
                    <w:top w:val="single" w:color="000000" w:sz="6" w:space="0"/>
                    <w:left w:val="single" w:color="000000" w:sz="6" w:space="0"/>
                    <w:bottom w:val="single" w:color="000000" w:sz="6" w:space="0"/>
                  </w:tcBorders>
                  <w:vAlign w:val="top"/>
                </w:tcPr>
                <w:p w14:paraId="29AFB275">
                  <w:pPr>
                    <w:jc w:val="center"/>
                    <w:rPr>
                      <w:rFonts w:hint="default" w:ascii="Times New Roman" w:hAnsi="Times New Roman" w:cs="Times New Roman"/>
                      <w:sz w:val="21"/>
                      <w:szCs w:val="21"/>
                    </w:rPr>
                  </w:pPr>
                  <w:r>
                    <w:rPr>
                      <w:rFonts w:hint="default" w:ascii="Times New Roman" w:hAnsi="Times New Roman" w:cs="Times New Roman"/>
                      <w:sz w:val="21"/>
                      <w:szCs w:val="21"/>
                    </w:rPr>
                    <w:t>13965</w:t>
                  </w:r>
                </w:p>
              </w:tc>
            </w:tr>
            <w:tr w14:paraId="2296E08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10245EBF">
                  <w:pPr>
                    <w:jc w:val="center"/>
                    <w:rPr>
                      <w:rFonts w:hint="default" w:ascii="Times New Roman" w:hAnsi="Times New Roman" w:cs="Times New Roman"/>
                      <w:sz w:val="21"/>
                      <w:szCs w:val="21"/>
                    </w:rPr>
                  </w:pPr>
                  <w:r>
                    <w:rPr>
                      <w:rFonts w:hint="default" w:ascii="Times New Roman" w:hAnsi="Times New Roman" w:cs="Times New Roman"/>
                      <w:sz w:val="21"/>
                      <w:szCs w:val="21"/>
                    </w:rPr>
                    <w:t>8</w:t>
                  </w:r>
                </w:p>
              </w:tc>
              <w:tc>
                <w:tcPr>
                  <w:tcW w:w="2506" w:type="dxa"/>
                  <w:tcBorders>
                    <w:top w:val="single" w:color="000000" w:sz="6" w:space="0"/>
                    <w:left w:val="single" w:color="000000" w:sz="6" w:space="0"/>
                    <w:bottom w:val="single" w:color="000000" w:sz="6" w:space="0"/>
                    <w:right w:val="single" w:color="000000" w:sz="6" w:space="0"/>
                  </w:tcBorders>
                  <w:vAlign w:val="top"/>
                </w:tcPr>
                <w:p w14:paraId="03812D51">
                  <w:pPr>
                    <w:jc w:val="center"/>
                    <w:rPr>
                      <w:rFonts w:hint="default" w:ascii="Times New Roman" w:hAnsi="Times New Roman" w:cs="Times New Roman"/>
                      <w:sz w:val="21"/>
                      <w:szCs w:val="21"/>
                    </w:rPr>
                  </w:pPr>
                  <w:r>
                    <w:rPr>
                      <w:rFonts w:hint="default" w:ascii="Times New Roman" w:hAnsi="Times New Roman" w:cs="Times New Roman"/>
                      <w:sz w:val="21"/>
                      <w:szCs w:val="21"/>
                    </w:rPr>
                    <w:t>15cm 厚水泥混凝土面层（m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10E8CC49">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bottom w:val="single" w:color="000000" w:sz="6" w:space="0"/>
                    <w:right w:val="single" w:color="000000" w:sz="6" w:space="0"/>
                  </w:tcBorders>
                  <w:vAlign w:val="top"/>
                </w:tcPr>
                <w:p w14:paraId="489A2CB7">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bottom w:val="single" w:color="000000" w:sz="6" w:space="0"/>
                    <w:right w:val="single" w:color="000000" w:sz="6" w:space="0"/>
                  </w:tcBorders>
                  <w:vAlign w:val="top"/>
                </w:tcPr>
                <w:p w14:paraId="17F92CFC">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c>
                <w:tcPr>
                  <w:tcW w:w="1175" w:type="dxa"/>
                  <w:tcBorders>
                    <w:top w:val="single" w:color="000000" w:sz="6" w:space="0"/>
                    <w:left w:val="single" w:color="000000" w:sz="6" w:space="0"/>
                    <w:bottom w:val="single" w:color="000000" w:sz="6" w:space="0"/>
                  </w:tcBorders>
                  <w:vAlign w:val="top"/>
                </w:tcPr>
                <w:p w14:paraId="054C18AF">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r>
            <w:tr w14:paraId="0CDC69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1D185D37">
                  <w:pPr>
                    <w:jc w:val="center"/>
                    <w:rPr>
                      <w:rFonts w:hint="default" w:ascii="Times New Roman" w:hAnsi="Times New Roman" w:cs="Times New Roman"/>
                      <w:sz w:val="21"/>
                      <w:szCs w:val="21"/>
                    </w:rPr>
                  </w:pPr>
                  <w:r>
                    <w:rPr>
                      <w:rFonts w:hint="default" w:ascii="Times New Roman" w:hAnsi="Times New Roman" w:cs="Times New Roman"/>
                      <w:sz w:val="21"/>
                      <w:szCs w:val="21"/>
                    </w:rPr>
                    <w:t>9</w:t>
                  </w:r>
                </w:p>
              </w:tc>
              <w:tc>
                <w:tcPr>
                  <w:tcW w:w="2506" w:type="dxa"/>
                  <w:tcBorders>
                    <w:top w:val="single" w:color="000000" w:sz="6" w:space="0"/>
                    <w:left w:val="single" w:color="000000" w:sz="6" w:space="0"/>
                    <w:bottom w:val="single" w:color="000000" w:sz="6" w:space="0"/>
                    <w:right w:val="single" w:color="000000" w:sz="6" w:space="0"/>
                  </w:tcBorders>
                  <w:vAlign w:val="top"/>
                </w:tcPr>
                <w:p w14:paraId="2CB228AC">
                  <w:pPr>
                    <w:jc w:val="center"/>
                    <w:rPr>
                      <w:rFonts w:hint="default" w:ascii="Times New Roman" w:hAnsi="Times New Roman" w:cs="Times New Roman"/>
                      <w:sz w:val="21"/>
                      <w:szCs w:val="21"/>
                    </w:rPr>
                  </w:pPr>
                  <w:r>
                    <w:rPr>
                      <w:rFonts w:hint="default" w:ascii="Times New Roman" w:hAnsi="Times New Roman" w:cs="Times New Roman"/>
                      <w:sz w:val="21"/>
                      <w:szCs w:val="21"/>
                    </w:rPr>
                    <w:t>20cm 级配碎石基层（m</w:t>
                  </w:r>
                  <w:r>
                    <w:rPr>
                      <w:rFonts w:hint="default" w:ascii="Times New Roman" w:hAnsi="Times New Roman" w:cs="Times New Roman"/>
                      <w:sz w:val="21"/>
                      <w:szCs w:val="21"/>
                      <w:vertAlign w:val="superscript"/>
                    </w:rPr>
                    <w:t>2</w:t>
                  </w:r>
                  <w:r>
                    <w:rPr>
                      <w:rFonts w:hint="default" w:ascii="Times New Roman" w:hAnsi="Times New Roman" w:cs="Times New Roman"/>
                      <w:sz w:val="21"/>
                      <w:szCs w:val="21"/>
                    </w:rPr>
                    <w:t>）</w:t>
                  </w:r>
                </w:p>
              </w:tc>
              <w:tc>
                <w:tcPr>
                  <w:tcW w:w="1173" w:type="dxa"/>
                  <w:tcBorders>
                    <w:top w:val="single" w:color="000000" w:sz="6" w:space="0"/>
                    <w:left w:val="single" w:color="000000" w:sz="6" w:space="0"/>
                    <w:bottom w:val="single" w:color="000000" w:sz="6" w:space="0"/>
                    <w:right w:val="single" w:color="000000" w:sz="6" w:space="0"/>
                  </w:tcBorders>
                  <w:vAlign w:val="top"/>
                </w:tcPr>
                <w:p w14:paraId="7AB8B723">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bottom w:val="single" w:color="000000" w:sz="6" w:space="0"/>
                    <w:right w:val="single" w:color="000000" w:sz="6" w:space="0"/>
                  </w:tcBorders>
                  <w:vAlign w:val="top"/>
                </w:tcPr>
                <w:p w14:paraId="30BCDC3C">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bottom w:val="single" w:color="000000" w:sz="6" w:space="0"/>
                    <w:right w:val="single" w:color="000000" w:sz="6" w:space="0"/>
                  </w:tcBorders>
                  <w:vAlign w:val="top"/>
                </w:tcPr>
                <w:p w14:paraId="45CBD4B6">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c>
                <w:tcPr>
                  <w:tcW w:w="1175" w:type="dxa"/>
                  <w:tcBorders>
                    <w:top w:val="single" w:color="000000" w:sz="6" w:space="0"/>
                    <w:left w:val="single" w:color="000000" w:sz="6" w:space="0"/>
                    <w:bottom w:val="single" w:color="000000" w:sz="6" w:space="0"/>
                  </w:tcBorders>
                  <w:vAlign w:val="top"/>
                </w:tcPr>
                <w:p w14:paraId="35FA36AD">
                  <w:pPr>
                    <w:jc w:val="center"/>
                    <w:rPr>
                      <w:rFonts w:hint="default" w:ascii="Times New Roman" w:hAnsi="Times New Roman" w:cs="Times New Roman"/>
                      <w:sz w:val="21"/>
                      <w:szCs w:val="21"/>
                    </w:rPr>
                  </w:pPr>
                  <w:r>
                    <w:rPr>
                      <w:rFonts w:hint="default" w:ascii="Times New Roman" w:hAnsi="Times New Roman" w:cs="Times New Roman"/>
                      <w:sz w:val="21"/>
                      <w:szCs w:val="21"/>
                    </w:rPr>
                    <w:t>2970</w:t>
                  </w:r>
                </w:p>
              </w:tc>
            </w:tr>
            <w:tr w14:paraId="013F75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bottom w:val="single" w:color="000000" w:sz="6" w:space="0"/>
                    <w:right w:val="single" w:color="000000" w:sz="6" w:space="0"/>
                  </w:tcBorders>
                  <w:vAlign w:val="top"/>
                </w:tcPr>
                <w:p w14:paraId="0D640229">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506" w:type="dxa"/>
                  <w:tcBorders>
                    <w:top w:val="single" w:color="000000" w:sz="6" w:space="0"/>
                    <w:left w:val="single" w:color="000000" w:sz="6" w:space="0"/>
                    <w:bottom w:val="single" w:color="000000" w:sz="6" w:space="0"/>
                    <w:right w:val="single" w:color="000000" w:sz="6" w:space="0"/>
                  </w:tcBorders>
                  <w:vAlign w:val="top"/>
                </w:tcPr>
                <w:p w14:paraId="60F54BEB">
                  <w:pPr>
                    <w:jc w:val="center"/>
                    <w:rPr>
                      <w:rFonts w:hint="default" w:ascii="Times New Roman" w:hAnsi="Times New Roman" w:cs="Times New Roman"/>
                      <w:sz w:val="21"/>
                      <w:szCs w:val="21"/>
                    </w:rPr>
                  </w:pPr>
                  <w:r>
                    <w:rPr>
                      <w:rFonts w:hint="default" w:ascii="Times New Roman" w:hAnsi="Times New Roman" w:cs="Times New Roman"/>
                      <w:sz w:val="21"/>
                      <w:szCs w:val="21"/>
                    </w:rPr>
                    <w:t>土边沟（m）</w:t>
                  </w:r>
                </w:p>
              </w:tc>
              <w:tc>
                <w:tcPr>
                  <w:tcW w:w="1173" w:type="dxa"/>
                  <w:tcBorders>
                    <w:top w:val="single" w:color="000000" w:sz="6" w:space="0"/>
                    <w:left w:val="single" w:color="000000" w:sz="6" w:space="0"/>
                    <w:bottom w:val="single" w:color="000000" w:sz="6" w:space="0"/>
                    <w:right w:val="single" w:color="000000" w:sz="6" w:space="0"/>
                  </w:tcBorders>
                  <w:vAlign w:val="top"/>
                </w:tcPr>
                <w:p w14:paraId="4C330428">
                  <w:pPr>
                    <w:jc w:val="center"/>
                    <w:rPr>
                      <w:rFonts w:hint="default" w:ascii="Times New Roman" w:hAnsi="Times New Roman" w:cs="Times New Roman"/>
                      <w:sz w:val="21"/>
                      <w:szCs w:val="21"/>
                    </w:rPr>
                  </w:pPr>
                  <w:r>
                    <w:rPr>
                      <w:rFonts w:hint="default" w:ascii="Times New Roman" w:hAnsi="Times New Roman" w:cs="Times New Roman"/>
                      <w:sz w:val="21"/>
                      <w:szCs w:val="21"/>
                    </w:rPr>
                    <w:t>1596</w:t>
                  </w:r>
                </w:p>
              </w:tc>
              <w:tc>
                <w:tcPr>
                  <w:tcW w:w="1086" w:type="dxa"/>
                  <w:tcBorders>
                    <w:top w:val="single" w:color="000000" w:sz="6" w:space="0"/>
                    <w:left w:val="single" w:color="000000" w:sz="6" w:space="0"/>
                    <w:bottom w:val="single" w:color="000000" w:sz="6" w:space="0"/>
                    <w:right w:val="single" w:color="000000" w:sz="6" w:space="0"/>
                  </w:tcBorders>
                  <w:vAlign w:val="top"/>
                </w:tcPr>
                <w:p w14:paraId="78B7B238">
                  <w:pPr>
                    <w:jc w:val="center"/>
                    <w:rPr>
                      <w:rFonts w:hint="default" w:ascii="Times New Roman" w:hAnsi="Times New Roman" w:cs="Times New Roman"/>
                      <w:sz w:val="21"/>
                      <w:szCs w:val="21"/>
                    </w:rPr>
                  </w:pPr>
                  <w:r>
                    <w:rPr>
                      <w:rFonts w:hint="default" w:ascii="Times New Roman" w:hAnsi="Times New Roman" w:cs="Times New Roman"/>
                      <w:sz w:val="21"/>
                      <w:szCs w:val="21"/>
                    </w:rPr>
                    <w:t>0</w:t>
                  </w:r>
                </w:p>
              </w:tc>
              <w:tc>
                <w:tcPr>
                  <w:tcW w:w="1145" w:type="dxa"/>
                  <w:tcBorders>
                    <w:top w:val="single" w:color="000000" w:sz="6" w:space="0"/>
                    <w:left w:val="single" w:color="000000" w:sz="6" w:space="0"/>
                    <w:bottom w:val="single" w:color="000000" w:sz="6" w:space="0"/>
                    <w:right w:val="single" w:color="000000" w:sz="6" w:space="0"/>
                  </w:tcBorders>
                  <w:vAlign w:val="top"/>
                </w:tcPr>
                <w:p w14:paraId="66015E99">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75" w:type="dxa"/>
                  <w:tcBorders>
                    <w:top w:val="single" w:color="000000" w:sz="6" w:space="0"/>
                    <w:left w:val="single" w:color="000000" w:sz="6" w:space="0"/>
                    <w:bottom w:val="single" w:color="000000" w:sz="6" w:space="0"/>
                  </w:tcBorders>
                  <w:vAlign w:val="top"/>
                </w:tcPr>
                <w:p w14:paraId="549C6A80">
                  <w:pPr>
                    <w:jc w:val="center"/>
                    <w:rPr>
                      <w:rFonts w:hint="default" w:ascii="Times New Roman" w:hAnsi="Times New Roman" w:cs="Times New Roman"/>
                      <w:sz w:val="21"/>
                      <w:szCs w:val="21"/>
                    </w:rPr>
                  </w:pPr>
                  <w:r>
                    <w:rPr>
                      <w:rFonts w:hint="default" w:ascii="Times New Roman" w:hAnsi="Times New Roman" w:cs="Times New Roman"/>
                      <w:sz w:val="21"/>
                      <w:szCs w:val="21"/>
                    </w:rPr>
                    <w:t>1596</w:t>
                  </w:r>
                </w:p>
              </w:tc>
            </w:tr>
            <w:tr w14:paraId="3D9050D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3" w:hRule="atLeast"/>
                <w:jc w:val="center"/>
              </w:trPr>
              <w:tc>
                <w:tcPr>
                  <w:tcW w:w="731" w:type="dxa"/>
                  <w:tcBorders>
                    <w:top w:val="single" w:color="000000" w:sz="6" w:space="0"/>
                    <w:right w:val="single" w:color="000000" w:sz="6" w:space="0"/>
                  </w:tcBorders>
                  <w:vAlign w:val="top"/>
                </w:tcPr>
                <w:p w14:paraId="031A0F8F">
                  <w:pPr>
                    <w:jc w:val="center"/>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506" w:type="dxa"/>
                  <w:tcBorders>
                    <w:top w:val="single" w:color="000000" w:sz="6" w:space="0"/>
                    <w:left w:val="single" w:color="000000" w:sz="6" w:space="0"/>
                    <w:right w:val="single" w:color="000000" w:sz="6" w:space="0"/>
                  </w:tcBorders>
                  <w:vAlign w:val="top"/>
                </w:tcPr>
                <w:p w14:paraId="08F8F1A6">
                  <w:pPr>
                    <w:jc w:val="center"/>
                    <w:rPr>
                      <w:rFonts w:hint="default" w:ascii="Times New Roman" w:hAnsi="Times New Roman" w:cs="Times New Roman"/>
                      <w:sz w:val="21"/>
                      <w:szCs w:val="21"/>
                    </w:rPr>
                  </w:pPr>
                  <w:r>
                    <w:rPr>
                      <w:rFonts w:hint="default" w:ascii="Times New Roman" w:hAnsi="Times New Roman" w:cs="Times New Roman"/>
                      <w:sz w:val="21"/>
                      <w:szCs w:val="21"/>
                    </w:rPr>
                    <w:t>混凝土边沟（m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c>
                <w:tcPr>
                  <w:tcW w:w="1173" w:type="dxa"/>
                  <w:tcBorders>
                    <w:top w:val="single" w:color="000000" w:sz="6" w:space="0"/>
                    <w:left w:val="single" w:color="000000" w:sz="6" w:space="0"/>
                    <w:right w:val="single" w:color="000000" w:sz="6" w:space="0"/>
                  </w:tcBorders>
                  <w:vAlign w:val="top"/>
                </w:tcPr>
                <w:p w14:paraId="7AFDE652">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086" w:type="dxa"/>
                  <w:tcBorders>
                    <w:top w:val="single" w:color="000000" w:sz="6" w:space="0"/>
                    <w:left w:val="single" w:color="000000" w:sz="6" w:space="0"/>
                    <w:right w:val="single" w:color="000000" w:sz="6" w:space="0"/>
                  </w:tcBorders>
                  <w:vAlign w:val="top"/>
                </w:tcPr>
                <w:p w14:paraId="589B317C">
                  <w:pPr>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w:t>
                  </w:r>
                </w:p>
              </w:tc>
              <w:tc>
                <w:tcPr>
                  <w:tcW w:w="1145" w:type="dxa"/>
                  <w:tcBorders>
                    <w:top w:val="single" w:color="000000" w:sz="6" w:space="0"/>
                    <w:left w:val="single" w:color="000000" w:sz="6" w:space="0"/>
                    <w:right w:val="single" w:color="000000" w:sz="6" w:space="0"/>
                  </w:tcBorders>
                  <w:vAlign w:val="top"/>
                </w:tcPr>
                <w:p w14:paraId="234D634F">
                  <w:pPr>
                    <w:jc w:val="center"/>
                    <w:rPr>
                      <w:rFonts w:hint="default" w:ascii="Times New Roman" w:hAnsi="Times New Roman" w:cs="Times New Roman"/>
                      <w:sz w:val="21"/>
                      <w:szCs w:val="21"/>
                    </w:rPr>
                  </w:pPr>
                  <w:r>
                    <w:rPr>
                      <w:rFonts w:hint="default" w:ascii="Times New Roman" w:hAnsi="Times New Roman" w:cs="Times New Roman"/>
                      <w:sz w:val="21"/>
                      <w:szCs w:val="21"/>
                    </w:rPr>
                    <w:t>215</w:t>
                  </w:r>
                </w:p>
              </w:tc>
              <w:tc>
                <w:tcPr>
                  <w:tcW w:w="1175" w:type="dxa"/>
                  <w:tcBorders>
                    <w:top w:val="single" w:color="000000" w:sz="6" w:space="0"/>
                    <w:left w:val="single" w:color="000000" w:sz="6" w:space="0"/>
                  </w:tcBorders>
                  <w:vAlign w:val="top"/>
                </w:tcPr>
                <w:p w14:paraId="0CC6AE7B">
                  <w:pPr>
                    <w:jc w:val="center"/>
                    <w:rPr>
                      <w:rFonts w:hint="default" w:ascii="Times New Roman" w:hAnsi="Times New Roman" w:cs="Times New Roman"/>
                      <w:sz w:val="21"/>
                      <w:szCs w:val="21"/>
                    </w:rPr>
                  </w:pPr>
                  <w:r>
                    <w:rPr>
                      <w:rFonts w:hint="default" w:ascii="Times New Roman" w:hAnsi="Times New Roman" w:cs="Times New Roman"/>
                      <w:sz w:val="21"/>
                      <w:szCs w:val="21"/>
                    </w:rPr>
                    <w:t>215</w:t>
                  </w:r>
                </w:p>
              </w:tc>
            </w:tr>
          </w:tbl>
          <w:p w14:paraId="6334E04B">
            <w:pPr>
              <w:pStyle w:val="25"/>
              <w:numPr>
                <w:ilvl w:val="0"/>
                <w:numId w:val="0"/>
              </w:numPr>
              <w:bidi w:val="0"/>
              <w:ind w:leftChars="0" w:firstLine="482" w:firstLineChars="200"/>
              <w:jc w:val="left"/>
              <w:rPr>
                <w:rFonts w:hint="default"/>
                <w:lang w:val="en-US" w:eastAsia="zh-CN"/>
              </w:rPr>
            </w:pPr>
            <w:r>
              <w:rPr>
                <w:rFonts w:hint="eastAsia" w:ascii="Times New Roman" w:hAnsi="Times New Roman" w:eastAsia="宋体" w:cs="Times New Roman"/>
                <w:b/>
                <w:bCs/>
                <w:sz w:val="24"/>
                <w:szCs w:val="24"/>
                <w:lang w:val="en-US" w:eastAsia="zh-CN"/>
              </w:rPr>
              <w:t>6</w:t>
            </w:r>
            <w:r>
              <w:rPr>
                <w:rFonts w:hint="default"/>
                <w:b/>
                <w:bCs/>
                <w:lang w:val="en-US" w:eastAsia="zh-CN"/>
              </w:rPr>
              <w:t>、消防系统</w:t>
            </w:r>
          </w:p>
          <w:p w14:paraId="3FC772CA">
            <w:pPr>
              <w:pStyle w:val="25"/>
              <w:numPr>
                <w:ilvl w:val="0"/>
                <w:numId w:val="0"/>
              </w:numPr>
              <w:bidi w:val="0"/>
              <w:spacing w:line="360" w:lineRule="auto"/>
              <w:ind w:leftChars="0" w:firstLine="480" w:firstLineChars="200"/>
              <w:jc w:val="left"/>
              <w:rPr>
                <w:rFonts w:hint="eastAsia" w:ascii="宋体" w:hAnsi="宋体" w:eastAsia="宋体" w:cs="宋体"/>
                <w:color w:val="auto"/>
                <w:spacing w:val="-1"/>
                <w:sz w:val="24"/>
                <w:szCs w:val="24"/>
                <w:lang w:eastAsia="zh-CN"/>
              </w:rPr>
            </w:pPr>
            <w:r>
              <w:rPr>
                <w:rFonts w:hint="default"/>
                <w:lang w:val="en-US" w:eastAsia="zh-CN"/>
              </w:rPr>
              <w:t>消防设计贯彻“预防为主，防消结合”的方针，立足自防自救。针对不同建（构）筑物和设施，采取多种消防措施。在工艺设计、设备及材料选用、平面布置、消防通道等 均按照有关消防规定执行。光伏电站站区消防系统包括：火灾灾探测报警系统及移动式灭火设备。</w:t>
            </w:r>
            <w:r>
              <w:rPr>
                <w:rFonts w:ascii="宋体" w:hAnsi="宋体" w:eastAsia="宋体" w:cs="宋体"/>
                <w:spacing w:val="-2"/>
                <w:sz w:val="24"/>
                <w:szCs w:val="24"/>
              </w:rPr>
              <w:t>在施工区及施工生活区内按照有关部门消防安全的要求，配备足够的灭火器材。对</w:t>
            </w:r>
            <w:r>
              <w:rPr>
                <w:rFonts w:ascii="宋体" w:hAnsi="宋体" w:eastAsia="宋体" w:cs="宋体"/>
                <w:spacing w:val="-5"/>
                <w:sz w:val="24"/>
                <w:szCs w:val="24"/>
              </w:rPr>
              <w:t>所有的施工上岗人员进行上岗前的消防安全教育。并指定专人（安全员</w:t>
            </w:r>
            <w:r>
              <w:rPr>
                <w:rFonts w:hint="eastAsia" w:eastAsia="宋体" w:cs="宋体"/>
                <w:spacing w:val="-5"/>
                <w:sz w:val="24"/>
                <w:szCs w:val="24"/>
                <w:lang w:eastAsia="zh-CN"/>
              </w:rPr>
              <w:t>）</w:t>
            </w:r>
            <w:r>
              <w:rPr>
                <w:rFonts w:ascii="宋体" w:hAnsi="宋体" w:eastAsia="宋体" w:cs="宋体"/>
                <w:spacing w:val="-5"/>
                <w:sz w:val="24"/>
                <w:szCs w:val="24"/>
              </w:rPr>
              <w:t>进行消防安全</w:t>
            </w:r>
            <w:r>
              <w:rPr>
                <w:rFonts w:ascii="宋体" w:hAnsi="宋体" w:eastAsia="宋体" w:cs="宋体"/>
                <w:sz w:val="24"/>
                <w:szCs w:val="24"/>
              </w:rPr>
              <w:t xml:space="preserve"> </w:t>
            </w:r>
            <w:r>
              <w:rPr>
                <w:rFonts w:ascii="宋体" w:hAnsi="宋体" w:eastAsia="宋体" w:cs="宋体"/>
                <w:spacing w:val="-1"/>
                <w:sz w:val="24"/>
                <w:szCs w:val="24"/>
              </w:rPr>
              <w:t>监督，定期对施工</w:t>
            </w:r>
            <w:r>
              <w:rPr>
                <w:rFonts w:ascii="宋体" w:hAnsi="宋体" w:eastAsia="宋体" w:cs="宋体"/>
                <w:color w:val="auto"/>
                <w:spacing w:val="-1"/>
                <w:sz w:val="24"/>
                <w:szCs w:val="24"/>
              </w:rPr>
              <w:t>中存在的消防安全隐患进行排查，确保消防安全</w:t>
            </w:r>
            <w:r>
              <w:rPr>
                <w:rFonts w:hint="eastAsia" w:ascii="宋体" w:hAnsi="宋体" w:eastAsia="宋体" w:cs="宋体"/>
                <w:color w:val="auto"/>
                <w:spacing w:val="-1"/>
                <w:sz w:val="24"/>
                <w:szCs w:val="24"/>
                <w:lang w:eastAsia="zh-CN"/>
              </w:rPr>
              <w:t>。</w:t>
            </w:r>
          </w:p>
          <w:p w14:paraId="128ECE01">
            <w:pPr>
              <w:pStyle w:val="8"/>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三、</w:t>
            </w:r>
            <w:bookmarkStart w:id="9" w:name="_Toc108528783"/>
            <w:r>
              <w:rPr>
                <w:rFonts w:hint="default" w:ascii="Times New Roman" w:hAnsi="Times New Roman" w:eastAsia="宋体" w:cs="Times New Roman"/>
                <w:b/>
                <w:bCs/>
                <w:color w:val="auto"/>
                <w:sz w:val="24"/>
                <w:szCs w:val="24"/>
                <w:lang w:val="en-US" w:eastAsia="zh-CN"/>
              </w:rPr>
              <w:t>工程占地</w:t>
            </w:r>
            <w:bookmarkEnd w:id="9"/>
          </w:p>
          <w:p w14:paraId="6657EE0F">
            <w:pPr>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项目用地总规</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1958亩</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w:t>
            </w:r>
            <w:r>
              <w:rPr>
                <w:rFonts w:hint="default" w:ascii="Times New Roman" w:hAnsi="Times New Roman" w:eastAsia="宋体" w:cs="Times New Roman"/>
                <w:b w:val="0"/>
                <w:bCs w:val="0"/>
                <w:color w:val="auto"/>
                <w:kern w:val="2"/>
                <w:sz w:val="24"/>
                <w:szCs w:val="24"/>
                <w:lang w:val="en-US" w:eastAsia="zh-CN" w:bidi="ar-SA"/>
              </w:rPr>
              <w:t>面积约（含边坡）</w:t>
            </w:r>
            <w:r>
              <w:rPr>
                <w:rFonts w:hint="eastAsia" w:ascii="Times New Roman" w:hAnsi="Times New Roman" w:eastAsia="宋体" w:cs="Times New Roman"/>
                <w:color w:val="auto"/>
                <w:sz w:val="24"/>
                <w:szCs w:val="24"/>
                <w:lang w:val="en-US" w:eastAsia="zh-CN"/>
              </w:rPr>
              <w:t>8970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，项目设置26个光伏方阵，根据布置情况分为北片区及南片区，占地面积约1032255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w:t>
            </w:r>
          </w:p>
          <w:p w14:paraId="6A2FB56A">
            <w:pPr>
              <w:pStyle w:val="8"/>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val="0"/>
                <w:bCs w:val="0"/>
                <w:color w:val="auto"/>
                <w:kern w:val="2"/>
                <w:sz w:val="24"/>
                <w:szCs w:val="24"/>
                <w:lang w:val="en-US" w:eastAsia="zh-CN" w:bidi="ar-SA"/>
              </w:rPr>
              <w:t>其中</w:t>
            </w:r>
            <w:r>
              <w:rPr>
                <w:rFonts w:hint="default" w:ascii="Times New Roman" w:hAnsi="Times New Roman" w:eastAsia="宋体" w:cs="Times New Roman"/>
                <w:b w:val="0"/>
                <w:bCs w:val="0"/>
                <w:color w:val="auto"/>
                <w:kern w:val="2"/>
                <w:sz w:val="24"/>
                <w:szCs w:val="24"/>
                <w:lang w:val="en-US" w:eastAsia="zh-CN" w:bidi="ar-SA"/>
              </w:rPr>
              <w:t>永久用地为塔基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升压站与箱变，其中塔基用地规模</w:t>
            </w:r>
            <w:r>
              <w:rPr>
                <w:rFonts w:hint="eastAsia" w:ascii="Times New Roman" w:hAnsi="Times New Roman" w:eastAsia="宋体" w:cs="Times New Roman"/>
                <w:b w:val="0"/>
                <w:bCs w:val="0"/>
                <w:color w:val="auto"/>
                <w:kern w:val="2"/>
                <w:sz w:val="24"/>
                <w:szCs w:val="24"/>
                <w:lang w:val="en-US" w:eastAsia="zh-CN" w:bidi="ar-SA"/>
              </w:rPr>
              <w:t>768</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、升压站用地规模为</w:t>
            </w:r>
            <w:r>
              <w:rPr>
                <w:rFonts w:hint="eastAsia" w:ascii="Times New Roman" w:hAnsi="Times New Roman" w:eastAsia="宋体" w:cs="Times New Roman"/>
                <w:b w:val="0"/>
                <w:bCs w:val="0"/>
                <w:color w:val="auto"/>
                <w:kern w:val="2"/>
                <w:sz w:val="24"/>
                <w:szCs w:val="24"/>
                <w:lang w:val="en-US" w:eastAsia="zh-CN" w:bidi="ar-SA"/>
              </w:rPr>
              <w:t>8970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、箱变用地规模为</w:t>
            </w:r>
            <w:r>
              <w:rPr>
                <w:rFonts w:hint="eastAsia" w:ascii="Times New Roman" w:hAnsi="Times New Roman" w:eastAsia="宋体" w:cs="Times New Roman"/>
                <w:b w:val="0"/>
                <w:bCs w:val="0"/>
                <w:color w:val="auto"/>
                <w:kern w:val="2"/>
                <w:sz w:val="24"/>
                <w:szCs w:val="24"/>
                <w:lang w:val="en-US" w:eastAsia="zh-CN" w:bidi="ar-SA"/>
              </w:rPr>
              <w:t>780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本项目占用</w:t>
            </w:r>
            <w:r>
              <w:rPr>
                <w:rFonts w:hint="eastAsia" w:ascii="Times New Roman" w:hAnsi="Times New Roman" w:eastAsia="宋体" w:cs="Times New Roman"/>
                <w:color w:val="auto"/>
                <w:sz w:val="24"/>
                <w:szCs w:val="24"/>
                <w:lang w:val="en-US" w:eastAsia="zh-CN"/>
              </w:rPr>
              <w:t>园地4981</w:t>
            </w:r>
            <w:r>
              <w:rPr>
                <w:rFonts w:hint="default" w:ascii="Times New Roman" w:hAnsi="Times New Roman" w:eastAsia="宋体" w:cs="Times New Roman"/>
                <w:color w:val="auto"/>
                <w:sz w:val="24"/>
                <w:szCs w:val="24"/>
                <w:lang w:val="en-US" w:eastAsia="zh-CN"/>
              </w:rPr>
              <w:t>m²，林地</w:t>
            </w:r>
            <w:r>
              <w:rPr>
                <w:rFonts w:hint="eastAsia" w:ascii="Times New Roman" w:hAnsi="Times New Roman" w:eastAsia="宋体" w:cs="Times New Roman"/>
                <w:color w:val="auto"/>
                <w:sz w:val="24"/>
                <w:szCs w:val="24"/>
                <w:lang w:val="en-US" w:eastAsia="zh-CN"/>
              </w:rPr>
              <w:t>5483</w:t>
            </w:r>
            <w:r>
              <w:rPr>
                <w:rFonts w:hint="default" w:ascii="Times New Roman" w:hAnsi="Times New Roman" w:eastAsia="宋体" w:cs="Times New Roman"/>
                <w:color w:val="auto"/>
                <w:sz w:val="24"/>
                <w:szCs w:val="24"/>
                <w:lang w:val="en-US" w:eastAsia="zh-CN"/>
              </w:rPr>
              <w:t>m²，其他</w:t>
            </w:r>
            <w:r>
              <w:rPr>
                <w:rFonts w:hint="eastAsia" w:ascii="Times New Roman" w:hAnsi="Times New Roman" w:eastAsia="宋体" w:cs="Times New Roman"/>
                <w:color w:val="auto"/>
                <w:sz w:val="24"/>
                <w:szCs w:val="24"/>
                <w:lang w:val="en-US" w:eastAsia="zh-CN"/>
              </w:rPr>
              <w:t>农用</w:t>
            </w:r>
            <w:r>
              <w:rPr>
                <w:rFonts w:hint="default" w:ascii="Times New Roman" w:hAnsi="Times New Roman" w:eastAsia="宋体" w:cs="Times New Roman"/>
                <w:color w:val="auto"/>
                <w:sz w:val="24"/>
                <w:szCs w:val="24"/>
                <w:lang w:val="en-US" w:eastAsia="zh-CN"/>
              </w:rPr>
              <w:t>地</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m²</w:t>
            </w:r>
            <w:r>
              <w:rPr>
                <w:rFonts w:hint="eastAsia" w:ascii="Times New Roman" w:hAnsi="Times New Roman" w:eastAsia="宋体" w:cs="Times New Roman"/>
                <w:color w:val="auto"/>
                <w:sz w:val="24"/>
                <w:szCs w:val="24"/>
                <w:lang w:val="en-US" w:eastAsia="zh-CN"/>
              </w:rPr>
              <w:t>，建设用地29</w:t>
            </w:r>
            <w:r>
              <w:rPr>
                <w:rFonts w:hint="default" w:ascii="Times New Roman" w:hAnsi="Times New Roman" w:eastAsia="宋体" w:cs="Times New Roman"/>
                <w:color w:val="auto"/>
                <w:sz w:val="24"/>
                <w:szCs w:val="24"/>
                <w:lang w:val="en-US" w:eastAsia="zh-CN"/>
              </w:rPr>
              <w:t>m²。芒市江东光伏发电项目土地利用现状地类面积统计表</w:t>
            </w:r>
            <w:r>
              <w:rPr>
                <w:rFonts w:hint="eastAsia" w:ascii="Times New Roman" w:hAnsi="Times New Roman" w:eastAsia="宋体" w:cs="Times New Roman"/>
                <w:color w:val="auto"/>
                <w:sz w:val="24"/>
                <w:szCs w:val="24"/>
                <w:lang w:val="en-US" w:eastAsia="zh-CN"/>
              </w:rPr>
              <w:t>见下表，项目土地利用现状图见附图9。</w:t>
            </w:r>
          </w:p>
          <w:p w14:paraId="539A46F8">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表2-8 芒市江东光伏发电项目土地利用现状地类面积统计表（单位/公顷）</w:t>
            </w:r>
          </w:p>
          <w:tbl>
            <w:tblPr>
              <w:tblStyle w:val="22"/>
              <w:tblW w:w="792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560"/>
              <w:gridCol w:w="1425"/>
              <w:gridCol w:w="987"/>
              <w:gridCol w:w="975"/>
              <w:gridCol w:w="876"/>
              <w:gridCol w:w="1133"/>
            </w:tblGrid>
            <w:tr w14:paraId="2DAAA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5" w:type="dxa"/>
                  <w:gridSpan w:val="3"/>
                  <w:vMerge w:val="restart"/>
                  <w:tcBorders>
                    <w:tl2br w:val="nil"/>
                    <w:tr2bl w:val="nil"/>
                  </w:tcBorders>
                  <w:vAlign w:val="top"/>
                </w:tcPr>
                <w:p w14:paraId="1FCE87C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地类</w:t>
                  </w:r>
                </w:p>
              </w:tc>
              <w:tc>
                <w:tcPr>
                  <w:tcW w:w="987" w:type="dxa"/>
                  <w:tcBorders>
                    <w:tl2br w:val="nil"/>
                    <w:tr2bl w:val="nil"/>
                  </w:tcBorders>
                  <w:vAlign w:val="top"/>
                </w:tcPr>
                <w:p w14:paraId="1CC331E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升压站</w:t>
                  </w:r>
                </w:p>
              </w:tc>
              <w:tc>
                <w:tcPr>
                  <w:tcW w:w="975" w:type="dxa"/>
                  <w:tcBorders>
                    <w:tl2br w:val="nil"/>
                    <w:tr2bl w:val="nil"/>
                  </w:tcBorders>
                  <w:vAlign w:val="top"/>
                </w:tcPr>
                <w:p w14:paraId="0F8CA75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塔基</w:t>
                  </w:r>
                </w:p>
              </w:tc>
              <w:tc>
                <w:tcPr>
                  <w:tcW w:w="876" w:type="dxa"/>
                  <w:tcBorders>
                    <w:tl2br w:val="nil"/>
                    <w:tr2bl w:val="nil"/>
                  </w:tcBorders>
                  <w:vAlign w:val="top"/>
                </w:tcPr>
                <w:p w14:paraId="3949028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箱变</w:t>
                  </w:r>
                </w:p>
              </w:tc>
              <w:tc>
                <w:tcPr>
                  <w:tcW w:w="1133" w:type="dxa"/>
                  <w:vMerge w:val="restart"/>
                  <w:tcBorders>
                    <w:tl2br w:val="nil"/>
                    <w:tr2bl w:val="nil"/>
                  </w:tcBorders>
                  <w:vAlign w:val="top"/>
                </w:tcPr>
                <w:p w14:paraId="55E73C6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总计</w:t>
                  </w:r>
                </w:p>
              </w:tc>
            </w:tr>
            <w:tr w14:paraId="161FE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55" w:type="dxa"/>
                  <w:gridSpan w:val="3"/>
                  <w:vMerge w:val="continue"/>
                  <w:tcBorders>
                    <w:tl2br w:val="nil"/>
                    <w:tr2bl w:val="nil"/>
                  </w:tcBorders>
                  <w:vAlign w:val="top"/>
                </w:tcPr>
                <w:p w14:paraId="61AA661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87" w:type="dxa"/>
                  <w:tcBorders>
                    <w:tl2br w:val="nil"/>
                    <w:tr2bl w:val="nil"/>
                  </w:tcBorders>
                  <w:vAlign w:val="top"/>
                </w:tcPr>
                <w:p w14:paraId="39F3A58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975" w:type="dxa"/>
                  <w:tcBorders>
                    <w:tl2br w:val="nil"/>
                    <w:tr2bl w:val="nil"/>
                  </w:tcBorders>
                  <w:vAlign w:val="top"/>
                </w:tcPr>
                <w:p w14:paraId="58A898A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876" w:type="dxa"/>
                  <w:tcBorders>
                    <w:tl2br w:val="nil"/>
                    <w:tr2bl w:val="nil"/>
                  </w:tcBorders>
                  <w:vAlign w:val="top"/>
                </w:tcPr>
                <w:p w14:paraId="015CF0C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面积</w:t>
                  </w:r>
                </w:p>
              </w:tc>
              <w:tc>
                <w:tcPr>
                  <w:tcW w:w="1133" w:type="dxa"/>
                  <w:vMerge w:val="continue"/>
                  <w:tcBorders>
                    <w:tl2br w:val="nil"/>
                    <w:tr2bl w:val="nil"/>
                  </w:tcBorders>
                  <w:vAlign w:val="top"/>
                </w:tcPr>
                <w:p w14:paraId="2770C26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r>
            <w:tr w14:paraId="14182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tcBorders>
                    <w:tl2br w:val="nil"/>
                    <w:tr2bl w:val="nil"/>
                  </w:tcBorders>
                  <w:vAlign w:val="top"/>
                </w:tcPr>
                <w:p w14:paraId="1FD4DBD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农用地</w:t>
                  </w:r>
                </w:p>
              </w:tc>
              <w:tc>
                <w:tcPr>
                  <w:tcW w:w="1560" w:type="dxa"/>
                  <w:tcBorders>
                    <w:tl2br w:val="nil"/>
                    <w:tr2bl w:val="nil"/>
                  </w:tcBorders>
                  <w:vAlign w:val="top"/>
                </w:tcPr>
                <w:p w14:paraId="5020F0B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耕地</w:t>
                  </w:r>
                </w:p>
              </w:tc>
              <w:tc>
                <w:tcPr>
                  <w:tcW w:w="1425" w:type="dxa"/>
                  <w:tcBorders>
                    <w:tl2br w:val="nil"/>
                    <w:tr2bl w:val="nil"/>
                  </w:tcBorders>
                  <w:vAlign w:val="top"/>
                </w:tcPr>
                <w:p w14:paraId="5790571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旱地</w:t>
                  </w:r>
                </w:p>
              </w:tc>
              <w:tc>
                <w:tcPr>
                  <w:tcW w:w="987" w:type="dxa"/>
                  <w:tcBorders>
                    <w:tl2br w:val="nil"/>
                    <w:tr2bl w:val="nil"/>
                  </w:tcBorders>
                  <w:vAlign w:val="top"/>
                </w:tcPr>
                <w:p w14:paraId="1BB06A4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2B0E285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6A0350A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3750E12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14:paraId="012BF9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71D43D7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restart"/>
                  <w:tcBorders>
                    <w:tl2br w:val="nil"/>
                    <w:tr2bl w:val="nil"/>
                  </w:tcBorders>
                  <w:vAlign w:val="top"/>
                </w:tcPr>
                <w:p w14:paraId="5669130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园地</w:t>
                  </w:r>
                </w:p>
              </w:tc>
              <w:tc>
                <w:tcPr>
                  <w:tcW w:w="1425" w:type="dxa"/>
                  <w:tcBorders>
                    <w:tl2br w:val="nil"/>
                    <w:tr2bl w:val="nil"/>
                  </w:tcBorders>
                  <w:vAlign w:val="top"/>
                </w:tcPr>
                <w:p w14:paraId="36FCB41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果园</w:t>
                  </w:r>
                </w:p>
              </w:tc>
              <w:tc>
                <w:tcPr>
                  <w:tcW w:w="987" w:type="dxa"/>
                  <w:tcBorders>
                    <w:tl2br w:val="nil"/>
                    <w:tr2bl w:val="nil"/>
                  </w:tcBorders>
                  <w:vAlign w:val="top"/>
                </w:tcPr>
                <w:p w14:paraId="3E55F0B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301946E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510DE0D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c>
                <w:tcPr>
                  <w:tcW w:w="1133" w:type="dxa"/>
                  <w:tcBorders>
                    <w:tl2br w:val="nil"/>
                    <w:tr2bl w:val="nil"/>
                  </w:tcBorders>
                  <w:vAlign w:val="top"/>
                </w:tcPr>
                <w:p w14:paraId="66B995A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w:t>
                  </w:r>
                </w:p>
              </w:tc>
            </w:tr>
            <w:tr w14:paraId="384E20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4B8BE5D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3A25A3A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6E4E8E3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茶园</w:t>
                  </w:r>
                </w:p>
              </w:tc>
              <w:tc>
                <w:tcPr>
                  <w:tcW w:w="987" w:type="dxa"/>
                  <w:tcBorders>
                    <w:tl2br w:val="nil"/>
                    <w:tr2bl w:val="nil"/>
                  </w:tcBorders>
                  <w:vAlign w:val="top"/>
                </w:tcPr>
                <w:p w14:paraId="4466BA1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0.3886</w:t>
                  </w:r>
                </w:p>
              </w:tc>
              <w:tc>
                <w:tcPr>
                  <w:tcW w:w="975" w:type="dxa"/>
                  <w:tcBorders>
                    <w:tl2br w:val="nil"/>
                    <w:tr2bl w:val="nil"/>
                  </w:tcBorders>
                  <w:vAlign w:val="top"/>
                </w:tcPr>
                <w:p w14:paraId="343FA50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0.0326</w:t>
                  </w:r>
                </w:p>
              </w:tc>
              <w:tc>
                <w:tcPr>
                  <w:tcW w:w="876" w:type="dxa"/>
                  <w:tcBorders>
                    <w:tl2br w:val="nil"/>
                    <w:tr2bl w:val="nil"/>
                  </w:tcBorders>
                  <w:vAlign w:val="top"/>
                </w:tcPr>
                <w:p w14:paraId="3E6DB51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0.0749</w:t>
                  </w:r>
                </w:p>
              </w:tc>
              <w:tc>
                <w:tcPr>
                  <w:tcW w:w="1133" w:type="dxa"/>
                  <w:tcBorders>
                    <w:tl2br w:val="nil"/>
                    <w:tr2bl w:val="nil"/>
                  </w:tcBorders>
                  <w:vAlign w:val="top"/>
                </w:tcPr>
                <w:p w14:paraId="6532351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0.4961</w:t>
                  </w:r>
                </w:p>
              </w:tc>
            </w:tr>
            <w:tr w14:paraId="40A86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408D689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65A043C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30D00DB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小计</w:t>
                  </w:r>
                </w:p>
              </w:tc>
              <w:tc>
                <w:tcPr>
                  <w:tcW w:w="987" w:type="dxa"/>
                  <w:tcBorders>
                    <w:tl2br w:val="nil"/>
                    <w:tr2bl w:val="nil"/>
                  </w:tcBorders>
                  <w:vAlign w:val="top"/>
                </w:tcPr>
                <w:p w14:paraId="685C4EC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0.3886</w:t>
                  </w:r>
                </w:p>
              </w:tc>
              <w:tc>
                <w:tcPr>
                  <w:tcW w:w="975" w:type="dxa"/>
                  <w:tcBorders>
                    <w:tl2br w:val="nil"/>
                    <w:tr2bl w:val="nil"/>
                  </w:tcBorders>
                  <w:vAlign w:val="top"/>
                </w:tcPr>
                <w:p w14:paraId="768A41E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0.0326</w:t>
                  </w:r>
                </w:p>
              </w:tc>
              <w:tc>
                <w:tcPr>
                  <w:tcW w:w="876" w:type="dxa"/>
                  <w:tcBorders>
                    <w:tl2br w:val="nil"/>
                    <w:tr2bl w:val="nil"/>
                  </w:tcBorders>
                  <w:vAlign w:val="top"/>
                </w:tcPr>
                <w:p w14:paraId="6EE6393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0.0769</w:t>
                  </w:r>
                </w:p>
              </w:tc>
              <w:tc>
                <w:tcPr>
                  <w:tcW w:w="1133" w:type="dxa"/>
                  <w:tcBorders>
                    <w:tl2br w:val="nil"/>
                    <w:tr2bl w:val="nil"/>
                  </w:tcBorders>
                  <w:vAlign w:val="top"/>
                </w:tcPr>
                <w:p w14:paraId="072CCD2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0.4981</w:t>
                  </w:r>
                </w:p>
              </w:tc>
            </w:tr>
            <w:tr w14:paraId="2C5A03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0B8DC8A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restart"/>
                  <w:tcBorders>
                    <w:tl2br w:val="nil"/>
                    <w:tr2bl w:val="nil"/>
                  </w:tcBorders>
                  <w:vAlign w:val="top"/>
                </w:tcPr>
                <w:p w14:paraId="596D59A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林地</w:t>
                  </w:r>
                </w:p>
              </w:tc>
              <w:tc>
                <w:tcPr>
                  <w:tcW w:w="1425" w:type="dxa"/>
                  <w:tcBorders>
                    <w:tl2br w:val="nil"/>
                    <w:tr2bl w:val="nil"/>
                  </w:tcBorders>
                  <w:vAlign w:val="top"/>
                </w:tcPr>
                <w:p w14:paraId="1D9EC05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乔木林地</w:t>
                  </w:r>
                </w:p>
              </w:tc>
              <w:tc>
                <w:tcPr>
                  <w:tcW w:w="987" w:type="dxa"/>
                  <w:tcBorders>
                    <w:tl2br w:val="nil"/>
                    <w:tr2bl w:val="nil"/>
                  </w:tcBorders>
                  <w:vAlign w:val="top"/>
                </w:tcPr>
                <w:p w14:paraId="577EF9B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0.5084</w:t>
                  </w:r>
                </w:p>
              </w:tc>
              <w:tc>
                <w:tcPr>
                  <w:tcW w:w="975" w:type="dxa"/>
                  <w:tcBorders>
                    <w:tl2br w:val="nil"/>
                    <w:tr2bl w:val="nil"/>
                  </w:tcBorders>
                  <w:vAlign w:val="top"/>
                </w:tcPr>
                <w:p w14:paraId="6970E62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0.023</w:t>
                  </w:r>
                </w:p>
              </w:tc>
              <w:tc>
                <w:tcPr>
                  <w:tcW w:w="876" w:type="dxa"/>
                  <w:tcBorders>
                    <w:tl2br w:val="nil"/>
                    <w:tr2bl w:val="nil"/>
                  </w:tcBorders>
                  <w:vAlign w:val="top"/>
                </w:tcPr>
                <w:p w14:paraId="6C586B8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6F7FC21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0.5314</w:t>
                  </w:r>
                </w:p>
              </w:tc>
            </w:tr>
            <w:tr w14:paraId="09752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317170D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1CE476A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0BD4F53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灌木林地</w:t>
                  </w:r>
                </w:p>
              </w:tc>
              <w:tc>
                <w:tcPr>
                  <w:tcW w:w="987" w:type="dxa"/>
                  <w:tcBorders>
                    <w:tl2br w:val="nil"/>
                    <w:tr2bl w:val="nil"/>
                  </w:tcBorders>
                  <w:vAlign w:val="top"/>
                </w:tcPr>
                <w:p w14:paraId="523E7A3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21C857D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0.0128</w:t>
                  </w:r>
                </w:p>
              </w:tc>
              <w:tc>
                <w:tcPr>
                  <w:tcW w:w="876" w:type="dxa"/>
                  <w:tcBorders>
                    <w:tl2br w:val="nil"/>
                    <w:tr2bl w:val="nil"/>
                  </w:tcBorders>
                  <w:vAlign w:val="top"/>
                </w:tcPr>
                <w:p w14:paraId="35D6D4C3">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0C49951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0.0128</w:t>
                  </w:r>
                </w:p>
              </w:tc>
            </w:tr>
            <w:tr w14:paraId="778D0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45C7DA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1B61472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44FF766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竹林地</w:t>
                  </w:r>
                </w:p>
              </w:tc>
              <w:tc>
                <w:tcPr>
                  <w:tcW w:w="987" w:type="dxa"/>
                  <w:tcBorders>
                    <w:tl2br w:val="nil"/>
                    <w:tr2bl w:val="nil"/>
                  </w:tcBorders>
                  <w:vAlign w:val="top"/>
                </w:tcPr>
                <w:p w14:paraId="776288E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009A7B2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0.0041</w:t>
                  </w:r>
                </w:p>
              </w:tc>
              <w:tc>
                <w:tcPr>
                  <w:tcW w:w="876" w:type="dxa"/>
                  <w:tcBorders>
                    <w:tl2br w:val="nil"/>
                    <w:tr2bl w:val="nil"/>
                  </w:tcBorders>
                  <w:vAlign w:val="top"/>
                </w:tcPr>
                <w:p w14:paraId="05DBD2F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0031F2C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0.0041</w:t>
                  </w:r>
                </w:p>
              </w:tc>
            </w:tr>
            <w:tr w14:paraId="2B39D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07414C1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vMerge w:val="continue"/>
                  <w:tcBorders>
                    <w:tl2br w:val="nil"/>
                    <w:tr2bl w:val="nil"/>
                  </w:tcBorders>
                  <w:vAlign w:val="top"/>
                </w:tcPr>
                <w:p w14:paraId="2602558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069A37B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小计</w:t>
                  </w:r>
                </w:p>
              </w:tc>
              <w:tc>
                <w:tcPr>
                  <w:tcW w:w="987" w:type="dxa"/>
                  <w:tcBorders>
                    <w:tl2br w:val="nil"/>
                    <w:tr2bl w:val="nil"/>
                  </w:tcBorders>
                  <w:vAlign w:val="top"/>
                </w:tcPr>
                <w:p w14:paraId="1C79824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0.5084</w:t>
                  </w:r>
                </w:p>
              </w:tc>
              <w:tc>
                <w:tcPr>
                  <w:tcW w:w="975" w:type="dxa"/>
                  <w:tcBorders>
                    <w:tl2br w:val="nil"/>
                    <w:tr2bl w:val="nil"/>
                  </w:tcBorders>
                  <w:vAlign w:val="top"/>
                </w:tcPr>
                <w:p w14:paraId="33D7378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0.0399</w:t>
                  </w:r>
                </w:p>
              </w:tc>
              <w:tc>
                <w:tcPr>
                  <w:tcW w:w="876" w:type="dxa"/>
                  <w:tcBorders>
                    <w:tl2br w:val="nil"/>
                    <w:tr2bl w:val="nil"/>
                  </w:tcBorders>
                  <w:vAlign w:val="top"/>
                </w:tcPr>
                <w:p w14:paraId="338344F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7C52C9A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0.5483</w:t>
                  </w:r>
                </w:p>
              </w:tc>
            </w:tr>
            <w:tr w14:paraId="50CD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730EAB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tcBorders>
                    <w:tl2br w:val="nil"/>
                    <w:tr2bl w:val="nil"/>
                  </w:tcBorders>
                  <w:vAlign w:val="top"/>
                </w:tcPr>
                <w:p w14:paraId="098BFBA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其他农用地</w:t>
                  </w:r>
                </w:p>
              </w:tc>
              <w:tc>
                <w:tcPr>
                  <w:tcW w:w="1425" w:type="dxa"/>
                  <w:tcBorders>
                    <w:tl2br w:val="nil"/>
                    <w:tr2bl w:val="nil"/>
                  </w:tcBorders>
                  <w:vAlign w:val="top"/>
                </w:tcPr>
                <w:p w14:paraId="307097E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农村道路</w:t>
                  </w:r>
                </w:p>
              </w:tc>
              <w:tc>
                <w:tcPr>
                  <w:tcW w:w="987" w:type="dxa"/>
                  <w:tcBorders>
                    <w:tl2br w:val="nil"/>
                    <w:tr2bl w:val="nil"/>
                  </w:tcBorders>
                  <w:vAlign w:val="top"/>
                </w:tcPr>
                <w:p w14:paraId="239BAD5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1824A11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0.0025</w:t>
                  </w:r>
                </w:p>
              </w:tc>
              <w:tc>
                <w:tcPr>
                  <w:tcW w:w="876" w:type="dxa"/>
                  <w:tcBorders>
                    <w:tl2br w:val="nil"/>
                    <w:tr2bl w:val="nil"/>
                  </w:tcBorders>
                  <w:vAlign w:val="top"/>
                </w:tcPr>
                <w:p w14:paraId="5D565F3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133" w:type="dxa"/>
                  <w:tcBorders>
                    <w:tl2br w:val="nil"/>
                    <w:tr2bl w:val="nil"/>
                  </w:tcBorders>
                  <w:vAlign w:val="top"/>
                </w:tcPr>
                <w:p w14:paraId="1F8EA8A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0.0025</w:t>
                  </w:r>
                </w:p>
              </w:tc>
            </w:tr>
            <w:tr w14:paraId="46CEA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DED119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85" w:type="dxa"/>
                  <w:gridSpan w:val="2"/>
                  <w:tcBorders>
                    <w:tl2br w:val="nil"/>
                    <w:tr2bl w:val="nil"/>
                  </w:tcBorders>
                  <w:vAlign w:val="top"/>
                </w:tcPr>
                <w:p w14:paraId="1007BCF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87" w:type="dxa"/>
                  <w:tcBorders>
                    <w:tl2br w:val="nil"/>
                    <w:tr2bl w:val="nil"/>
                  </w:tcBorders>
                  <w:vAlign w:val="top"/>
                </w:tcPr>
                <w:p w14:paraId="7E2C96D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0.879</w:t>
                  </w:r>
                </w:p>
              </w:tc>
              <w:tc>
                <w:tcPr>
                  <w:tcW w:w="975" w:type="dxa"/>
                  <w:tcBorders>
                    <w:tl2br w:val="nil"/>
                    <w:tr2bl w:val="nil"/>
                  </w:tcBorders>
                  <w:vAlign w:val="top"/>
                </w:tcPr>
                <w:p w14:paraId="628FB55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0.075</w:t>
                  </w:r>
                </w:p>
              </w:tc>
              <w:tc>
                <w:tcPr>
                  <w:tcW w:w="876" w:type="dxa"/>
                  <w:tcBorders>
                    <w:tl2br w:val="nil"/>
                    <w:tr2bl w:val="nil"/>
                  </w:tcBorders>
                  <w:vAlign w:val="top"/>
                </w:tcPr>
                <w:p w14:paraId="01595CF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0.0769</w:t>
                  </w:r>
                </w:p>
              </w:tc>
              <w:tc>
                <w:tcPr>
                  <w:tcW w:w="1133" w:type="dxa"/>
                  <w:tcBorders>
                    <w:tl2br w:val="nil"/>
                    <w:tr2bl w:val="nil"/>
                  </w:tcBorders>
                  <w:vAlign w:val="top"/>
                </w:tcPr>
                <w:p w14:paraId="7ABF2D8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1.0489</w:t>
                  </w:r>
                </w:p>
              </w:tc>
            </w:tr>
            <w:tr w14:paraId="53C63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restart"/>
                  <w:tcBorders>
                    <w:tl2br w:val="nil"/>
                    <w:tr2bl w:val="nil"/>
                  </w:tcBorders>
                  <w:vAlign w:val="top"/>
                </w:tcPr>
                <w:p w14:paraId="2152B90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建设用地</w:t>
                  </w:r>
                </w:p>
              </w:tc>
              <w:tc>
                <w:tcPr>
                  <w:tcW w:w="1560" w:type="dxa"/>
                  <w:tcBorders>
                    <w:tl2br w:val="nil"/>
                    <w:tr2bl w:val="nil"/>
                  </w:tcBorders>
                  <w:vAlign w:val="top"/>
                </w:tcPr>
                <w:p w14:paraId="47F5B74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城镇村及工况用地</w:t>
                  </w:r>
                </w:p>
              </w:tc>
              <w:tc>
                <w:tcPr>
                  <w:tcW w:w="1425" w:type="dxa"/>
                  <w:tcBorders>
                    <w:tl2br w:val="nil"/>
                    <w:tr2bl w:val="nil"/>
                  </w:tcBorders>
                  <w:vAlign w:val="top"/>
                </w:tcPr>
                <w:p w14:paraId="1CE75B3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农村宅基地</w:t>
                  </w:r>
                </w:p>
              </w:tc>
              <w:tc>
                <w:tcPr>
                  <w:tcW w:w="987" w:type="dxa"/>
                  <w:tcBorders>
                    <w:tl2br w:val="nil"/>
                    <w:tr2bl w:val="nil"/>
                  </w:tcBorders>
                  <w:vAlign w:val="top"/>
                </w:tcPr>
                <w:p w14:paraId="47BF82C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231C9FF6">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6738458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w:t>
                  </w:r>
                </w:p>
              </w:tc>
              <w:tc>
                <w:tcPr>
                  <w:tcW w:w="1133" w:type="dxa"/>
                  <w:tcBorders>
                    <w:tl2br w:val="nil"/>
                    <w:tr2bl w:val="nil"/>
                  </w:tcBorders>
                  <w:vAlign w:val="top"/>
                </w:tcPr>
                <w:p w14:paraId="398FC5E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w:t>
                  </w:r>
                </w:p>
              </w:tc>
            </w:tr>
            <w:tr w14:paraId="2115F9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0C95E6A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560" w:type="dxa"/>
                  <w:tcBorders>
                    <w:tl2br w:val="nil"/>
                    <w:tr2bl w:val="nil"/>
                  </w:tcBorders>
                  <w:vAlign w:val="top"/>
                </w:tcPr>
                <w:p w14:paraId="396FA8A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交通运输用地</w:t>
                  </w:r>
                </w:p>
              </w:tc>
              <w:tc>
                <w:tcPr>
                  <w:tcW w:w="1425" w:type="dxa"/>
                  <w:tcBorders>
                    <w:tl2br w:val="nil"/>
                    <w:tr2bl w:val="nil"/>
                  </w:tcBorders>
                  <w:vAlign w:val="top"/>
                </w:tcPr>
                <w:p w14:paraId="6B96600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公路用地</w:t>
                  </w:r>
                </w:p>
              </w:tc>
              <w:tc>
                <w:tcPr>
                  <w:tcW w:w="987" w:type="dxa"/>
                  <w:tcBorders>
                    <w:tl2br w:val="nil"/>
                    <w:tr2bl w:val="nil"/>
                  </w:tcBorders>
                  <w:vAlign w:val="top"/>
                </w:tcPr>
                <w:p w14:paraId="222F89B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7979FF9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0.0018</w:t>
                  </w:r>
                </w:p>
              </w:tc>
              <w:tc>
                <w:tcPr>
                  <w:tcW w:w="876" w:type="dxa"/>
                  <w:tcBorders>
                    <w:tl2br w:val="nil"/>
                    <w:tr2bl w:val="nil"/>
                  </w:tcBorders>
                  <w:vAlign w:val="top"/>
                </w:tcPr>
                <w:p w14:paraId="322964C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0.0001</w:t>
                  </w:r>
                </w:p>
              </w:tc>
              <w:tc>
                <w:tcPr>
                  <w:tcW w:w="1133" w:type="dxa"/>
                  <w:tcBorders>
                    <w:tl2br w:val="nil"/>
                    <w:tr2bl w:val="nil"/>
                  </w:tcBorders>
                  <w:vAlign w:val="top"/>
                </w:tcPr>
                <w:p w14:paraId="31A68DCD">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0.0019</w:t>
                  </w:r>
                </w:p>
              </w:tc>
            </w:tr>
            <w:tr w14:paraId="3AF1F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Merge w:val="continue"/>
                  <w:tcBorders>
                    <w:tl2br w:val="nil"/>
                    <w:tr2bl w:val="nil"/>
                  </w:tcBorders>
                  <w:vAlign w:val="top"/>
                </w:tcPr>
                <w:p w14:paraId="21B0AF3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985" w:type="dxa"/>
                  <w:gridSpan w:val="2"/>
                  <w:tcBorders>
                    <w:tl2br w:val="nil"/>
                    <w:tr2bl w:val="nil"/>
                  </w:tcBorders>
                  <w:vAlign w:val="top"/>
                </w:tcPr>
                <w:p w14:paraId="073EDE0E">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987" w:type="dxa"/>
                  <w:tcBorders>
                    <w:tl2br w:val="nil"/>
                    <w:tr2bl w:val="nil"/>
                  </w:tcBorders>
                  <w:vAlign w:val="top"/>
                </w:tcPr>
                <w:p w14:paraId="71FB023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60026AE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0.0018</w:t>
                  </w:r>
                </w:p>
              </w:tc>
              <w:tc>
                <w:tcPr>
                  <w:tcW w:w="876" w:type="dxa"/>
                  <w:tcBorders>
                    <w:tl2br w:val="nil"/>
                    <w:tr2bl w:val="nil"/>
                  </w:tcBorders>
                  <w:vAlign w:val="top"/>
                </w:tcPr>
                <w:p w14:paraId="01988AA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0.0011</w:t>
                  </w:r>
                </w:p>
              </w:tc>
              <w:tc>
                <w:tcPr>
                  <w:tcW w:w="1133" w:type="dxa"/>
                  <w:tcBorders>
                    <w:tl2br w:val="nil"/>
                    <w:tr2bl w:val="nil"/>
                  </w:tcBorders>
                  <w:vAlign w:val="top"/>
                </w:tcPr>
                <w:p w14:paraId="4432BC54">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0.0029</w:t>
                  </w:r>
                </w:p>
              </w:tc>
            </w:tr>
            <w:tr w14:paraId="3B98B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l2br w:val="nil"/>
                    <w:tr2bl w:val="nil"/>
                  </w:tcBorders>
                  <w:vAlign w:val="top"/>
                </w:tcPr>
                <w:p w14:paraId="2ED1D372">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未利用地</w:t>
                  </w:r>
                </w:p>
              </w:tc>
              <w:tc>
                <w:tcPr>
                  <w:tcW w:w="1560" w:type="dxa"/>
                  <w:tcBorders>
                    <w:tl2br w:val="nil"/>
                    <w:tr2bl w:val="nil"/>
                  </w:tcBorders>
                  <w:vAlign w:val="top"/>
                </w:tcPr>
                <w:p w14:paraId="2BAE859C">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水域及水利设施用地</w:t>
                  </w:r>
                </w:p>
              </w:tc>
              <w:tc>
                <w:tcPr>
                  <w:tcW w:w="1425" w:type="dxa"/>
                  <w:tcBorders>
                    <w:tl2br w:val="nil"/>
                    <w:tr2bl w:val="nil"/>
                  </w:tcBorders>
                  <w:vAlign w:val="top"/>
                </w:tcPr>
                <w:p w14:paraId="30779E85">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河流水面</w:t>
                  </w:r>
                </w:p>
              </w:tc>
              <w:tc>
                <w:tcPr>
                  <w:tcW w:w="987" w:type="dxa"/>
                  <w:tcBorders>
                    <w:tl2br w:val="nil"/>
                    <w:tr2bl w:val="nil"/>
                  </w:tcBorders>
                  <w:vAlign w:val="top"/>
                </w:tcPr>
                <w:p w14:paraId="428D69C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975" w:type="dxa"/>
                  <w:tcBorders>
                    <w:tl2br w:val="nil"/>
                    <w:tr2bl w:val="nil"/>
                  </w:tcBorders>
                  <w:vAlign w:val="top"/>
                </w:tcPr>
                <w:p w14:paraId="413EE958">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876" w:type="dxa"/>
                  <w:tcBorders>
                    <w:tl2br w:val="nil"/>
                    <w:tr2bl w:val="nil"/>
                  </w:tcBorders>
                  <w:vAlign w:val="top"/>
                </w:tcPr>
                <w:p w14:paraId="3D86002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c>
                <w:tcPr>
                  <w:tcW w:w="1133" w:type="dxa"/>
                  <w:tcBorders>
                    <w:tl2br w:val="nil"/>
                    <w:tr2bl w:val="nil"/>
                  </w:tcBorders>
                  <w:vAlign w:val="top"/>
                </w:tcPr>
                <w:p w14:paraId="52C6BB3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w:t>
                  </w:r>
                </w:p>
              </w:tc>
            </w:tr>
            <w:tr w14:paraId="6E9316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Borders>
                    <w:tl2br w:val="nil"/>
                    <w:tr2bl w:val="nil"/>
                  </w:tcBorders>
                  <w:vAlign w:val="top"/>
                </w:tcPr>
                <w:p w14:paraId="3940571B">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合计</w:t>
                  </w:r>
                </w:p>
              </w:tc>
              <w:tc>
                <w:tcPr>
                  <w:tcW w:w="1560" w:type="dxa"/>
                  <w:tcBorders>
                    <w:tl2br w:val="nil"/>
                    <w:tr2bl w:val="nil"/>
                  </w:tcBorders>
                  <w:vAlign w:val="top"/>
                </w:tcPr>
                <w:p w14:paraId="667889A1">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1425" w:type="dxa"/>
                  <w:tcBorders>
                    <w:tl2br w:val="nil"/>
                    <w:tr2bl w:val="nil"/>
                  </w:tcBorders>
                  <w:vAlign w:val="top"/>
                </w:tcPr>
                <w:p w14:paraId="421C4830">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987" w:type="dxa"/>
                  <w:tcBorders>
                    <w:tl2br w:val="nil"/>
                    <w:tr2bl w:val="nil"/>
                  </w:tcBorders>
                  <w:vAlign w:val="top"/>
                </w:tcPr>
                <w:p w14:paraId="5589221A">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0.897</w:t>
                  </w:r>
                </w:p>
              </w:tc>
              <w:tc>
                <w:tcPr>
                  <w:tcW w:w="975" w:type="dxa"/>
                  <w:tcBorders>
                    <w:tl2br w:val="nil"/>
                    <w:tr2bl w:val="nil"/>
                  </w:tcBorders>
                  <w:vAlign w:val="top"/>
                </w:tcPr>
                <w:p w14:paraId="7756C98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0.0768</w:t>
                  </w:r>
                </w:p>
              </w:tc>
              <w:tc>
                <w:tcPr>
                  <w:tcW w:w="876" w:type="dxa"/>
                  <w:tcBorders>
                    <w:tl2br w:val="nil"/>
                    <w:tr2bl w:val="nil"/>
                  </w:tcBorders>
                  <w:vAlign w:val="top"/>
                </w:tcPr>
                <w:p w14:paraId="093B10D7">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0.078</w:t>
                  </w:r>
                </w:p>
              </w:tc>
              <w:tc>
                <w:tcPr>
                  <w:tcW w:w="1133" w:type="dxa"/>
                  <w:tcBorders>
                    <w:tl2br w:val="nil"/>
                    <w:tr2bl w:val="nil"/>
                  </w:tcBorders>
                  <w:vAlign w:val="top"/>
                </w:tcPr>
                <w:p w14:paraId="7417EF7F">
                  <w:pPr>
                    <w:pStyle w:val="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1.0518</w:t>
                  </w:r>
                </w:p>
              </w:tc>
            </w:tr>
          </w:tbl>
          <w:p w14:paraId="30832567">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p>
          <w:p w14:paraId="37EE7D70">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四、运行调度 </w:t>
            </w:r>
          </w:p>
          <w:p w14:paraId="6D330F06">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（1）工作制度及劳动定员</w:t>
            </w:r>
          </w:p>
          <w:p w14:paraId="05D74166">
            <w:pPr>
              <w:pStyle w:val="8"/>
              <w:numPr>
                <w:ilvl w:val="0"/>
                <w:numId w:val="0"/>
              </w:numPr>
              <w:spacing w:line="360" w:lineRule="auto"/>
              <w:ind w:leftChars="0"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color w:val="auto"/>
                <w:sz w:val="24"/>
                <w:szCs w:val="24"/>
                <w:lang w:val="en-US" w:eastAsia="zh-CN"/>
              </w:rPr>
              <w:t>本项目运营期劳动定员为5人，在升压站内食宿。工作采取8小时工作制，每日三班轮流值守，全年</w:t>
            </w:r>
            <w:r>
              <w:rPr>
                <w:rFonts w:hint="eastAsia" w:ascii="Times New Roman" w:hAnsi="Times New Roman" w:eastAsia="宋体" w:cs="Times New Roman"/>
                <w:sz w:val="24"/>
                <w:szCs w:val="24"/>
                <w:lang w:val="en-US" w:eastAsia="zh-CN"/>
              </w:rPr>
              <w:t>工作365天。</w:t>
            </w:r>
          </w:p>
          <w:p w14:paraId="6CF3182F">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（2）组建维护清洗</w:t>
            </w:r>
          </w:p>
          <w:p w14:paraId="36EEAEE0">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电池组件清洗后应保持其表面干燥。</w:t>
            </w:r>
          </w:p>
        </w:tc>
      </w:tr>
      <w:tr w14:paraId="6C16E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3E73AA96">
            <w:pPr>
              <w:bidi w:val="0"/>
              <w:jc w:val="center"/>
              <w:rPr>
                <w:rFonts w:hint="eastAsia" w:ascii="Times New Roman" w:hAnsi="Times New Roman" w:eastAsiaTheme="minorEastAsia"/>
                <w:color w:val="000000"/>
                <w:kern w:val="0"/>
                <w:sz w:val="24"/>
                <w:lang w:val="en-US" w:eastAsia="zh-CN"/>
              </w:rPr>
            </w:pPr>
            <w:r>
              <w:rPr>
                <w:rFonts w:ascii="Times New Roman" w:hAnsi="Times New Roman"/>
                <w:color w:val="000000"/>
                <w:kern w:val="0"/>
                <w:sz w:val="24"/>
              </w:rPr>
              <w:t>总平面及现场布</w:t>
            </w:r>
            <w:r>
              <w:rPr>
                <w:rFonts w:hint="eastAsia" w:ascii="Times New Roman" w:hAnsi="Times New Roman"/>
                <w:color w:val="000000"/>
                <w:kern w:val="0"/>
                <w:sz w:val="24"/>
                <w:lang w:val="en-US" w:eastAsia="zh-CN"/>
              </w:rPr>
              <w:t>置</w:t>
            </w:r>
          </w:p>
        </w:tc>
        <w:tc>
          <w:tcPr>
            <w:tcW w:w="8065" w:type="dxa"/>
          </w:tcPr>
          <w:p w14:paraId="623427D4">
            <w:pPr>
              <w:numPr>
                <w:ilvl w:val="0"/>
                <w:numId w:val="6"/>
              </w:numPr>
              <w:spacing w:before="78" w:line="360" w:lineRule="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项目工程布局</w:t>
            </w:r>
          </w:p>
          <w:p w14:paraId="02488298">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1、光伏阵列布设</w:t>
            </w:r>
          </w:p>
          <w:p w14:paraId="34B29A51">
            <w:pPr>
              <w:pStyle w:val="8"/>
              <w:numPr>
                <w:ilvl w:val="0"/>
                <w:numId w:val="0"/>
              </w:numPr>
              <w:spacing w:line="360" w:lineRule="auto"/>
              <w:ind w:leftChars="0" w:firstLine="480" w:firstLineChars="200"/>
              <w:rPr>
                <w:rFonts w:hint="eastAsia" w:ascii="Times New Roman" w:hAnsi="Times New Roman" w:cs="Times New Roman" w:eastAsiaTheme="minorEastAsia"/>
                <w:sz w:val="24"/>
                <w:szCs w:val="24"/>
                <w:lang w:val="en-US" w:eastAsia="zh-CN"/>
              </w:rPr>
            </w:pPr>
            <w:r>
              <w:rPr>
                <w:rFonts w:hint="default" w:ascii="Times New Roman" w:hAnsi="Times New Roman" w:eastAsia="宋体" w:cs="Times New Roman"/>
                <w:color w:val="auto"/>
                <w:sz w:val="24"/>
                <w:szCs w:val="24"/>
                <w:lang w:val="en-US" w:eastAsia="zh-CN" w:bidi="ar"/>
              </w:rPr>
              <w:t>本项目共有</w:t>
            </w:r>
            <w:r>
              <w:rPr>
                <w:rFonts w:hint="eastAsia" w:ascii="Times New Roman" w:hAnsi="Times New Roman" w:eastAsia="宋体" w:cs="Times New Roman"/>
                <w:color w:val="auto"/>
                <w:sz w:val="24"/>
                <w:szCs w:val="24"/>
                <w:lang w:val="en-US" w:eastAsia="zh-CN" w:bidi="ar"/>
              </w:rPr>
              <w:t>26</w:t>
            </w:r>
            <w:r>
              <w:rPr>
                <w:rFonts w:hint="default" w:ascii="Times New Roman" w:hAnsi="Times New Roman" w:eastAsia="宋体" w:cs="Times New Roman"/>
                <w:color w:val="auto"/>
                <w:sz w:val="24"/>
                <w:szCs w:val="24"/>
                <w:lang w:val="en-US" w:eastAsia="zh-CN" w:bidi="ar"/>
              </w:rPr>
              <w:t>个光伏方阵，其中</w:t>
            </w:r>
            <w:r>
              <w:rPr>
                <w:rFonts w:hint="eastAsia" w:ascii="Times New Roman" w:hAnsi="Times New Roman" w:eastAsia="宋体" w:cs="Times New Roman"/>
                <w:color w:val="auto"/>
                <w:sz w:val="24"/>
                <w:szCs w:val="24"/>
                <w:lang w:val="en-US" w:eastAsia="zh-CN" w:bidi="ar"/>
              </w:rPr>
              <w:t>16</w:t>
            </w:r>
            <w:r>
              <w:rPr>
                <w:rFonts w:hint="default" w:ascii="Times New Roman" w:hAnsi="Times New Roman" w:eastAsia="宋体" w:cs="Times New Roman"/>
                <w:color w:val="auto"/>
                <w:sz w:val="24"/>
                <w:szCs w:val="24"/>
                <w:lang w:val="en-US" w:eastAsia="zh-CN" w:bidi="ar"/>
              </w:rPr>
              <w:t>个3.2MW、</w:t>
            </w:r>
            <w:r>
              <w:rPr>
                <w:rFonts w:hint="eastAsia" w:ascii="Times New Roman" w:hAnsi="Times New Roman" w:eastAsia="宋体" w:cs="Times New Roman"/>
                <w:color w:val="auto"/>
                <w:sz w:val="24"/>
                <w:szCs w:val="24"/>
                <w:lang w:val="en-US" w:eastAsia="zh-CN" w:bidi="ar"/>
              </w:rPr>
              <w:t>8</w:t>
            </w:r>
            <w:r>
              <w:rPr>
                <w:rFonts w:hint="default" w:ascii="Times New Roman" w:hAnsi="Times New Roman" w:eastAsia="宋体" w:cs="Times New Roman"/>
                <w:color w:val="auto"/>
                <w:sz w:val="24"/>
                <w:szCs w:val="24"/>
                <w:lang w:val="en-US" w:eastAsia="zh-CN" w:bidi="ar"/>
              </w:rPr>
              <w:t>个2MW、1个1.6MW 及</w:t>
            </w:r>
            <w:r>
              <w:rPr>
                <w:rFonts w:hint="eastAsia" w:ascii="Times New Roman" w:hAnsi="Times New Roman" w:eastAsia="宋体" w:cs="Times New Roman"/>
                <w:color w:val="auto"/>
                <w:sz w:val="24"/>
                <w:szCs w:val="24"/>
                <w:lang w:val="en-US" w:eastAsia="zh-CN" w:bidi="ar"/>
              </w:rPr>
              <w:t>1</w:t>
            </w:r>
            <w:r>
              <w:rPr>
                <w:rFonts w:hint="default" w:ascii="Times New Roman" w:hAnsi="Times New Roman" w:eastAsia="宋体" w:cs="Times New Roman"/>
                <w:color w:val="auto"/>
                <w:sz w:val="24"/>
                <w:szCs w:val="24"/>
                <w:lang w:val="en-US" w:eastAsia="zh-CN" w:bidi="ar"/>
              </w:rPr>
              <w:t>个1MW方阵，每个3.2MW方阵包含10个320kW 逆变发电单元，每个2MW方阵包含6个320kW逆变发电单元，每个1.6MW方阵包含5个 320kW逆变发电单元，每个1MW方阵包含3个320kW 逆变发电单元。</w:t>
            </w:r>
            <w:r>
              <w:rPr>
                <w:rFonts w:hint="default" w:ascii="Times New Roman" w:hAnsi="Times New Roman" w:eastAsia="宋体" w:cs="Times New Roman"/>
                <w:color w:val="auto"/>
                <w:kern w:val="0"/>
                <w:sz w:val="24"/>
                <w:szCs w:val="24"/>
              </w:rPr>
              <w:t>新建1座110kV升压站，光伏电站通过3回35kV集电线路汇集至升压站35kV母线，</w:t>
            </w:r>
            <w:r>
              <w:rPr>
                <w:rFonts w:hint="default" w:ascii="Times New Roman" w:hAnsi="Times New Roman" w:eastAsia="宋体" w:cs="Times New Roman"/>
                <w:color w:val="auto"/>
                <w:kern w:val="0"/>
                <w:sz w:val="24"/>
              </w:rPr>
              <w:t>再由110kV升压站新建1回110kV线路接入110kV</w:t>
            </w:r>
            <w:r>
              <w:rPr>
                <w:rFonts w:hint="default" w:ascii="Times New Roman" w:hAnsi="Times New Roman" w:cs="Times New Roman"/>
                <w:spacing w:val="-12"/>
              </w:rPr>
              <w:t>轩岗变</w:t>
            </w:r>
            <w:r>
              <w:rPr>
                <w:rFonts w:hint="eastAsia" w:ascii="Times New Roman" w:hAnsi="Times New Roman" w:eastAsia="宋体" w:cs="Times New Roman"/>
                <w:sz w:val="24"/>
                <w:szCs w:val="24"/>
                <w:lang w:val="en-US" w:eastAsia="zh-CN"/>
              </w:rPr>
              <w:t>。</w:t>
            </w:r>
            <w:r>
              <w:t>光伏阵列结合用地范围和地形情况</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分为北片区及南片区，</w:t>
            </w:r>
            <w:r>
              <w:t>尽量避免子方阵的长宽度差异太大进行布置，以达到用地较优、节约连接电缆、日常巡查线路较短的最佳布置方案，整个布置避让了基本农田、公益林、有林地等敏感因素</w:t>
            </w:r>
            <w:r>
              <w:rPr>
                <w:rFonts w:hint="eastAsia"/>
                <w:lang w:eastAsia="zh-CN"/>
              </w:rPr>
              <w:t>。</w:t>
            </w:r>
          </w:p>
          <w:p w14:paraId="0F45B6F0">
            <w:pPr>
              <w:pStyle w:val="8"/>
              <w:numPr>
                <w:ilvl w:val="0"/>
                <w:numId w:val="0"/>
              </w:numPr>
              <w:spacing w:line="360" w:lineRule="auto"/>
              <w:ind w:leftChars="0" w:firstLine="482" w:firstLineChars="200"/>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2、升压站布设</w:t>
            </w:r>
          </w:p>
          <w:p w14:paraId="328C4E02">
            <w:pPr>
              <w:pStyle w:val="8"/>
              <w:numPr>
                <w:ilvl w:val="0"/>
                <w:numId w:val="0"/>
              </w:numPr>
              <w:spacing w:line="360" w:lineRule="auto"/>
              <w:ind w:leftChars="0" w:firstLine="480" w:firstLineChars="200"/>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color w:val="auto"/>
                <w:sz w:val="24"/>
                <w:szCs w:val="24"/>
                <w:lang w:val="en-US" w:eastAsia="zh-CN" w:bidi="ar"/>
              </w:rPr>
              <w:t>在场址西北部平缓山包上建设110kV升压站一座</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szCs w:val="24"/>
                <w:lang w:val="en-US" w:eastAsia="zh-CN" w:bidi="ar"/>
              </w:rPr>
              <w:t>建设场地长100m，宽80m。升压站四周采用高度为2.3m的砖砌围墙，大门采用6m宽的电动伸缩大门。为利于生产、便于管理，在满足工艺要求、自然条件、安全、防火、卫生、运行检修、交通运输、环境保护、各建筑物之间的联系等因素的前提下，进行站区的总体布置。</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升压站总布置将场地划分为生产区和生活区两部分</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。生活区设有生活楼、回车平台、危废暂存间及场内绿化。生产区</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布置户外GIS、SVG无功补偿装置和配电装置</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生产预制舱、主变、事故油池、电池储能仓</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及附属用房。</w:t>
            </w:r>
            <w:r>
              <w:rPr>
                <w:rFonts w:hint="default" w:ascii="Times New Roman" w:hAnsi="Times New Roman" w:eastAsia="宋体" w:cs="Times New Roman"/>
                <w:color w:val="auto"/>
                <w:sz w:val="24"/>
                <w:szCs w:val="24"/>
                <w:lang w:val="en-US" w:eastAsia="zh-CN" w:bidi="ar"/>
              </w:rPr>
              <w:t>升压站大门布置在场地东南侧，站内道路为最小4.0m宽混凝土路面，在站内形成环形通道，满足消防要求。进站道路北侧布置户外GIS、东北侧布置SVG、无功补偿装置和配电装置，场内布置生产预制舱、综合楼、主变、事故油池、电池储能仓、废弃物储存室等。各电气设备之间通过电缆沟连接。综合楼四周适当绿化，升压站四周设2.3m高砖砌围墙。</w:t>
            </w:r>
          </w:p>
          <w:p w14:paraId="60A1BDA6">
            <w:pPr>
              <w:pStyle w:val="8"/>
              <w:numPr>
                <w:ilvl w:val="0"/>
                <w:numId w:val="7"/>
              </w:numPr>
              <w:spacing w:line="360" w:lineRule="auto"/>
              <w:ind w:left="360" w:leftChars="0" w:firstLine="0" w:firstLineChars="0"/>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道路布设</w:t>
            </w:r>
          </w:p>
          <w:p w14:paraId="6596DCB2">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场区内的道路根据地形及光伏板矩阵布置设置，尽量利用现有道路，其它道路设置满足厂区交通运输需求，且坡度不宜过大。考虑到光伏设备组件整体尺寸不大，对运输道路要求不高，为节约投资，对道路范围内的场地稍作平整硬化处理，场区内道路纵坡坡度不大于16%，横向坡度为2%～3%，转弯半径一般为15m，极限最小半径为10m。进场道路及场内道路标准为路基宽4.5m，路面宽3.5m，采用泥结碎石路面。升压站进站道路路基宽5m</w:t>
            </w:r>
            <w:r>
              <w:rPr>
                <w:rFonts w:hint="eastAsia" w:ascii="Times New Roman" w:hAnsi="Times New Roman" w:eastAsia="宋体" w:cs="Times New Roman"/>
                <w:color w:val="auto"/>
                <w:kern w:val="2"/>
                <w:sz w:val="24"/>
                <w:szCs w:val="24"/>
                <w:lang w:val="en-US" w:eastAsia="zh-CN" w:bidi="ar"/>
              </w:rPr>
              <w:t>，</w:t>
            </w:r>
            <w:r>
              <w:rPr>
                <w:rFonts w:hint="default" w:ascii="Times New Roman" w:hAnsi="Times New Roman" w:eastAsia="宋体" w:cs="Times New Roman"/>
                <w:color w:val="auto"/>
                <w:kern w:val="2"/>
                <w:sz w:val="24"/>
                <w:szCs w:val="24"/>
                <w:lang w:val="en-US" w:eastAsia="zh-CN" w:bidi="ar"/>
              </w:rPr>
              <w:t>路面宽4m，水泥混凝土路面。</w:t>
            </w:r>
          </w:p>
          <w:p w14:paraId="3439F8FA">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根据光伏电站的总体布局，场内道路应尽量紧靠电池组件，以满足设备一次运输到位，方便支架及电池组件安装。设备运输按指定线路将大件设备如箱变等按指定地点一次运输并安装到位，尽量减少二次转运。</w:t>
            </w:r>
          </w:p>
          <w:p w14:paraId="19B97C7E">
            <w:pPr>
              <w:pStyle w:val="8"/>
              <w:numPr>
                <w:ilvl w:val="0"/>
                <w:numId w:val="7"/>
              </w:numPr>
              <w:spacing w:line="360" w:lineRule="auto"/>
              <w:ind w:left="360" w:leftChars="0" w:firstLine="0" w:firstLineChars="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集电线路</w:t>
            </w:r>
          </w:p>
          <w:p w14:paraId="42A55927">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本工程场区内箱变之间及箱变至35kV开关柜之间的集电线路采用35kV直埋电缆敷设及架空线路混合形式</w:t>
            </w:r>
            <w:r>
              <w:rPr>
                <w:rFonts w:hint="eastAsia" w:ascii="Times New Roman" w:hAnsi="Times New Roman" w:eastAsia="宋体" w:cs="Times New Roman"/>
                <w:color w:val="auto"/>
                <w:kern w:val="2"/>
                <w:sz w:val="24"/>
                <w:szCs w:val="24"/>
                <w:lang w:val="en-US" w:eastAsia="zh-CN" w:bidi="ar"/>
              </w:rPr>
              <w:t>。</w:t>
            </w:r>
          </w:p>
          <w:p w14:paraId="2F936167">
            <w:pPr>
              <w:pStyle w:val="8"/>
              <w:numPr>
                <w:ilvl w:val="0"/>
                <w:numId w:val="0"/>
              </w:numPr>
              <w:spacing w:line="360" w:lineRule="auto"/>
              <w:ind w:firstLine="480" w:firstLineChars="200"/>
              <w:rPr>
                <w:rFonts w:hint="eastAsia"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架空线路</w:t>
            </w:r>
            <w:r>
              <w:rPr>
                <w:rFonts w:hint="eastAsia" w:ascii="Times New Roman" w:hAnsi="Times New Roman" w:eastAsia="宋体" w:cs="Times New Roman"/>
                <w:color w:val="auto"/>
                <w:kern w:val="2"/>
                <w:sz w:val="24"/>
                <w:szCs w:val="24"/>
                <w:lang w:val="en-US" w:eastAsia="zh-CN" w:bidi="ar"/>
              </w:rPr>
              <w:t>全线设置自立式铁塔12基，其中直线塔5基，耐张塔7基。项目12座塔基占地面积为768m</w:t>
            </w:r>
            <w:r>
              <w:rPr>
                <w:rFonts w:hint="eastAsia" w:ascii="Times New Roman" w:hAnsi="Times New Roman" w:eastAsia="宋体" w:cs="Times New Roman"/>
                <w:color w:val="auto"/>
                <w:kern w:val="2"/>
                <w:sz w:val="24"/>
                <w:szCs w:val="24"/>
                <w:vertAlign w:val="superscript"/>
                <w:lang w:val="en-US" w:eastAsia="zh-CN" w:bidi="ar"/>
              </w:rPr>
              <w:t>2</w:t>
            </w:r>
            <w:r>
              <w:rPr>
                <w:rFonts w:hint="eastAsia" w:ascii="Times New Roman" w:hAnsi="Times New Roman" w:eastAsia="宋体" w:cs="Times New Roman"/>
                <w:color w:val="auto"/>
                <w:kern w:val="2"/>
                <w:sz w:val="24"/>
                <w:szCs w:val="24"/>
                <w:lang w:val="en-US" w:eastAsia="zh-CN" w:bidi="ar"/>
              </w:rPr>
              <w:t>。项目塔基占地类型项目架空路线仅涉及塔基开挖及自立式铁塔安装。</w:t>
            </w:r>
          </w:p>
          <w:p w14:paraId="6C2EEEFD">
            <w:pPr>
              <w:pStyle w:val="8"/>
              <w:numPr>
                <w:ilvl w:val="0"/>
                <w:numId w:val="0"/>
              </w:numPr>
              <w:spacing w:line="360" w:lineRule="auto"/>
              <w:ind w:firstLine="480" w:firstLineChars="200"/>
              <w:rPr>
                <w:rFonts w:hint="eastAsia"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根据《云南省能源局关于进一步支持光伏扶贫和规范光伏发电产业用地的通知》（云自然资[2019]196 号），“采用直埋电缆方式敷设的集电线路用地，实行与项目光伏方阵用地同样的管理方式，场内道路可按农村道路用地管理。 变电站、运行管理中心、集电线路杆塔基础等其他设施用地按建设用地管理”。项目塔基用地按照永久占用进行管理，占地面积为768m</w:t>
            </w:r>
            <w:r>
              <w:rPr>
                <w:rFonts w:hint="eastAsia" w:ascii="Times New Roman" w:hAnsi="Times New Roman" w:eastAsia="宋体" w:cs="Times New Roman"/>
                <w:color w:val="auto"/>
                <w:kern w:val="2"/>
                <w:sz w:val="24"/>
                <w:szCs w:val="24"/>
                <w:vertAlign w:val="superscript"/>
                <w:lang w:val="en-US" w:eastAsia="zh-CN" w:bidi="ar"/>
              </w:rPr>
              <w:t>2</w:t>
            </w:r>
            <w:r>
              <w:rPr>
                <w:rFonts w:hint="eastAsia" w:ascii="Times New Roman" w:hAnsi="Times New Roman" w:eastAsia="宋体" w:cs="Times New Roman"/>
                <w:color w:val="auto"/>
                <w:kern w:val="2"/>
                <w:sz w:val="24"/>
                <w:szCs w:val="24"/>
                <w:lang w:val="en-US" w:eastAsia="zh-CN" w:bidi="ar"/>
              </w:rPr>
              <w:t>，塔基占地类型为园地、林地、其他农用地，根据《芒市人民政府关于认定芒市德天新能源有限公司光伏发电项目地类的批复》项目用地不纳入林地管理（见附件3）。</w:t>
            </w:r>
          </w:p>
          <w:p w14:paraId="4296236A">
            <w:pPr>
              <w:pStyle w:val="8"/>
              <w:numPr>
                <w:ilvl w:val="0"/>
                <w:numId w:val="0"/>
              </w:numPr>
              <w:spacing w:line="360" w:lineRule="auto"/>
              <w:ind w:firstLine="480" w:firstLineChars="200"/>
              <w:rPr>
                <w:rFonts w:hint="default" w:ascii="Times New Roman" w:hAnsi="Times New Roman" w:eastAsia="宋体" w:cs="Times New Roman"/>
                <w:color w:val="auto"/>
                <w:kern w:val="2"/>
                <w:sz w:val="24"/>
                <w:szCs w:val="24"/>
                <w:lang w:val="en-US" w:eastAsia="zh-CN" w:bidi="ar"/>
              </w:rPr>
            </w:pPr>
            <w:r>
              <w:rPr>
                <w:rFonts w:hint="eastAsia" w:ascii="Times New Roman" w:hAnsi="Times New Roman" w:eastAsia="宋体" w:cs="Times New Roman"/>
                <w:color w:val="auto"/>
                <w:kern w:val="2"/>
                <w:sz w:val="24"/>
                <w:szCs w:val="24"/>
                <w:lang w:val="en-US" w:eastAsia="zh-CN" w:bidi="ar"/>
              </w:rPr>
              <w:t>项目集电线路均布置于项目用地范围内，根据项目</w:t>
            </w:r>
            <w:r>
              <w:rPr>
                <w:rFonts w:hint="default" w:ascii="Times New Roman" w:hAnsi="Times New Roman" w:eastAsia="宋体" w:cs="Times New Roman"/>
                <w:b w:val="0"/>
                <w:bCs w:val="0"/>
                <w:spacing w:val="0"/>
                <w:kern w:val="2"/>
                <w:sz w:val="24"/>
                <w:szCs w:val="24"/>
                <w:lang w:val="en-US" w:eastAsia="zh-CN" w:bidi="ar-SA"/>
              </w:rPr>
              <w:t>《芒市自然资源局关于商</w:t>
            </w:r>
            <w:r>
              <w:rPr>
                <w:rFonts w:hint="default" w:ascii="Times New Roman" w:hAnsi="Times New Roman" w:eastAsia="宋体" w:cs="Times New Roman"/>
                <w:b w:val="0"/>
                <w:bCs w:val="0"/>
                <w:color w:val="auto"/>
                <w:spacing w:val="0"/>
                <w:kern w:val="2"/>
                <w:sz w:val="24"/>
                <w:szCs w:val="24"/>
                <w:lang w:val="en-US" w:eastAsia="zh-CN" w:bidi="ar-SA"/>
              </w:rPr>
              <w:t>请协助开展芒市江东光伏发电项目资源核查工作的复函》（见附件</w:t>
            </w:r>
            <w:r>
              <w:rPr>
                <w:rFonts w:hint="eastAsia" w:ascii="Times New Roman" w:hAnsi="Times New Roman" w:eastAsia="宋体" w:cs="Times New Roman"/>
                <w:b w:val="0"/>
                <w:bCs w:val="0"/>
                <w:color w:val="auto"/>
                <w:spacing w:val="0"/>
                <w:kern w:val="2"/>
                <w:sz w:val="24"/>
                <w:szCs w:val="24"/>
                <w:lang w:val="en-US" w:eastAsia="zh-CN" w:bidi="ar-SA"/>
              </w:rPr>
              <w:t>4</w:t>
            </w:r>
            <w:r>
              <w:rPr>
                <w:rFonts w:hint="default" w:ascii="Times New Roman" w:hAnsi="Times New Roman" w:eastAsia="宋体" w:cs="Times New Roman"/>
                <w:b w:val="0"/>
                <w:bCs w:val="0"/>
                <w:color w:val="auto"/>
                <w:spacing w:val="0"/>
                <w:kern w:val="2"/>
                <w:sz w:val="24"/>
                <w:szCs w:val="24"/>
                <w:lang w:val="en-US" w:eastAsia="zh-CN" w:bidi="ar-SA"/>
              </w:rPr>
              <w:t>）经核对芒市土地利用总体规划</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2015-2020年</w:t>
            </w:r>
            <w:r>
              <w:rPr>
                <w:rFonts w:hint="eastAsia" w:ascii="Times New Roman" w:hAnsi="Times New Roman" w:eastAsia="宋体" w:cs="Times New Roman"/>
                <w:b w:val="0"/>
                <w:bCs w:val="0"/>
                <w:color w:val="auto"/>
                <w:spacing w:val="0"/>
                <w:kern w:val="2"/>
                <w:sz w:val="24"/>
                <w:szCs w:val="24"/>
                <w:lang w:val="en-US" w:eastAsia="zh-CN" w:bidi="ar-SA"/>
              </w:rPr>
              <w:t>）</w:t>
            </w:r>
            <w:r>
              <w:rPr>
                <w:rFonts w:hint="default" w:ascii="Times New Roman" w:hAnsi="Times New Roman" w:eastAsia="宋体" w:cs="Times New Roman"/>
                <w:b w:val="0"/>
                <w:bCs w:val="0"/>
                <w:color w:val="auto"/>
                <w:spacing w:val="0"/>
                <w:kern w:val="2"/>
                <w:sz w:val="24"/>
                <w:szCs w:val="24"/>
                <w:lang w:val="en-US" w:eastAsia="zh-CN" w:bidi="ar-SA"/>
              </w:rPr>
              <w:t>，项目不占用永久</w:t>
            </w:r>
            <w:r>
              <w:rPr>
                <w:rFonts w:hint="default" w:ascii="Times New Roman" w:hAnsi="Times New Roman" w:eastAsia="宋体" w:cs="Times New Roman"/>
                <w:b w:val="0"/>
                <w:bCs w:val="0"/>
                <w:spacing w:val="0"/>
                <w:kern w:val="2"/>
                <w:sz w:val="24"/>
                <w:szCs w:val="24"/>
                <w:lang w:val="en-US" w:eastAsia="zh-CN" w:bidi="ar-SA"/>
              </w:rPr>
              <w:t>基本农田和稳定耕地。经核对芒市生态保护红线(公开版和调整版)，该拟用地不占用芒市生态保护红线。</w:t>
            </w:r>
            <w:r>
              <w:rPr>
                <w:rFonts w:hint="eastAsia" w:ascii="Times New Roman" w:hAnsi="Times New Roman" w:eastAsia="宋体" w:cs="Times New Roman"/>
                <w:b w:val="0"/>
                <w:bCs w:val="0"/>
                <w:spacing w:val="0"/>
                <w:kern w:val="2"/>
                <w:sz w:val="24"/>
                <w:szCs w:val="24"/>
                <w:lang w:val="en-US" w:eastAsia="zh-CN" w:bidi="ar-SA"/>
              </w:rPr>
              <w:t>固项目集电线路均不涉及</w:t>
            </w:r>
            <w:r>
              <w:rPr>
                <w:rFonts w:hint="default" w:ascii="Times New Roman" w:hAnsi="Times New Roman" w:eastAsia="宋体" w:cs="Times New Roman"/>
                <w:b w:val="0"/>
                <w:bCs w:val="0"/>
                <w:color w:val="auto"/>
                <w:spacing w:val="0"/>
                <w:kern w:val="2"/>
                <w:sz w:val="24"/>
                <w:szCs w:val="24"/>
                <w:lang w:val="en-US" w:eastAsia="zh-CN" w:bidi="ar-SA"/>
              </w:rPr>
              <w:t>永久</w:t>
            </w:r>
            <w:r>
              <w:rPr>
                <w:rFonts w:hint="default" w:ascii="Times New Roman" w:hAnsi="Times New Roman" w:eastAsia="宋体" w:cs="Times New Roman"/>
                <w:b w:val="0"/>
                <w:bCs w:val="0"/>
                <w:spacing w:val="0"/>
                <w:kern w:val="2"/>
                <w:sz w:val="24"/>
                <w:szCs w:val="24"/>
                <w:lang w:val="en-US" w:eastAsia="zh-CN" w:bidi="ar-SA"/>
              </w:rPr>
              <w:t>基本农田和稳定耕地</w:t>
            </w:r>
            <w:r>
              <w:rPr>
                <w:rFonts w:hint="eastAsia" w:ascii="Times New Roman" w:hAnsi="Times New Roman" w:eastAsia="宋体" w:cs="Times New Roman"/>
                <w:b w:val="0"/>
                <w:bCs w:val="0"/>
                <w:spacing w:val="0"/>
                <w:kern w:val="2"/>
                <w:sz w:val="24"/>
                <w:szCs w:val="24"/>
                <w:lang w:val="en-US" w:eastAsia="zh-CN" w:bidi="ar-SA"/>
              </w:rPr>
              <w:t>，不涉及</w:t>
            </w:r>
            <w:r>
              <w:rPr>
                <w:rFonts w:hint="default" w:ascii="Times New Roman" w:hAnsi="Times New Roman" w:eastAsia="宋体" w:cs="Times New Roman"/>
                <w:b w:val="0"/>
                <w:bCs w:val="0"/>
                <w:spacing w:val="0"/>
                <w:kern w:val="2"/>
                <w:sz w:val="24"/>
                <w:szCs w:val="24"/>
                <w:lang w:val="en-US" w:eastAsia="zh-CN" w:bidi="ar-SA"/>
              </w:rPr>
              <w:t>芒市生态保护红线</w:t>
            </w:r>
            <w:r>
              <w:rPr>
                <w:rFonts w:hint="eastAsia" w:ascii="Times New Roman" w:hAnsi="Times New Roman" w:eastAsia="宋体" w:cs="Times New Roman"/>
                <w:b w:val="0"/>
                <w:bCs w:val="0"/>
                <w:spacing w:val="0"/>
                <w:kern w:val="2"/>
                <w:sz w:val="24"/>
                <w:szCs w:val="24"/>
                <w:lang w:val="en-US" w:eastAsia="zh-CN" w:bidi="ar-SA"/>
              </w:rPr>
              <w:t>。</w:t>
            </w:r>
          </w:p>
          <w:p w14:paraId="73373939">
            <w:pPr>
              <w:pStyle w:val="8"/>
              <w:numPr>
                <w:ilvl w:val="0"/>
                <w:numId w:val="0"/>
              </w:numPr>
              <w:spacing w:line="360" w:lineRule="auto"/>
              <w:ind w:left="360" w:leftChars="0"/>
              <w:rPr>
                <w:rFonts w:hint="default" w:ascii="Times New Roman" w:hAnsi="Times New Roman" w:eastAsia="宋体" w:cs="Times New Roman"/>
                <w:color w:val="auto"/>
                <w:kern w:val="2"/>
                <w:sz w:val="24"/>
                <w:szCs w:val="24"/>
                <w:lang w:val="en-US" w:eastAsia="zh-CN" w:bidi="ar"/>
              </w:rPr>
            </w:pPr>
          </w:p>
          <w:p w14:paraId="35867B99">
            <w:pPr>
              <w:pStyle w:val="8"/>
              <w:numPr>
                <w:ilvl w:val="0"/>
                <w:numId w:val="6"/>
              </w:numPr>
              <w:spacing w:line="360" w:lineRule="auto"/>
              <w:ind w:left="0" w:leftChars="0" w:firstLine="0" w:firstLineChars="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施工布置</w:t>
            </w:r>
          </w:p>
          <w:p w14:paraId="13C4B7F0">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本工程工期较短，且工程区距离芒市较近，交通方便，不考虑在现场设业主营地、承包商营地、机械修配间等。施工所需的这些设施，拟利用当地资源。</w:t>
            </w:r>
          </w:p>
          <w:p w14:paraId="49E10D40">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在施工现场主要设置的临建设施有：施工生活区、综合加工厂、综合仓库，从安全及环保角度出发，在与光伏电池组件相邻的地势较平坦区域设置，同时生活区靠近仓库。</w:t>
            </w:r>
          </w:p>
          <w:p w14:paraId="32E1163C">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（1）砂石料生产系统</w:t>
            </w:r>
          </w:p>
          <w:p w14:paraId="379BC5B8">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本工程砂石骨料考虑外购，不新建砂石料生产系统。</w:t>
            </w:r>
          </w:p>
          <w:p w14:paraId="0C130E84">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（2）施工生活区、综合加工厂、综合仓库</w:t>
            </w:r>
          </w:p>
          <w:p w14:paraId="074E101D">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型钢、钢筋等可露天堆放，电池板组件、缆线、主要发电和电气设备等需仓库存放。电池板组件存放场地应采取防水、防倾倒等措施。</w:t>
            </w:r>
          </w:p>
          <w:p w14:paraId="22AD34B4">
            <w:p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通过提高对外运输效率以减少现场库存量，考虑现场零星的机械修配。本工程混凝土拌和区、施工生活区、综合加工厂、综合仓库建筑面积约为 4500m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，占地面积约为7500m</w:t>
            </w:r>
            <w:r>
              <w:rPr>
                <w:rFonts w:hint="eastAsia" w:ascii="Times New Roman" w:hAnsi="Times New Roman" w:eastAsia="宋体" w:cs="Times New Roman"/>
                <w:vertAlign w:val="superscript"/>
                <w:lang w:val="en-US" w:eastAsia="zh-CN"/>
              </w:rPr>
              <w:t>2</w:t>
            </w:r>
            <w:r>
              <w:rPr>
                <w:rFonts w:hint="eastAsia" w:ascii="Times New Roman" w:hAnsi="Times New Roman" w:eastAsia="宋体" w:cs="Times New Roman"/>
                <w:lang w:val="en-US" w:eastAsia="zh-CN"/>
              </w:rPr>
              <w:t>。</w:t>
            </w:r>
          </w:p>
          <w:p w14:paraId="36CBC279">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（3）弃渣场</w:t>
            </w:r>
          </w:p>
          <w:p w14:paraId="29E13B9F">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箱变、电缆分接箱基础土石方开挖800m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，土方回填160m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5791D5FC">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道路土石方开挖57156m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，土石方回填40016m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3FF5CB59">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升压站工程土石方量：挖方13056m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3AE8C253">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临建设施场平土石方工程量：挖方8500m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，土石方挖填已平衡。光伏支架基础、集电线路直埋产生的多余土石方回填于光伏陈列区进行坡改梯及地面改造综合利用</w:t>
            </w:r>
            <w:r>
              <w:rPr>
                <w:rFonts w:hint="default" w:ascii="Times New Roman" w:hAnsi="Times New Roman" w:eastAsia="宋体" w:cs="Times New Roman"/>
                <w:color w:val="auto"/>
                <w:lang w:val="en-US" w:eastAsia="zh-CN"/>
              </w:rPr>
              <w:t>，最终无废弃土石方产生</w:t>
            </w:r>
            <w:r>
              <w:rPr>
                <w:rFonts w:hint="eastAsia" w:ascii="Times New Roman" w:hAnsi="Times New Roman" w:eastAsia="宋体" w:cs="Times New Roman"/>
                <w:color w:val="auto"/>
                <w:lang w:val="en-US" w:eastAsia="zh-CN"/>
              </w:rPr>
              <w:t>，项目不设弃渣场。</w:t>
            </w:r>
          </w:p>
          <w:p w14:paraId="76AC809B">
            <w:pPr>
              <w:pStyle w:val="32"/>
              <w:widowControl w:val="0"/>
              <w:spacing w:line="360" w:lineRule="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）表土临时堆场</w:t>
            </w:r>
          </w:p>
          <w:p w14:paraId="66DB2B4B">
            <w:pPr>
              <w:adjustRightInd w:val="0"/>
              <w:snapToGrid w:val="0"/>
              <w:spacing w:line="360" w:lineRule="auto"/>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rPr>
              <w:t>根据现场调查，工程扰动建设区域为林地，具备剥离条件。为保护珍贵的表土资源，项目需对表土进行剥离收集，本项目可剥离表土区域为扰动区林地区域，其中支架基础和箱变及分支箱</w:t>
            </w:r>
            <w:r>
              <w:rPr>
                <w:rFonts w:hint="default" w:ascii="Times New Roman" w:hAnsi="Times New Roman" w:eastAsia="宋体" w:cs="Times New Roman"/>
                <w:color w:val="auto"/>
                <w:sz w:val="24"/>
                <w:szCs w:val="24"/>
                <w:lang w:bidi="ar"/>
              </w:rPr>
              <w:t>区域为点状扰动，施工期极短，表土就地回填于基础周边，因此不考虑表土剥离。因此，可剥离区域为集电线路、升压站区、场内道路区等面状区域，可剥离表土面积为3.01hm²，表土层厚度约15~30cm。</w:t>
            </w:r>
          </w:p>
          <w:p w14:paraId="6D6673F6">
            <w:pPr>
              <w:adjustRightInd w:val="0"/>
              <w:snapToGrid w:val="0"/>
              <w:spacing w:line="360" w:lineRule="auto"/>
              <w:ind w:firstLine="480" w:firstLineChars="200"/>
              <w:rPr>
                <w:rFonts w:hint="default" w:ascii="Times New Roman" w:hAnsi="Times New Roman" w:eastAsia="宋体" w:cs="Times New Roman"/>
                <w:color w:val="auto"/>
                <w:sz w:val="24"/>
                <w:szCs w:val="24"/>
                <w:lang w:bidi="ar"/>
              </w:rPr>
            </w:pPr>
            <w:r>
              <w:rPr>
                <w:rFonts w:hint="default" w:ascii="Times New Roman" w:hAnsi="Times New Roman" w:eastAsia="宋体" w:cs="Times New Roman"/>
                <w:color w:val="auto"/>
                <w:sz w:val="24"/>
                <w:szCs w:val="24"/>
                <w:lang w:bidi="ar"/>
              </w:rPr>
              <w:t>经统计，</w:t>
            </w:r>
            <w:bookmarkStart w:id="10" w:name="_Hlk98495333"/>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w:t>
            </w:r>
            <w:bookmarkEnd w:id="10"/>
            <w:r>
              <w:rPr>
                <w:rFonts w:hint="default" w:ascii="Times New Roman" w:hAnsi="Times New Roman" w:eastAsia="宋体" w:cs="Times New Roman"/>
                <w:color w:val="auto"/>
                <w:sz w:val="24"/>
                <w:szCs w:val="24"/>
                <w:lang w:bidi="ar"/>
              </w:rPr>
              <w:t>上。</w:t>
            </w:r>
          </w:p>
          <w:p w14:paraId="57FDFAC9">
            <w:pPr>
              <w:adjustRightInd w:val="0"/>
              <w:snapToGrid w:val="0"/>
              <w:spacing w:line="360" w:lineRule="auto"/>
              <w:ind w:firstLine="480" w:firstLineChars="200"/>
              <w:rPr>
                <w:rFonts w:hint="eastAsia" w:eastAsia="仿宋_GB2312"/>
                <w:lang w:val="en-US" w:eastAsia="zh-CN"/>
              </w:rPr>
            </w:pPr>
            <w:r>
              <w:rPr>
                <w:rFonts w:hint="default" w:ascii="Times New Roman" w:hAnsi="Times New Roman" w:eastAsia="宋体" w:cs="Times New Roman"/>
                <w:color w:val="auto"/>
                <w:sz w:val="24"/>
                <w:szCs w:val="24"/>
                <w:lang w:val="en-US" w:eastAsia="zh-CN" w:bidi="ar"/>
              </w:rPr>
              <w:t>本工程光伏发电区集电线路回填区域施工结束后进行撒草植被恢复，考虑覆土厚度40cm；场内道路边坡施工结束后进行撒草绿化，考虑覆土厚度50cm。经计算确定后期绿化覆土量为0.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val="en-US" w:eastAsia="zh-CN" w:bidi="ar"/>
              </w:rPr>
              <w:t>万m³</w:t>
            </w:r>
            <w:r>
              <w:rPr>
                <w:rFonts w:hint="eastAsia" w:ascii="Times New Roman" w:hAnsi="Times New Roman" w:eastAsia="宋体" w:cs="Times New Roman"/>
                <w:color w:val="auto"/>
                <w:sz w:val="24"/>
                <w:szCs w:val="24"/>
                <w:lang w:val="en-US" w:eastAsia="zh-CN" w:bidi="ar"/>
              </w:rPr>
              <w:t>。</w:t>
            </w:r>
            <w:r>
              <w:rPr>
                <w:rFonts w:hint="default" w:ascii="Times New Roman" w:hAnsi="Times New Roman" w:eastAsia="宋体" w:cs="Times New Roman"/>
                <w:color w:val="auto"/>
                <w:sz w:val="24"/>
                <w:lang w:val="en-US" w:eastAsia="zh-CN" w:bidi="ar"/>
              </w:rPr>
              <w:t>本项目可剥离表土量0.48万m³，后期利用于本项目绿化及复耕覆土0.48万m³。表土平衡</w:t>
            </w:r>
            <w:r>
              <w:rPr>
                <w:rFonts w:hint="eastAsia" w:ascii="Times New Roman" w:hAnsi="Times New Roman" w:eastAsia="宋体" w:cs="Times New Roman"/>
                <w:color w:val="auto"/>
                <w:sz w:val="24"/>
                <w:lang w:val="en-US" w:eastAsia="zh-CN" w:bidi="ar"/>
              </w:rPr>
              <w:t>。</w:t>
            </w:r>
          </w:p>
        </w:tc>
      </w:tr>
      <w:tr w14:paraId="5900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7" w:type="dxa"/>
            <w:vAlign w:val="center"/>
          </w:tcPr>
          <w:p w14:paraId="3182C8B0">
            <w:pPr>
              <w:bidi w:val="0"/>
              <w:jc w:val="center"/>
              <w:rPr>
                <w:rFonts w:hint="eastAsia" w:ascii="Times New Roman" w:hAnsi="Times New Roman" w:eastAsiaTheme="minorEastAsia"/>
                <w:color w:val="000000"/>
                <w:kern w:val="0"/>
                <w:sz w:val="24"/>
                <w:lang w:val="en-US" w:eastAsia="zh-CN"/>
              </w:rPr>
            </w:pPr>
            <w:r>
              <w:rPr>
                <w:rFonts w:hint="eastAsia" w:ascii="Times New Roman" w:hAnsi="Times New Roman"/>
                <w:color w:val="000000"/>
                <w:kern w:val="0"/>
                <w:sz w:val="24"/>
                <w:lang w:val="en-US" w:eastAsia="zh-CN"/>
              </w:rPr>
              <w:t>施工方案</w:t>
            </w:r>
          </w:p>
        </w:tc>
        <w:tc>
          <w:tcPr>
            <w:tcW w:w="8065" w:type="dxa"/>
          </w:tcPr>
          <w:p w14:paraId="53E60ED0">
            <w:pPr>
              <w:numPr>
                <w:ilvl w:val="0"/>
                <w:numId w:val="8"/>
              </w:numPr>
              <w:spacing w:line="360" w:lineRule="auto"/>
              <w:ind w:left="-240" w:leftChars="0" w:firstLine="480" w:firstLineChars="0"/>
              <w:rPr>
                <w:rFonts w:hint="eastAsia" w:ascii="宋体" w:hAnsi="宋体" w:eastAsia="宋体" w:cs="宋体"/>
                <w:lang w:val="en-US" w:eastAsia="zh-CN"/>
              </w:rPr>
            </w:pPr>
            <w:r>
              <w:rPr>
                <w:rFonts w:hint="eastAsia" w:ascii="宋体" w:hAnsi="宋体" w:eastAsia="宋体" w:cs="宋体"/>
                <w:lang w:val="en-US" w:eastAsia="zh-CN"/>
              </w:rPr>
              <w:t>施工交通</w:t>
            </w:r>
          </w:p>
          <w:p w14:paraId="70CD5FB6">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江东光伏发电项目位于云南省德宏州芒市轩岗乡西北一带山脊上，场址东西跨度约2.5km、南北跨度约2.5km，场址中心距离芒市城距离约18km。本工程对外交通运输拟采用公路运输，具体线路如下：</w:t>
            </w:r>
          </w:p>
          <w:p w14:paraId="7AE35DFA">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昆明市→G56杭瑞高速→芒市→芒那公路→轩岗乡→乡村道路→光伏场区，全程约660km。</w:t>
            </w:r>
          </w:p>
          <w:p w14:paraId="44F02B4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rPr>
            </w:pPr>
            <w:bookmarkStart w:id="11" w:name="_Toc9730"/>
            <w:r>
              <w:rPr>
                <w:rFonts w:hint="default" w:ascii="Times New Roman" w:hAnsi="Times New Roman" w:eastAsia="宋体" w:cs="Times New Roman"/>
                <w:b/>
                <w:bCs/>
                <w:color w:val="auto"/>
                <w:kern w:val="0"/>
                <w:sz w:val="24"/>
              </w:rPr>
              <w:t>二、主要材料及来源</w:t>
            </w:r>
            <w:bookmarkEnd w:id="11"/>
          </w:p>
          <w:p w14:paraId="1C02198B">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bookmarkStart w:id="12" w:name="_Toc13843"/>
            <w:bookmarkStart w:id="13" w:name="_Toc123727574"/>
            <w:bookmarkStart w:id="14" w:name="_Toc287428250"/>
            <w:bookmarkStart w:id="15" w:name="_Toc89439882"/>
            <w:bookmarkStart w:id="16" w:name="_Toc123639793"/>
            <w:bookmarkStart w:id="17" w:name="_Toc89424749"/>
            <w:bookmarkStart w:id="18" w:name="_Toc380414810"/>
            <w:r>
              <w:rPr>
                <w:rFonts w:hint="default" w:ascii="Times New Roman" w:hAnsi="Times New Roman" w:eastAsia="宋体" w:cs="Times New Roman"/>
                <w:color w:val="auto"/>
                <w:kern w:val="0"/>
                <w:sz w:val="24"/>
                <w:szCs w:val="24"/>
              </w:rPr>
              <w:t>本工程所需的主要材料为砂石料、水泥、钢材、木材、油料和火工材料等，材料的主要来源为：</w:t>
            </w:r>
          </w:p>
          <w:p w14:paraId="642C0AA1">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砂石料：场地范围内无较好的天然砂石料源，本工程砂石骨料需从场址附近的</w:t>
            </w:r>
            <w:r>
              <w:rPr>
                <w:rFonts w:hint="default" w:ascii="Times New Roman" w:hAnsi="Times New Roman" w:eastAsia="宋体" w:cs="Times New Roman"/>
                <w:color w:val="auto"/>
                <w:kern w:val="0"/>
                <w:sz w:val="24"/>
                <w:szCs w:val="24"/>
                <w:lang w:val="en-US" w:eastAsia="zh-CN"/>
              </w:rPr>
              <w:t>手续合法的</w:t>
            </w:r>
            <w:r>
              <w:rPr>
                <w:rFonts w:hint="default" w:ascii="Times New Roman" w:hAnsi="Times New Roman" w:eastAsia="宋体" w:cs="Times New Roman"/>
                <w:color w:val="auto"/>
                <w:kern w:val="0"/>
                <w:sz w:val="24"/>
                <w:szCs w:val="24"/>
              </w:rPr>
              <w:t>砂石场采购。水泥、钢筋钢材、木材、油料均从芒市及附近地区采购。</w:t>
            </w:r>
          </w:p>
          <w:p w14:paraId="77CA48EC">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混凝土：施工混凝土使用主要有升压站土建工程及进站道路施工，以及光伏场区支架基础、箱变基础、电缆分接箱基础等的浇筑。混凝土总用量较少、部位分散。经建设单位确认，工程区周边有商品混凝土拌和站，升压站建筑为框架结构，需采用商品混凝土，以罐车运至场区进行浇筑；而进站道路施工、光伏场区支架基础、箱变基础、电缆分接箱基础的浇筑相对分散，故采用需现场进行拌和。</w:t>
            </w:r>
          </w:p>
          <w:p w14:paraId="05AB1853">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三、水、电、通讯系统</w:t>
            </w:r>
            <w:bookmarkEnd w:id="12"/>
            <w:bookmarkEnd w:id="13"/>
            <w:bookmarkEnd w:id="14"/>
            <w:bookmarkEnd w:id="15"/>
            <w:bookmarkEnd w:id="16"/>
            <w:bookmarkEnd w:id="17"/>
            <w:bookmarkEnd w:id="18"/>
          </w:p>
          <w:p w14:paraId="44793B96">
            <w:pPr>
              <w:adjustRightInd w:val="0"/>
              <w:snapToGrid w:val="0"/>
              <w:spacing w:line="360" w:lineRule="auto"/>
              <w:ind w:firstLine="480" w:firstLineChars="200"/>
              <w:rPr>
                <w:rFonts w:hint="eastAsia" w:ascii="Times New Roman" w:hAnsi="Times New Roman" w:eastAsia="宋体" w:cs="Times New Roman"/>
                <w:color w:val="auto"/>
                <w:kern w:val="0"/>
                <w:sz w:val="24"/>
                <w:lang w:val="en-US" w:eastAsia="zh-CN"/>
              </w:rPr>
            </w:pPr>
            <w:bookmarkStart w:id="19" w:name="_Toc279258372"/>
            <w:r>
              <w:rPr>
                <w:rFonts w:hint="default" w:ascii="Times New Roman" w:hAnsi="Times New Roman" w:eastAsia="宋体" w:cs="Times New Roman"/>
                <w:color w:val="auto"/>
                <w:kern w:val="0"/>
                <w:sz w:val="24"/>
              </w:rPr>
              <w:t>施工用水：本工程施工用水由建筑施工用水、施工机械用水、生活用水等组成，</w:t>
            </w:r>
            <w:r>
              <w:rPr>
                <w:rFonts w:hint="eastAsia" w:ascii="Times New Roman" w:hAnsi="Times New Roman" w:eastAsia="宋体" w:cs="Times New Roman"/>
                <w:color w:val="auto"/>
                <w:kern w:val="0"/>
                <w:sz w:val="24"/>
                <w:lang w:val="en-US" w:eastAsia="zh-CN"/>
              </w:rPr>
              <w:t>取自站址附近村庄，采用水车运水的方式供应，运距约1.5km。直饮水采用桶装矿泉水；施工场地内设容积为50m</w:t>
            </w:r>
            <w:r>
              <w:rPr>
                <w:rFonts w:hint="eastAsia" w:ascii="Times New Roman" w:hAnsi="Times New Roman" w:eastAsia="宋体" w:cs="Times New Roman"/>
                <w:color w:val="auto"/>
                <w:kern w:val="0"/>
                <w:sz w:val="24"/>
                <w:vertAlign w:val="superscript"/>
                <w:lang w:val="en-US" w:eastAsia="zh-CN"/>
              </w:rPr>
              <w:t>3</w:t>
            </w:r>
            <w:r>
              <w:rPr>
                <w:rFonts w:hint="eastAsia" w:ascii="Times New Roman" w:hAnsi="Times New Roman" w:eastAsia="宋体" w:cs="Times New Roman"/>
                <w:color w:val="auto"/>
                <w:kern w:val="0"/>
                <w:sz w:val="24"/>
                <w:lang w:val="en-US" w:eastAsia="zh-CN"/>
              </w:rPr>
              <w:t>临时水池三座，供施工用水。</w:t>
            </w:r>
          </w:p>
          <w:p w14:paraId="4F76F81F">
            <w:pPr>
              <w:adjustRightInd w:val="0"/>
              <w:snapToGrid w:val="0"/>
              <w:spacing w:line="360" w:lineRule="auto"/>
              <w:ind w:firstLine="480" w:firstLineChars="200"/>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szCs w:val="24"/>
                <w:lang w:val="en-US" w:eastAsia="zh-CN" w:bidi="ar-SA"/>
              </w:rPr>
              <w:t>施工用电：估算本工程施工用电高峰负荷约2</w:t>
            </w:r>
            <w:r>
              <w:rPr>
                <w:rFonts w:hint="eastAsia" w:ascii="Times New Roman" w:hAnsi="Times New Roman" w:eastAsia="宋体" w:cs="Times New Roman"/>
                <w:color w:val="auto"/>
                <w:kern w:val="0"/>
                <w:sz w:val="24"/>
                <w:szCs w:val="24"/>
                <w:lang w:val="en-US" w:eastAsia="zh-CN" w:bidi="ar-SA"/>
              </w:rPr>
              <w:t>90</w:t>
            </w:r>
            <w:r>
              <w:rPr>
                <w:rFonts w:hint="default" w:ascii="Times New Roman" w:hAnsi="Times New Roman" w:eastAsia="宋体" w:cs="Times New Roman"/>
                <w:color w:val="auto"/>
                <w:kern w:val="0"/>
                <w:sz w:val="24"/>
                <w:szCs w:val="24"/>
                <w:lang w:val="en-US" w:eastAsia="zh-CN" w:bidi="ar-SA"/>
              </w:rPr>
              <w:t>kW。场址附近有农网 10kV线路，施工用电可由该10kV线路引接作为电源，长度约1.5km，距离较远处施工及紧急备用电源采用柴油发电机供电。场内设置容量为250kVA 的低压站</w:t>
            </w:r>
            <w:r>
              <w:rPr>
                <w:rFonts w:hint="default" w:ascii="Times New Roman" w:hAnsi="Times New Roman" w:eastAsia="宋体" w:cs="Times New Roman"/>
                <w:color w:val="auto"/>
                <w:kern w:val="0"/>
                <w:sz w:val="24"/>
              </w:rPr>
              <w:t>用变压器和单母线接线的0.4kV低压配电段，为站用负荷供电。光伏电站建成后此电源作为备用电源。</w:t>
            </w:r>
          </w:p>
          <w:p w14:paraId="4F1B766B">
            <w:pPr>
              <w:adjustRightInd w:val="0"/>
              <w:snapToGrid w:val="0"/>
              <w:spacing w:line="360" w:lineRule="auto"/>
              <w:ind w:firstLine="480" w:firstLineChars="200"/>
              <w:rPr>
                <w:rFonts w:hint="eastAsia"/>
                <w:lang w:val="en-US" w:eastAsia="zh-CN"/>
              </w:rPr>
            </w:pPr>
            <w:r>
              <w:rPr>
                <w:rFonts w:hint="default" w:ascii="Times New Roman" w:hAnsi="Times New Roman" w:eastAsia="宋体" w:cs="Times New Roman"/>
                <w:color w:val="auto"/>
                <w:sz w:val="24"/>
                <w:szCs w:val="24"/>
              </w:rPr>
              <w:t>通信：施工现场有中国移动、联通等信号覆盖，对外通信主要采用移动通讯方式。</w:t>
            </w:r>
            <w:bookmarkEnd w:id="19"/>
          </w:p>
          <w:p w14:paraId="279279DC">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四、施工方案</w:t>
            </w:r>
          </w:p>
          <w:p w14:paraId="417FAEB7">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本工程土建工程及光伏阵列支架安装施工范围包括：场地平整、场内道路施工、钢筋混凝土灌注桩施工、支架安装、电缆沟开挖和衬砌施工等。</w:t>
            </w:r>
          </w:p>
          <w:p w14:paraId="5436A1DD">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主要设备安装施工范围包括：光伏组件安装、升压变配电设备安装及调试、集电线路安装及调试、升压站电气设备安装及调试等。</w:t>
            </w:r>
          </w:p>
          <w:p w14:paraId="724E986B">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土建工程施工方案应考虑有利于先后作业之间、土建与设备安装之间的协调均衡。在施工顺序上，前期以土建为主，安装配合预留、预埋，施工中后期应以安装为主，土建配合并为安装创造条件。</w:t>
            </w:r>
          </w:p>
          <w:p w14:paraId="1366A864">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（1）建立整个施工现场的高程控制网及平面控制网，并定期复测。</w:t>
            </w:r>
          </w:p>
          <w:p w14:paraId="23668976">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（2）土建施工按照先地下、后地上的顺序，依次施工综合楼基础、光伏发电组件基础、逆变升压单元基础及其它设施。</w:t>
            </w:r>
          </w:p>
          <w:p w14:paraId="1FECD0CF">
            <w:pPr>
              <w:spacing w:line="360" w:lineRule="auto"/>
              <w:ind w:firstLine="240" w:firstLineChars="100"/>
              <w:jc w:val="both"/>
              <w:rPr>
                <w:rFonts w:hint="eastAsia" w:ascii="宋体" w:hAnsi="宋体" w:eastAsia="宋体" w:cs="宋体"/>
                <w:lang w:val="en-US" w:eastAsia="zh-CN"/>
              </w:rPr>
            </w:pPr>
            <w:r>
              <w:rPr>
                <w:rFonts w:hint="eastAsia" w:ascii="宋体" w:hAnsi="宋体" w:eastAsia="宋体" w:cs="宋体"/>
                <w:lang w:val="en-US" w:eastAsia="zh-CN"/>
              </w:rPr>
              <w:t>（3）接地网、地下管道主线与相应的地下工程设施(给排水、消防管道、电缆沟道)同步施工，电缆管预埋与基础施工应紧密配合，防止遗漏。</w:t>
            </w:r>
          </w:p>
          <w:p w14:paraId="25FC26D8">
            <w:pPr>
              <w:spacing w:line="360" w:lineRule="auto"/>
              <w:ind w:firstLine="480" w:firstLineChars="200"/>
              <w:jc w:val="both"/>
              <w:rPr>
                <w:rFonts w:hint="eastAsia" w:ascii="宋体" w:hAnsi="宋体" w:eastAsia="宋体" w:cs="宋体"/>
                <w:lang w:val="en-US" w:eastAsia="zh-CN"/>
              </w:rPr>
            </w:pPr>
            <w:r>
              <w:rPr>
                <w:rFonts w:hint="eastAsia" w:ascii="宋体" w:hAnsi="宋体" w:eastAsia="宋体" w:cs="宋体"/>
                <w:lang w:val="en-US" w:eastAsia="zh-CN"/>
              </w:rPr>
              <w:t>主体工程施工按以下施工顺序进行：</w:t>
            </w:r>
          </w:p>
          <w:p w14:paraId="0451E0A2">
            <w:pPr>
              <w:spacing w:line="360" w:lineRule="auto"/>
              <w:ind w:firstLine="48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道路施工→钻孔灌注桩安装→光伏阵列支架安装→光伏阵列设备安装及调试、电缆數设。</w:t>
            </w:r>
          </w:p>
          <w:p w14:paraId="7703DD10">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w:t>
            </w:r>
            <w:r>
              <w:rPr>
                <w:rFonts w:hint="eastAsia" w:ascii="Times New Roman" w:hAnsi="Times New Roman" w:eastAsia="宋体" w:cs="Times New Roman"/>
                <w:b/>
                <w:bCs/>
                <w:lang w:val="en-US" w:eastAsia="zh-CN"/>
              </w:rPr>
              <w:t>、</w:t>
            </w:r>
            <w:r>
              <w:rPr>
                <w:rFonts w:hint="default" w:ascii="Times New Roman" w:hAnsi="Times New Roman" w:eastAsia="宋体" w:cs="Times New Roman"/>
                <w:b/>
                <w:bCs/>
                <w:lang w:val="en-US" w:eastAsia="zh-CN"/>
              </w:rPr>
              <w:t>场内道路施工</w:t>
            </w:r>
          </w:p>
          <w:p w14:paraId="6D5B2A67">
            <w:p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场内道路的施工主要以土石方开挖为主，填筑其次，首先，由人工配合机械设备清除路基面上表土、杂物，然后，及时施工下挡墙、护脚墙，为路基填土、填石渣做准备。挖方地段要按设计要求，提前施工作好坡顶截水沟，以防止雨水损坏边坡。采用挖掘机或装载机装土，自卸汽车运土，推土机摊铺，人工配合平地机整平，振动压路机碾压密实。</w:t>
            </w:r>
          </w:p>
          <w:p w14:paraId="504B3AF7">
            <w:pPr>
              <w:adjustRightInd w:val="0"/>
              <w:snapToGrid w:val="0"/>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施工期道路施工工艺流程及产污环节具体见下图所示：</w:t>
            </w:r>
          </w:p>
          <w:p w14:paraId="6E30668B">
            <w:pPr>
              <w:pStyle w:val="26"/>
              <w:snapToGrid w:val="0"/>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69.2pt;width:395.05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5" r:id="rId19">
                  <o:LockedField>false</o:LockedField>
                </o:OLEObject>
              </w:object>
            </w:r>
          </w:p>
          <w:p w14:paraId="63BDFD73">
            <w:pPr>
              <w:pStyle w:val="26"/>
              <w:snapToGrid w:val="0"/>
              <w:spacing w:line="360" w:lineRule="auto"/>
              <w:jc w:val="center"/>
              <w:rPr>
                <w:rFonts w:hint="default"/>
                <w:lang w:val="en-US" w:eastAsia="zh-CN"/>
              </w:rPr>
            </w:pPr>
            <w:r>
              <w:rPr>
                <w:rFonts w:hint="default" w:ascii="Times New Roman" w:hAnsi="Times New Roman" w:eastAsia="宋体" w:cs="Times New Roman"/>
                <w:b/>
                <w:color w:val="auto"/>
                <w:sz w:val="21"/>
                <w:szCs w:val="21"/>
              </w:rPr>
              <w:t>图2-</w:t>
            </w:r>
            <w:r>
              <w:rPr>
                <w:rFonts w:hint="default" w:ascii="Times New Roman" w:hAnsi="Times New Roman" w:eastAsia="宋体"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道路施工工艺流程及产污环节图</w:t>
            </w:r>
          </w:p>
          <w:p w14:paraId="2825B2D1">
            <w:pPr>
              <w:numPr>
                <w:ilvl w:val="0"/>
                <w:numId w:val="9"/>
              </w:numPr>
              <w:spacing w:line="360" w:lineRule="auto"/>
              <w:ind w:firstLine="482"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b/>
                <w:bCs/>
                <w:lang w:val="en-US" w:eastAsia="zh-CN"/>
              </w:rPr>
              <w:t>光伏阵列</w:t>
            </w:r>
            <w:r>
              <w:rPr>
                <w:rFonts w:hint="eastAsia" w:ascii="Times New Roman" w:hAnsi="Times New Roman" w:eastAsia="宋体" w:cs="Times New Roman"/>
                <w:b/>
                <w:bCs/>
                <w:lang w:val="en-US" w:eastAsia="zh-CN"/>
              </w:rPr>
              <w:t>区</w:t>
            </w:r>
          </w:p>
          <w:p w14:paraId="4C31C670">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2.1、</w:t>
            </w:r>
            <w:r>
              <w:rPr>
                <w:rFonts w:hint="default" w:ascii="Times New Roman" w:hAnsi="Times New Roman" w:eastAsia="宋体" w:cs="Times New Roman"/>
                <w:b/>
                <w:bCs/>
                <w:lang w:val="en-US" w:eastAsia="zh-CN"/>
              </w:rPr>
              <w:t>基础施工</w:t>
            </w:r>
          </w:p>
          <w:p w14:paraId="5CAA12A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光伏阵列基础采用钻孔灌注桩形式，混凝土灌注桩基础施工包括钻孔、钢筋笼制作与安装、混凝土浇筑。</w:t>
            </w:r>
          </w:p>
          <w:p w14:paraId="221861D0">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（1）钻孔</w:t>
            </w:r>
          </w:p>
          <w:p w14:paraId="30BFC9E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①根据施工现场坐标控制点首先建立该区测量控制网，对桩位准确定位放线。</w:t>
            </w:r>
          </w:p>
          <w:p w14:paraId="4AF698E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②采用钻孔机械进行钻孔，钻孔应保证桩孔竖直。</w:t>
            </w:r>
          </w:p>
          <w:p w14:paraId="1A9474C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③钻孔完成后，进行钻孔验收，验收合格后方可进行下道工序施工。</w:t>
            </w:r>
          </w:p>
          <w:p w14:paraId="6FF03A8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（2）钢筋笼制作与安装</w:t>
            </w:r>
          </w:p>
          <w:p w14:paraId="71314292">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钢筋笼所用为钢筋HRB400钢筋，通过计算拟定桩长和桩基础埋深，通过实验验证后确定；安装时应严格把控钢筋笼放入，使钢筋笼位于钻孔中心位置。</w:t>
            </w:r>
          </w:p>
          <w:p w14:paraId="1D39FE3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（3）混凝土浇筑</w:t>
            </w:r>
          </w:p>
          <w:p w14:paraId="4475B6B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应严格把控混凝土浇筑质量，浇筑时速度不宜过快，防止集料离析、分离。</w:t>
            </w:r>
          </w:p>
          <w:p w14:paraId="020AFAEB">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2.2</w:t>
            </w:r>
            <w:r>
              <w:rPr>
                <w:rFonts w:hint="default" w:ascii="Times New Roman" w:hAnsi="Times New Roman" w:eastAsia="宋体" w:cs="Times New Roman"/>
                <w:b/>
                <w:bCs/>
                <w:lang w:val="en-US" w:eastAsia="zh-CN"/>
              </w:rPr>
              <w:t>、光伏阵列组件和支架安装</w:t>
            </w:r>
          </w:p>
          <w:p w14:paraId="55F3EC36">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支架和光伏组件进场前应做好质量验收，存放时应做好防潮、防腐蚀等防护工作。光伏组件的安装分为两部分</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支架安装、光伏组件安装。</w:t>
            </w:r>
          </w:p>
          <w:p w14:paraId="121C9598">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支架的安装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支架安装前应对基础的水平偏差和定位轴线偏差进行查验，不合格的项目应进行整改后再进行安装。支架的安装要满足紧固度和偏差度要求。支架的焊接部位应做防腐处理。</w:t>
            </w:r>
          </w:p>
          <w:p w14:paraId="2EFFCDE1">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光伏组件的安装</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挑选工作参数接近的组件在同</w:t>
            </w:r>
            <w:r>
              <w:rPr>
                <w:rFonts w:hint="eastAsia" w:ascii="Times New Roman" w:hAnsi="Times New Roman" w:eastAsia="宋体" w:cs="Times New Roman"/>
                <w:lang w:val="en-US" w:eastAsia="zh-CN"/>
              </w:rPr>
              <w:t>一</w:t>
            </w:r>
            <w:r>
              <w:rPr>
                <w:rFonts w:hint="default" w:ascii="Times New Roman" w:hAnsi="Times New Roman" w:eastAsia="宋体" w:cs="Times New Roman"/>
                <w:lang w:val="en-US" w:eastAsia="zh-CN"/>
              </w:rPr>
              <w:t>子方阵内，额定工作电流相等或相接近的组件进行串连，其安装角度、组件边缘高差和组件平整度应严格遵守设计文件或生产厂家的要求。严禁在雷、雨天进行组件的连线工作。</w:t>
            </w:r>
          </w:p>
          <w:p w14:paraId="052010C5">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2.3</w:t>
            </w:r>
            <w:r>
              <w:rPr>
                <w:rFonts w:hint="default" w:ascii="Times New Roman" w:hAnsi="Times New Roman" w:eastAsia="宋体" w:cs="Times New Roman"/>
                <w:b/>
                <w:bCs/>
                <w:lang w:val="en-US" w:eastAsia="zh-CN"/>
              </w:rPr>
              <w:t>、逆变器、箱式变压器及相关配电装置</w:t>
            </w:r>
          </w:p>
          <w:p w14:paraId="5B0F588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本工程采用组串式逆变器。</w:t>
            </w:r>
          </w:p>
          <w:p w14:paraId="38EB1C01">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箱式变压器、组串式逆变器及其配套电气设备通过汽车运抵安装位置附近，采用吊车、液压升降小车等设备进行安装就位。箱式变压器安装于光伏阵列路旁，其安装要求和方法参照相关安装规范以及生产厂家提供的相关安装技术要求和方法。</w:t>
            </w:r>
          </w:p>
          <w:p w14:paraId="236D29A2">
            <w:p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2.4</w:t>
            </w:r>
            <w:r>
              <w:rPr>
                <w:rFonts w:hint="default" w:ascii="Times New Roman" w:hAnsi="Times New Roman" w:eastAsia="宋体" w:cs="Times New Roman"/>
                <w:b/>
                <w:bCs/>
                <w:lang w:val="en-US" w:eastAsia="zh-CN"/>
              </w:rPr>
              <w:t>、电缆敷设</w:t>
            </w:r>
          </w:p>
          <w:p w14:paraId="78C60C42">
            <w:pPr>
              <w:spacing w:line="360" w:lineRule="auto"/>
              <w:ind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r>
              <w:rPr>
                <w:rFonts w:hint="eastAsia" w:ascii="Times New Roman" w:hAnsi="Times New Roman" w:eastAsia="宋体" w:cs="Times New Roman"/>
                <w:lang w:val="en-US" w:eastAsia="zh-CN"/>
              </w:rPr>
              <w:t>（本项目不涉及不涉及输电线路工程内容）</w:t>
            </w:r>
          </w:p>
          <w:p w14:paraId="324FCAA6">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color w:val="auto"/>
                <w:sz w:val="24"/>
              </w:rPr>
              <w:t>光伏发电系统施工工艺流程及产污环节具体见下图所示：</w:t>
            </w:r>
          </w:p>
          <w:p w14:paraId="2CCE5C26">
            <w:pPr>
              <w:pStyle w:val="26"/>
              <w:snapToGrid w:val="0"/>
              <w:spacing w:line="360" w:lineRule="auto"/>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6" o:spt="75" type="#_x0000_t75" style="height:70.85pt;width:395.25pt;" o:ole="t" filled="f" o:preferrelative="t" stroked="f" coordsize="21600,21600">
                  <v:path/>
                  <v:fill on="f" focussize="0,0"/>
                  <v:stroke on="f"/>
                  <v:imagedata r:id="rId22" o:title=""/>
                  <o:lock v:ext="edit" aspectratio="f"/>
                  <w10:wrap type="none"/>
                  <w10:anchorlock/>
                </v:shape>
                <o:OLEObject Type="Embed" ProgID="Visio.Drawing.11" ShapeID="_x0000_i1026" DrawAspect="Content" ObjectID="_1468075726" r:id="rId21">
                  <o:LockedField>false</o:LockedField>
                </o:OLEObject>
              </w:object>
            </w:r>
          </w:p>
          <w:p w14:paraId="430E6359">
            <w:pPr>
              <w:pStyle w:val="26"/>
              <w:snapToGrid w:val="0"/>
              <w:spacing w:line="360" w:lineRule="auto"/>
              <w:jc w:val="center"/>
              <w:rPr>
                <w:rFonts w:hint="default"/>
                <w:b/>
                <w:bCs/>
                <w:lang w:val="en-US" w:eastAsia="zh-CN"/>
              </w:rPr>
            </w:pPr>
            <w:r>
              <w:rPr>
                <w:rFonts w:hint="default" w:ascii="Times New Roman" w:hAnsi="Times New Roman" w:eastAsia="宋体" w:cs="Times New Roman"/>
                <w:b/>
                <w:color w:val="auto"/>
                <w:sz w:val="21"/>
                <w:szCs w:val="21"/>
              </w:rPr>
              <w:t>图 2-</w:t>
            </w:r>
            <w:r>
              <w:rPr>
                <w:rFonts w:hint="default"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光伏发电系统施工工艺流程及产污环节图</w:t>
            </w:r>
          </w:p>
          <w:p w14:paraId="327EDA44">
            <w:pPr>
              <w:pStyle w:val="12"/>
              <w:rPr>
                <w:rFonts w:hint="default"/>
                <w:lang w:val="en-US" w:eastAsia="zh-CN"/>
              </w:rPr>
            </w:pPr>
          </w:p>
          <w:p w14:paraId="1DE4B036">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3、集电线路施工</w:t>
            </w:r>
          </w:p>
          <w:p w14:paraId="6FB2080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本工程场区内箱变之间及箱变至35kV开关柜之间的</w:t>
            </w:r>
            <w:r>
              <w:rPr>
                <w:rFonts w:hint="default" w:ascii="Times New Roman" w:hAnsi="Times New Roman" w:eastAsia="宋体" w:cs="Times New Roman"/>
                <w:color w:val="auto"/>
                <w:kern w:val="0"/>
                <w:sz w:val="24"/>
                <w:lang w:val="en-US" w:eastAsia="zh-CN" w:bidi="en-US"/>
              </w:rPr>
              <w:t>集电线路采用35kV直埋电缆敷设及架空线路混合形式</w:t>
            </w:r>
            <w:r>
              <w:rPr>
                <w:rFonts w:hint="eastAsia" w:ascii="Times New Roman" w:hAnsi="Times New Roman" w:eastAsia="宋体" w:cs="Times New Roman"/>
                <w:color w:val="auto"/>
                <w:kern w:val="0"/>
                <w:sz w:val="24"/>
                <w:lang w:val="en-US" w:eastAsia="zh-CN" w:bidi="en-US"/>
              </w:rPr>
              <w:t>。</w:t>
            </w:r>
          </w:p>
          <w:p w14:paraId="04AF46A6">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电缆敷设要先开挖电缆沟，将沟底用沙土垫平整，电缆敷设后填埋一层沙土，再用红砖压上，上部用碎石土回填夯实。电缆沟采用0.2m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～0.5m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反铲挖掘机配合人工开挖，开挖土石就近堆放，用于后期回填。砂土回填为人工回填，压实采用蛙式打夯机夯实。电缆沟土石方挖填可自身平衡。</w:t>
            </w:r>
          </w:p>
          <w:p w14:paraId="2E792ADB">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电缆在安装前对电缆进行质量验收。电缆在安装前，应根据设计资料及具体的施工情况，编制详细的电缆敷设程序表，表中应明确规定每根电缆安装的先后顺序。电缆的使用规格、安装路径应严格按设计要求进行，并满足相关规程规范的规定。</w:t>
            </w:r>
          </w:p>
          <w:p w14:paraId="7E0571E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w:t>
            </w:r>
            <w:r>
              <w:rPr>
                <w:rFonts w:hint="eastAsia" w:ascii="Times New Roman" w:hAnsi="Times New Roman" w:eastAsia="宋体" w:cs="Times New Roman"/>
                <w:color w:val="auto"/>
                <w:sz w:val="24"/>
                <w:lang w:eastAsia="zh-CN"/>
              </w:rPr>
              <w:t>直埋</w:t>
            </w:r>
            <w:r>
              <w:rPr>
                <w:rFonts w:hint="default" w:ascii="Times New Roman" w:hAnsi="Times New Roman" w:eastAsia="宋体" w:cs="Times New Roman"/>
                <w:color w:val="auto"/>
                <w:sz w:val="24"/>
              </w:rPr>
              <w:t>集电线路施工工艺流程及产污环节具体见下图所示：</w:t>
            </w:r>
          </w:p>
          <w:p w14:paraId="4411BE14">
            <w:pPr>
              <w:pStyle w:val="26"/>
              <w:snapToGrid w:val="0"/>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69.2pt;width:395.05pt;" o:ole="t" filled="f" o:preferrelative="t" stroked="f" coordsize="21600,21600">
                  <v:path/>
                  <v:fill on="f" focussize="0,0"/>
                  <v:stroke on="f"/>
                  <v:imagedata r:id="rId24" o:title=""/>
                  <o:lock v:ext="edit" aspectratio="f"/>
                  <w10:wrap type="none"/>
                  <w10:anchorlock/>
                </v:shape>
                <o:OLEObject Type="Embed" ProgID="Visio.Drawing.11" ShapeID="_x0000_i1027" DrawAspect="Content" ObjectID="_1468075727" r:id="rId23">
                  <o:LockedField>false</o:LockedField>
                </o:OLEObject>
              </w:object>
            </w:r>
          </w:p>
          <w:p w14:paraId="5533FF3E">
            <w:pPr>
              <w:pStyle w:val="26"/>
              <w:snapToGrid w:val="0"/>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w:t>
            </w:r>
            <w:r>
              <w:rPr>
                <w:rFonts w:hint="eastAsia" w:cs="Times New Roman"/>
                <w:b/>
                <w:color w:val="auto"/>
                <w:sz w:val="21"/>
                <w:szCs w:val="21"/>
                <w:lang w:eastAsia="zh-CN"/>
              </w:rPr>
              <w:t>直埋</w:t>
            </w:r>
            <w:r>
              <w:rPr>
                <w:rFonts w:hint="default" w:ascii="Times New Roman" w:hAnsi="Times New Roman" w:eastAsia="宋体" w:cs="Times New Roman"/>
                <w:b/>
                <w:color w:val="auto"/>
                <w:sz w:val="21"/>
                <w:szCs w:val="21"/>
              </w:rPr>
              <w:t>集电线路施工工艺流程及产污环节图</w:t>
            </w:r>
          </w:p>
          <w:p w14:paraId="37C146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rPr>
            </w:pPr>
            <w:r>
              <w:rPr>
                <w:rFonts w:hint="default" w:ascii="Times New Roman" w:hAnsi="Times New Roman" w:eastAsia="宋体" w:cs="Times New Roman"/>
                <w:color w:val="auto"/>
                <w:kern w:val="0"/>
                <w:sz w:val="24"/>
                <w:lang w:val="en-US" w:eastAsia="zh-CN" w:bidi="en-US"/>
              </w:rPr>
              <w:t>架空线路</w:t>
            </w:r>
            <w:r>
              <w:rPr>
                <w:rFonts w:hint="eastAsia" w:ascii="Times New Roman" w:hAnsi="Times New Roman" w:eastAsia="宋体" w:cs="Times New Roman"/>
                <w:color w:val="auto"/>
                <w:kern w:val="0"/>
                <w:sz w:val="24"/>
                <w:lang w:val="en-US" w:eastAsia="zh-CN" w:bidi="en-US"/>
              </w:rPr>
              <w:t>全线设置自立式铁塔1</w:t>
            </w:r>
            <w:r>
              <w:rPr>
                <w:rFonts w:hint="eastAsia" w:ascii="Times New Roman" w:hAnsi="Times New Roman" w:eastAsia="宋体" w:cs="Times New Roman"/>
                <w:color w:val="auto"/>
                <w:kern w:val="0"/>
                <w:sz w:val="24"/>
                <w:lang w:val="en-US" w:eastAsia="zh-CN"/>
              </w:rPr>
              <w:t>2基，其中直线塔5基，耐张塔7基。铁塔从底脚板以上9m范围内采用防盗螺栓，防盗螺栓外的螺栓均采用防松罩防松。杆塔与基础的连接方式采用地脚螺栓连接方式。项目12座塔基占地面积为768m</w:t>
            </w:r>
            <w:r>
              <w:rPr>
                <w:rFonts w:hint="eastAsia" w:ascii="Times New Roman" w:hAnsi="Times New Roman" w:eastAsia="宋体" w:cs="Times New Roman"/>
                <w:color w:val="auto"/>
                <w:kern w:val="0"/>
                <w:sz w:val="24"/>
                <w:vertAlign w:val="superscript"/>
                <w:lang w:val="en-US" w:eastAsia="zh-CN"/>
              </w:rPr>
              <w:t>2</w:t>
            </w:r>
            <w:r>
              <w:rPr>
                <w:rFonts w:hint="eastAsia" w:ascii="Times New Roman" w:hAnsi="Times New Roman" w:eastAsia="宋体" w:cs="Times New Roman"/>
                <w:color w:val="auto"/>
                <w:kern w:val="0"/>
                <w:sz w:val="24"/>
                <w:lang w:val="en-US" w:eastAsia="zh-CN"/>
              </w:rPr>
              <w:t>。项目架空路线仅涉及塔基开挖及</w:t>
            </w:r>
            <w:r>
              <w:rPr>
                <w:rFonts w:hint="eastAsia" w:ascii="Times New Roman" w:hAnsi="Times New Roman" w:eastAsia="宋体" w:cs="Times New Roman"/>
                <w:color w:val="auto"/>
                <w:kern w:val="0"/>
                <w:sz w:val="24"/>
                <w:lang w:val="en-US" w:eastAsia="zh-CN" w:bidi="en-US"/>
              </w:rPr>
              <w:t>自立式铁塔安装。</w:t>
            </w:r>
          </w:p>
          <w:p w14:paraId="1EA596F3">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4、升压站施工</w:t>
            </w:r>
          </w:p>
          <w:p w14:paraId="6A27B1AC">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升压站场地清理，采用推土机配合人工清理。然后用10t振动碾，将场地碾平，达到设计要求。</w:t>
            </w:r>
          </w:p>
          <w:p w14:paraId="658EDA7F">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升压站内所有建筑物的基础开挖，均采用小型挖掘机配人工开挖清理（包括基础之间的地下电缆沟）。人工清槽后、经验槽合格方可进行后序施工。基础混凝土浇筑和地下电缆沟墙的砌筑、封盖及土方回填施工。</w:t>
            </w:r>
          </w:p>
          <w:p w14:paraId="47666BDE">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当升压站内所有建筑物封顶、大型设备就位后，进行围墙施工。围墙为240mm 厚的砖体砌筑墙，采用人工砌筑。</w:t>
            </w:r>
          </w:p>
          <w:p w14:paraId="06AB6832">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房建施工顺序大致为：施工准备→场地平整、碾压→基础开挖→基础混凝土浇筑→混凝土框架浇筑→地板及顶板混凝土浇筑→砖墙垒起→电气管线敷设及室内外装修→电气设备入室→室内外装修及给排水系统施工。</w:t>
            </w:r>
          </w:p>
          <w:p w14:paraId="3A1ED184">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施工期升压站施工工艺流程及产污环节具体见下图所示：</w:t>
            </w:r>
          </w:p>
          <w:p w14:paraId="6AA5B3C9">
            <w:pPr>
              <w:pStyle w:val="2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object>
                <v:shape id="_x0000_i1028" o:spt="75" type="#_x0000_t75" style="height:65.2pt;width:399.7pt;" o:ole="t" filled="f" o:preferrelative="t" stroked="f" coordsize="21600,21600">
                  <v:path/>
                  <v:fill on="f" focussize="0,0"/>
                  <v:stroke on="f"/>
                  <v:imagedata r:id="rId26" o:title=""/>
                  <o:lock v:ext="edit" aspectratio="f"/>
                  <w10:wrap type="none"/>
                  <w10:anchorlock/>
                </v:shape>
                <o:OLEObject Type="Embed" ProgID="Visio.Drawing.11" ShapeID="_x0000_i1028" DrawAspect="Content" ObjectID="_1468075728" r:id="rId25">
                  <o:LockedField>false</o:LockedField>
                </o:OLEObject>
              </w:object>
            </w:r>
          </w:p>
          <w:p w14:paraId="7F57D96F">
            <w:pPr>
              <w:pStyle w:val="26"/>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图2-</w:t>
            </w:r>
            <w:r>
              <w:rPr>
                <w:rFonts w:hint="eastAsia"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升压站施工工艺流程及产污环节图</w:t>
            </w:r>
          </w:p>
          <w:p w14:paraId="65BC6441">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二、施工总进度</w:t>
            </w:r>
          </w:p>
          <w:p w14:paraId="053E6EF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建设大致可分为以下几个部分：施工准备、施工设施、交通工程（进站道路修建、场内施工道路修建）、土建工程（升压站土建工程、逆变升压单元土建工程）、光伏阵列支架工程（支架灌注桩工程、支架安装、集电线路基础工程）、设备安装工程（光伏阵列设备安装及调试、逆变升压单元安装及调试、集电线路安装及调试、升压站电气设备安装及调试）、联动调试及试运行、收尾工作及竣工验收。</w:t>
            </w:r>
          </w:p>
          <w:p w14:paraId="47EBD91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本工程施工进度的关键线路为：场内交通工程→土建工程→光伏组件基础</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钻孔灌注桩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和支架施工→光伏阵列设备安装及调试→光伏阵列发电。其中控制性因素为光伏组件基础桩和支架施工以及光伏组件安装。</w:t>
            </w:r>
          </w:p>
          <w:p w14:paraId="3D9870F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经工程类比，结合本工程实际，初拟从施工准备到工程竣工，总工期6 个月。具体安排如下：</w:t>
            </w:r>
          </w:p>
          <w:p w14:paraId="6808F8A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月1日开始施工准备；</w:t>
            </w:r>
          </w:p>
          <w:p w14:paraId="37E6B853">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月1日开始进站道路、场内改扩建、新建道路修建、升压站土建工程；</w:t>
            </w:r>
          </w:p>
          <w:p w14:paraId="07215F3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月1日开始临时设施修建、钻孔灌注桩施工、逆变升压单元土建；</w:t>
            </w:r>
          </w:p>
          <w:p w14:paraId="6D5A825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7</w:t>
            </w:r>
            <w:r>
              <w:rPr>
                <w:rFonts w:hint="default" w:ascii="Times New Roman" w:hAnsi="Times New Roman" w:eastAsia="宋体" w:cs="Times New Roman"/>
                <w:lang w:val="en-US" w:eastAsia="zh-CN"/>
              </w:rPr>
              <w:t>月15日开始光伏阵列支架安装；</w:t>
            </w:r>
          </w:p>
          <w:p w14:paraId="2877663E">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月1日开始集电线路基础、光伏阵列设备安装及调试；</w:t>
            </w:r>
          </w:p>
          <w:p w14:paraId="66FF09C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8</w:t>
            </w:r>
            <w:r>
              <w:rPr>
                <w:rFonts w:hint="default" w:ascii="Times New Roman" w:hAnsi="Times New Roman" w:eastAsia="宋体" w:cs="Times New Roman"/>
                <w:lang w:val="en-US" w:eastAsia="zh-CN"/>
              </w:rPr>
              <w:t>月15日份开始升压站电气设备安装及调试、集电线路安装及调试；</w:t>
            </w:r>
          </w:p>
          <w:p w14:paraId="34D0FC95">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月1日开始全工程联动调试及试运行；</w:t>
            </w:r>
          </w:p>
          <w:p w14:paraId="638C01F1">
            <w:pPr>
              <w:spacing w:line="360" w:lineRule="auto"/>
              <w:ind w:firstLine="480" w:firstLineChars="200"/>
              <w:rPr>
                <w:rFonts w:hint="eastAsia"/>
                <w:lang w:val="en-US" w:eastAsia="zh-CN"/>
              </w:rPr>
            </w:pPr>
            <w:r>
              <w:rPr>
                <w:rFonts w:hint="default" w:ascii="Times New Roman" w:hAnsi="Times New Roman" w:eastAsia="宋体" w:cs="Times New Roman"/>
                <w:lang w:val="en-US" w:eastAsia="zh-CN"/>
              </w:rPr>
              <w:t>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月15开始收尾工作及竣工验收，2023年</w:t>
            </w:r>
            <w:r>
              <w:rPr>
                <w:rFonts w:hint="eastAsia" w:ascii="Times New Roman" w:hAnsi="Times New Roman" w:eastAsia="宋体" w:cs="Times New Roman"/>
                <w:lang w:val="en-US" w:eastAsia="zh-CN"/>
              </w:rPr>
              <w:t>9</w:t>
            </w:r>
            <w:r>
              <w:rPr>
                <w:rFonts w:hint="default" w:ascii="Times New Roman" w:hAnsi="Times New Roman" w:eastAsia="宋体" w:cs="Times New Roman"/>
                <w:lang w:val="en-US" w:eastAsia="zh-CN"/>
              </w:rPr>
              <w:t>月底全工程完工。</w:t>
            </w:r>
          </w:p>
        </w:tc>
      </w:tr>
      <w:tr w14:paraId="36D05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457" w:type="dxa"/>
            <w:vAlign w:val="center"/>
          </w:tcPr>
          <w:p w14:paraId="5FA7953C">
            <w:pPr>
              <w:bidi w:val="0"/>
              <w:jc w:val="center"/>
              <w:rPr>
                <w:rFonts w:hint="default" w:ascii="Times New Roman" w:hAnsi="Times New Roman"/>
                <w:color w:val="000000"/>
                <w:kern w:val="0"/>
                <w:sz w:val="24"/>
                <w:lang w:val="en-US" w:eastAsia="zh-CN"/>
              </w:rPr>
            </w:pPr>
            <w:r>
              <w:rPr>
                <w:rFonts w:hint="eastAsia" w:ascii="Times New Roman" w:hAnsi="Times New Roman"/>
                <w:color w:val="000000"/>
                <w:kern w:val="0"/>
                <w:sz w:val="24"/>
                <w:lang w:val="en-US" w:eastAsia="zh-CN"/>
              </w:rPr>
              <w:t>其他</w:t>
            </w:r>
          </w:p>
        </w:tc>
        <w:tc>
          <w:tcPr>
            <w:tcW w:w="8065" w:type="dxa"/>
            <w:vAlign w:val="center"/>
          </w:tcPr>
          <w:p w14:paraId="1CC90CC5">
            <w:p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一、方案比选</w:t>
            </w:r>
          </w:p>
          <w:p w14:paraId="10D3CE75">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1、光伏组件选型</w:t>
            </w:r>
          </w:p>
          <w:p w14:paraId="2BA1BF90">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kern w:val="2"/>
                <w:sz w:val="24"/>
                <w:szCs w:val="24"/>
                <w:lang w:val="en-US" w:eastAsia="zh-CN" w:bidi="ar-SA"/>
              </w:rPr>
              <w:t>目前市场主流650Wp的双面双玻光伏组件分为单面组件和双面组件。单面组件价格通常比双面组件价格略高，而双面光伏组件依靠背面发电增益提高光伏电站发电量且双面光伏组件逐年衰减率比单面光伏组件逐年衰减率低，可有效提高光伏电站年平均等效利用小时。本项目采用的光伏支架离地高度不低于3m，光伏组件背面接受的空间反射辐射不可忽略。通过采用 PVsyst 软件进行背面发电增益模拟计算，对比单面光伏组件和双面光伏组件经济技术指标，本工程采用双面组件从度电投资及财务指标方面均较优，因此推荐本工程采用650Wp单晶硅双面光伏组件。</w:t>
            </w:r>
          </w:p>
          <w:p w14:paraId="347E2C23">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2、光伏阵列的运行方式选择</w:t>
            </w:r>
          </w:p>
          <w:p w14:paraId="1E03BA8F">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陆地光伏电站比较常用的太阳电池组件支架有固定式支架、水平单轴跟 </w:t>
            </w:r>
          </w:p>
          <w:p w14:paraId="4BDFE3AD">
            <w:pPr>
              <w:adjustRightInd w:val="0"/>
              <w:snapToGrid w:val="0"/>
              <w:spacing w:line="360" w:lineRule="auto"/>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踪支架、倾斜单轴跟踪支架（也称倾纬度角单轴跟踪支架）和双轴跟踪支架。最佳安装倾角可采用专业系统设计软件进行优化设计来确定，它应是系统全年发电量最大时的倾角。 </w:t>
            </w:r>
          </w:p>
          <w:p w14:paraId="2ADF3DEC">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水平单轴跟踪支架，通过其在东西方向上的旋转，以保证每一时刻太阳光与太阳电池板面的法线夹角为最小值，以此来获得较大的发电量。倾斜单轴跟踪支架，是在固定太阳电池面板倾角的基础上，围绕该倾斜的轴旋转追踪太阳方位角，以获取更大的发电量。双轴跟踪支架，通过其对太阳光线的实时跟踪，以保证每一时刻太阳光线都与太阳电池板面垂直，以此来获得最大的发电量。 </w:t>
            </w:r>
          </w:p>
          <w:p w14:paraId="1D815151">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一般而言，双轴跟踪系统发电量最大，但是占地面积大，支架的造价高，运营维护成本高，性价比不好。倾斜单轴跟踪系统占地面积仅比双轴跟踪系统小一点，远大于水平单轴系统。相对于水平单轴跟踪系统而言，发电量增加不大。由于带倾角的缘故，后部支架很高，增加的造价也比较高。本项目处于纬度较低的地区，支架所增加的投资与所获得的发电量比较并不经济。 </w:t>
            </w:r>
          </w:p>
          <w:p w14:paraId="08055ABA">
            <w:pPr>
              <w:adjustRightInd w:val="0"/>
              <w:snapToGrid w:val="0"/>
              <w:spacing w:line="360" w:lineRule="auto"/>
              <w:ind w:firstLine="480" w:firstLineChars="20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 xml:space="preserve">目前，跟踪系统如果出现机械故障，可能引起太阳电池少发电、不发电 </w:t>
            </w:r>
          </w:p>
          <w:p w14:paraId="655D99D7">
            <w:pPr>
              <w:adjustRightInd w:val="0"/>
              <w:snapToGrid w:val="0"/>
              <w:spacing w:line="360" w:lineRule="auto"/>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等情况。另外，采用跟踪系统，须做大量场平才能布置安装，也不适合本工程的地形条件。综合以上分析，本项目太阳电池方阵的运行方式采用固定式，即方阵支架采用固定支架。</w:t>
            </w:r>
          </w:p>
          <w:p w14:paraId="27DC11DF">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rPr>
            </w:pPr>
            <w:r>
              <w:rPr>
                <w:rFonts w:hint="default" w:ascii="Times New Roman" w:hAnsi="Times New Roman" w:eastAsia="宋体" w:cs="Times New Roman"/>
                <w:b/>
                <w:bCs/>
                <w:color w:val="auto"/>
                <w:kern w:val="0"/>
                <w:sz w:val="24"/>
              </w:rPr>
              <w:t>3、厂区集电线路比选</w:t>
            </w:r>
          </w:p>
          <w:p w14:paraId="6CE86B5C">
            <w:pPr>
              <w:adjustRightInd w:val="0"/>
              <w:snapToGrid w:val="0"/>
              <w:spacing w:line="360" w:lineRule="auto"/>
              <w:ind w:firstLine="480" w:firstLineChars="200"/>
              <w:jc w:val="left"/>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rPr>
              <w:t>集电线路主要有架空导线和直埋电缆两种方式，另外一种途径为两者混用，本工程光伏场区虽然较为分散且分布较广，但考虑到采用架空导线方案造价较高且存在遮挡，故本工程集电线路仍考虑采用</w:t>
            </w:r>
            <w:r>
              <w:rPr>
                <w:rFonts w:hint="default" w:ascii="Times New Roman" w:hAnsi="Times New Roman" w:eastAsia="宋体" w:cs="Times New Roman"/>
                <w:color w:val="auto"/>
                <w:kern w:val="0"/>
                <w:sz w:val="24"/>
                <w:lang w:val="en-US" w:eastAsia="zh-CN" w:bidi="en-US"/>
              </w:rPr>
              <w:t>35kV直埋电缆敷设及架空线路混合形式</w:t>
            </w:r>
            <w:r>
              <w:rPr>
                <w:rFonts w:hint="default" w:ascii="Times New Roman" w:hAnsi="Times New Roman" w:eastAsia="宋体" w:cs="Times New Roman"/>
                <w:color w:val="auto"/>
                <w:kern w:val="0"/>
                <w:sz w:val="24"/>
                <w:lang w:eastAsia="zh-CN"/>
              </w:rPr>
              <w:t>。</w:t>
            </w:r>
          </w:p>
          <w:p w14:paraId="22E5DFBB">
            <w:p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二、退役及拆除方案</w:t>
            </w:r>
          </w:p>
          <w:p w14:paraId="564D7A8C">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拆除方案:全部拆除该项目运行期满</w:t>
            </w:r>
            <w:r>
              <w:rPr>
                <w:rFonts w:hint="eastAsia" w:ascii="Times New Roman" w:hAnsi="Times New Roman" w:eastAsia="宋体" w:cs="Times New Roman"/>
                <w:lang w:val="en-US" w:eastAsia="zh-CN"/>
              </w:rPr>
              <w:t>后</w:t>
            </w:r>
            <w:r>
              <w:rPr>
                <w:rFonts w:hint="default" w:ascii="Times New Roman" w:hAnsi="Times New Roman" w:eastAsia="宋体" w:cs="Times New Roman"/>
                <w:lang w:val="en-US" w:eastAsia="zh-CN"/>
              </w:rPr>
              <w:t>全部拆除，确定光伏电站无利用价值后，全部设施采用破坏性拆除。光伏组件由厂家负责回收及再利用，规范处置，组件支架等钢材由物资再生公司回收。所有的建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物及其基础由拆迁公司拆除、清理。拆除后的地面由电站运营商负责恢复地面植被。</w:t>
            </w:r>
          </w:p>
          <w:p w14:paraId="73170250">
            <w:pPr>
              <w:jc w:val="center"/>
              <w:rPr>
                <w:rFonts w:hint="default"/>
                <w:lang w:val="en-US" w:eastAsia="zh-CN"/>
              </w:rPr>
            </w:pPr>
          </w:p>
        </w:tc>
      </w:tr>
    </w:tbl>
    <w:p w14:paraId="433E70EF">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EE37D0D">
      <w:pPr>
        <w:jc w:val="center"/>
        <w:outlineLvl w:val="0"/>
        <w:rPr>
          <w:rFonts w:hint="eastAsia" w:ascii="宋体" w:hAnsi="宋体" w:eastAsia="宋体" w:cs="宋体"/>
          <w:b/>
          <w:bCs/>
          <w:snapToGrid w:val="0"/>
          <w:color w:val="000000"/>
          <w:sz w:val="30"/>
          <w:szCs w:val="30"/>
        </w:rPr>
      </w:pPr>
      <w:r>
        <w:rPr>
          <w:rFonts w:hint="eastAsia" w:ascii="宋体" w:hAnsi="宋体" w:eastAsia="宋体" w:cs="宋体"/>
          <w:b/>
          <w:bCs/>
          <w:snapToGrid w:val="0"/>
          <w:color w:val="000000"/>
          <w:sz w:val="30"/>
          <w:szCs w:val="30"/>
        </w:rPr>
        <w:t>三、生态环境现状、保护目标及评价标准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
        <w:gridCol w:w="360"/>
        <w:gridCol w:w="7793"/>
      </w:tblGrid>
      <w:tr w14:paraId="0E0D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9" w:type="dxa"/>
            <w:vAlign w:val="center"/>
          </w:tcPr>
          <w:p w14:paraId="1BE6A15A">
            <w:pPr>
              <w:jc w:val="center"/>
              <w:rPr>
                <w:rFonts w:hint="eastAsia"/>
                <w:vertAlign w:val="baseline"/>
                <w:lang w:eastAsia="zh-CN"/>
              </w:rPr>
            </w:pPr>
            <w:r>
              <w:rPr>
                <w:rFonts w:ascii="Times New Roman" w:hAnsi="Times New Roman"/>
                <w:color w:val="000000"/>
                <w:kern w:val="0"/>
                <w:sz w:val="24"/>
              </w:rPr>
              <w:t>生态环境现状</w:t>
            </w:r>
          </w:p>
        </w:tc>
        <w:tc>
          <w:tcPr>
            <w:tcW w:w="8153" w:type="dxa"/>
            <w:gridSpan w:val="2"/>
          </w:tcPr>
          <w:p w14:paraId="728EED38">
            <w:pPr>
              <w:spacing w:line="360" w:lineRule="auto"/>
              <w:rPr>
                <w:rFonts w:hint="default" w:ascii="Times New Roman" w:hAnsi="Times New Roman" w:eastAsia="宋体" w:cs="Times New Roman"/>
                <w:b/>
                <w:bCs/>
              </w:rPr>
            </w:pPr>
            <w:r>
              <w:rPr>
                <w:rFonts w:hint="default" w:ascii="Times New Roman" w:hAnsi="Times New Roman" w:eastAsia="宋体" w:cs="Times New Roman"/>
                <w:b/>
                <w:bCs/>
                <w:lang w:eastAsia="zh-CN"/>
              </w:rPr>
              <w:t>一、</w:t>
            </w:r>
            <w:r>
              <w:rPr>
                <w:rFonts w:hint="default" w:ascii="Times New Roman" w:hAnsi="Times New Roman" w:eastAsia="宋体" w:cs="Times New Roman"/>
                <w:b/>
                <w:bCs/>
              </w:rPr>
              <w:t>生态环境现状</w:t>
            </w:r>
          </w:p>
          <w:p w14:paraId="7CE24FBF">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1、</w:t>
            </w:r>
            <w:r>
              <w:rPr>
                <w:rFonts w:hint="default" w:ascii="Times New Roman" w:hAnsi="Times New Roman" w:eastAsia="宋体" w:cs="Times New Roman"/>
              </w:rPr>
              <w:t>主体功能区规划</w:t>
            </w:r>
          </w:p>
          <w:p w14:paraId="5B8954A1">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2014年1月6日云南省人民政府发布了《云南省人民政府关于印发云南 省主体功能区规划的通知》（云政发〔20141号），云南省国土空间划分为重点开发区、限制开发区和禁止开发区3类区域。本项目位于德宏州芒市，属于限制开发区-农产品主产区</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该区域的功能定位为：保障粮食产品和主要农产品供给安全的基地，全省农业产业化的重要地区，现代农业的示范基地，农村居民安居乐业的美好家园，社会主义新农村建设的示范区。以大力发展高原特色农业为重点，确实保护耕地，稳定粮食生产，发展现代农业，增强农业综合生产力，增加农民收入，加快建设社会主义新农村，有效增强农产品供给保障能力，确保国家粮食安全和食品安全。</w:t>
            </w:r>
          </w:p>
          <w:p w14:paraId="10AFE9BA">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default" w:ascii="Times New Roman" w:hAnsi="Times New Roman" w:eastAsia="宋体" w:cs="Times New Roman"/>
                <w:color w:val="auto"/>
                <w:spacing w:val="0"/>
                <w:kern w:val="2"/>
                <w:sz w:val="24"/>
                <w:szCs w:val="24"/>
                <w:lang w:val="en-US" w:eastAsia="zh-CN" w:bidi="ar-SA"/>
              </w:rPr>
              <w:t>本项目位于德宏州芒市，属于限制开发区-农产品主产区</w:t>
            </w:r>
            <w:r>
              <w:rPr>
                <w:rFonts w:hint="eastAsia" w:ascii="Times New Roman" w:hAnsi="Times New Roman" w:eastAsia="宋体" w:cs="Times New Roman"/>
                <w:color w:val="auto"/>
                <w:spacing w:val="0"/>
                <w:kern w:val="2"/>
                <w:sz w:val="24"/>
                <w:szCs w:val="24"/>
                <w:lang w:val="en-US" w:eastAsia="zh-CN" w:bidi="ar-SA"/>
              </w:rPr>
              <w:t>。</w:t>
            </w:r>
            <w:r>
              <w:rPr>
                <w:rFonts w:hint="default" w:ascii="Times New Roman" w:hAnsi="Times New Roman" w:eastAsia="宋体" w:cs="Times New Roman"/>
                <w:color w:val="auto"/>
                <w:spacing w:val="0"/>
                <w:kern w:val="2"/>
                <w:sz w:val="24"/>
                <w:szCs w:val="24"/>
                <w:lang w:val="en-US" w:eastAsia="zh-CN" w:bidi="ar-SA"/>
              </w:rPr>
              <w:t>本项目属于光伏+</w:t>
            </w:r>
            <w:r>
              <w:rPr>
                <w:rFonts w:hint="eastAsia" w:ascii="Times New Roman" w:hAnsi="Times New Roman" w:eastAsia="宋体" w:cs="Times New Roman"/>
                <w:color w:val="auto"/>
                <w:spacing w:val="0"/>
                <w:kern w:val="2"/>
                <w:sz w:val="24"/>
                <w:szCs w:val="24"/>
                <w:lang w:val="en-US" w:eastAsia="zh-CN" w:bidi="ar-SA"/>
              </w:rPr>
              <w:t>林业</w:t>
            </w:r>
            <w:r>
              <w:rPr>
                <w:rFonts w:hint="default" w:ascii="Times New Roman" w:hAnsi="Times New Roman" w:eastAsia="宋体" w:cs="Times New Roman"/>
                <w:color w:val="auto"/>
                <w:spacing w:val="0"/>
                <w:kern w:val="2"/>
                <w:sz w:val="24"/>
                <w:szCs w:val="24"/>
                <w:lang w:val="en-US" w:eastAsia="zh-CN" w:bidi="ar-SA"/>
              </w:rPr>
              <w:t>开发方式的新能源项目，与《云南省主体功能区规划》中的功能定位相符。</w:t>
            </w:r>
            <w:r>
              <w:rPr>
                <w:rFonts w:hint="eastAsia" w:ascii="Times New Roman" w:hAnsi="Times New Roman" w:eastAsia="宋体" w:cs="Times New Roman"/>
                <w:color w:val="auto"/>
                <w:spacing w:val="0"/>
                <w:kern w:val="2"/>
                <w:sz w:val="24"/>
                <w:szCs w:val="24"/>
                <w:lang w:val="en-US" w:eastAsia="zh-CN" w:bidi="ar-SA"/>
              </w:rPr>
              <w:t>且</w:t>
            </w:r>
            <w:r>
              <w:rPr>
                <w:rFonts w:hint="default" w:ascii="Times New Roman" w:hAnsi="Times New Roman" w:eastAsia="宋体" w:cs="Times New Roman"/>
                <w:color w:val="auto"/>
                <w:spacing w:val="0"/>
                <w:kern w:val="2"/>
                <w:sz w:val="24"/>
                <w:szCs w:val="24"/>
                <w:lang w:val="en-US" w:eastAsia="zh-CN" w:bidi="ar-SA"/>
              </w:rPr>
              <w:t>不属于国家禁止开发区域和省级禁止开发区域，且符合规划中限制开发管制原则和相关环境政策。</w:t>
            </w:r>
          </w:p>
          <w:p w14:paraId="2D028503">
            <w:pPr>
              <w:pStyle w:val="48"/>
              <w:ind w:firstLine="520"/>
              <w:jc w:val="left"/>
              <w:rPr>
                <w:rFonts w:hint="default" w:ascii="Times New Roman" w:hAnsi="Times New Roman" w:eastAsia="宋体" w:cs="Times New Roman"/>
                <w:color w:val="auto"/>
                <w:spacing w:val="0"/>
                <w:kern w:val="2"/>
                <w:sz w:val="24"/>
                <w:szCs w:val="24"/>
                <w:lang w:val="en-US" w:eastAsia="zh-CN" w:bidi="ar-SA"/>
              </w:rPr>
            </w:pPr>
            <w:r>
              <w:rPr>
                <w:rFonts w:hint="eastAsia" w:ascii="Times New Roman" w:hAnsi="Times New Roman" w:eastAsia="宋体" w:cs="Times New Roman"/>
                <w:color w:val="auto"/>
                <w:spacing w:val="0"/>
                <w:kern w:val="2"/>
                <w:sz w:val="24"/>
                <w:szCs w:val="24"/>
                <w:lang w:val="en-US" w:eastAsia="zh-CN" w:bidi="ar-SA"/>
              </w:rPr>
              <w:t>2、</w:t>
            </w:r>
            <w:r>
              <w:rPr>
                <w:rFonts w:hint="default" w:ascii="Times New Roman" w:hAnsi="Times New Roman" w:eastAsia="宋体" w:cs="Times New Roman"/>
                <w:color w:val="auto"/>
                <w:spacing w:val="0"/>
                <w:kern w:val="2"/>
                <w:sz w:val="24"/>
                <w:szCs w:val="24"/>
                <w:lang w:val="en-US" w:eastAsia="zh-CN" w:bidi="ar-SA"/>
              </w:rPr>
              <w:t xml:space="preserve"> 生态功能区规划</w:t>
            </w:r>
          </w:p>
          <w:p w14:paraId="7F715B4C">
            <w:pPr>
              <w:topLinePunct/>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rPr>
              <w:t>根据《云南省生态功能区划》，</w:t>
            </w:r>
            <w:r>
              <w:rPr>
                <w:rFonts w:hint="default" w:ascii="Times New Roman" w:hAnsi="Times New Roman" w:eastAsia="宋体" w:cs="Times New Roman"/>
                <w:color w:val="auto"/>
                <w:kern w:val="0"/>
                <w:sz w:val="24"/>
                <w:szCs w:val="24"/>
              </w:rPr>
              <w:t>本项目位于德宏州芒市，属于I季风热带北缘热带雨林生态区I-3滇西南中山宽谷半常绿季雨林生态亚区I-3-1大盈江、南畹河下游中山丘陵农业生态功能区，主要生态特征为中山丘陵地貌为主，年降水量1400-1700mm，地带性植被类型为季风常绿阔叶林。地带性土壤类型为赤红壤、红壤，主要生态系统服务功能发展生态农业和以蔗糖为主热带作物、以澳洲坚果和柠檬为主的热带经济林。</w:t>
            </w:r>
          </w:p>
          <w:p w14:paraId="2070991D">
            <w:pPr>
              <w:spacing w:line="360" w:lineRule="auto"/>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rPr>
              <w:t>土地利用类型</w:t>
            </w:r>
          </w:p>
          <w:p w14:paraId="63ABB7F9">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根据现状调查，土地利用类型以</w:t>
            </w:r>
            <w:r>
              <w:rPr>
                <w:rFonts w:hint="eastAsia" w:ascii="Times New Roman" w:hAnsi="Times New Roman" w:eastAsia="宋体" w:cs="Times New Roman"/>
                <w:color w:val="auto"/>
                <w:lang w:eastAsia="zh-CN"/>
              </w:rPr>
              <w:t>林地、园地及其他农用地，项目土地利用类型见附图</w:t>
            </w:r>
            <w:r>
              <w:rPr>
                <w:rFonts w:hint="eastAsia"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14:paraId="11D5F560">
            <w:pPr>
              <w:spacing w:line="360" w:lineRule="auto"/>
              <w:ind w:firstLine="480" w:firstLineChars="20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4、</w:t>
            </w:r>
            <w:bookmarkStart w:id="20" w:name="_Toc380414836"/>
            <w:r>
              <w:rPr>
                <w:rFonts w:hint="default" w:ascii="Times New Roman" w:hAnsi="Times New Roman" w:eastAsia="宋体" w:cs="Times New Roman"/>
                <w:color w:val="auto"/>
              </w:rPr>
              <w:t>项目区水土流失现状</w:t>
            </w:r>
            <w:bookmarkEnd w:id="20"/>
          </w:p>
          <w:p w14:paraId="766D3C38">
            <w:pPr>
              <w:spacing w:line="360" w:lineRule="auto"/>
              <w:ind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color w:val="auto"/>
                <w:kern w:val="0"/>
                <w:sz w:val="24"/>
                <w:szCs w:val="24"/>
                <w:lang w:val="en-US" w:eastAsia="zh-CN" w:bidi="ar-SA"/>
              </w:rPr>
              <w:t>根据</w:t>
            </w:r>
            <w:r>
              <w:rPr>
                <w:rFonts w:hint="default" w:ascii="Times New Roman" w:hAnsi="Times New Roman" w:eastAsia="宋体" w:cs="Times New Roman"/>
                <w:color w:val="auto"/>
                <w:kern w:val="0"/>
                <w:sz w:val="24"/>
                <w:szCs w:val="24"/>
                <w:lang w:val="en-US" w:eastAsia="zh-CN" w:bidi="ar-SA"/>
              </w:rPr>
              <w:t>《云南省 2004 年土壤侵蚀现状遥感调查报告》，工程所在的芒市水土流失面积占总面积的 33.34%，所占比重相对较小，水土流失面积中，以轻度和中度侵蚀为主， 极强度和剧烈侵蚀所占比重很少。根据水利部办公厅文件〔2013〕188 号公告《全国水土保持规划国家级水</w:t>
            </w:r>
            <w:r>
              <w:rPr>
                <w:rFonts w:hint="eastAsia" w:ascii="Times New Roman" w:hAnsi="Times New Roman" w:eastAsia="宋体" w:cs="Times New Roman"/>
                <w:color w:val="auto"/>
                <w:kern w:val="0"/>
                <w:sz w:val="24"/>
                <w:szCs w:val="24"/>
                <w:lang w:val="en-US" w:eastAsia="zh-CN" w:bidi="ar-SA"/>
              </w:rPr>
              <w:t>土</w:t>
            </w:r>
            <w:r>
              <w:rPr>
                <w:rFonts w:hint="default" w:ascii="Times New Roman" w:hAnsi="Times New Roman" w:eastAsia="宋体" w:cs="Times New Roman"/>
                <w:color w:val="auto"/>
                <w:kern w:val="0"/>
                <w:sz w:val="24"/>
                <w:szCs w:val="24"/>
                <w:lang w:val="en-US" w:eastAsia="zh-CN" w:bidi="ar-SA"/>
              </w:rPr>
              <w:t>流失重点预防区和重点治理区复核划分成果》，本项目所在的芒市不属于国家级水</w:t>
            </w:r>
            <w:r>
              <w:rPr>
                <w:rFonts w:hint="default" w:ascii="Times New Roman" w:hAnsi="Times New Roman" w:eastAsia="宋体" w:cs="Times New Roman"/>
                <w:lang w:val="en-US" w:eastAsia="zh-CN"/>
              </w:rPr>
              <w:t>土流失重点预防区和重点治理区，同时根据《云南省人民政府关于划分水土流失重点防治区的公告》(云政发〔2007〕165 号），项目区属云南省水土保持重点治理区，故水土流失防治执行二级标准。</w:t>
            </w:r>
          </w:p>
          <w:p w14:paraId="70E8B087">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芒市水土流失区域主要分布在山区、半山区交界地带，这些地带地形起伏大，山坡陡峻。沟谷深切，倾斜度较大。水土流失类型以水力侵蚀为主，主要表现为面蚀、沟蚀。</w:t>
            </w:r>
          </w:p>
          <w:p w14:paraId="038D109E">
            <w:pPr>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调查分析表明，本工程建设区天然状态下平均土壤侵蚀模数为 483t/km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a，属微度侵蚀区。区内水土流失主要形式是水力侵蚀。调查中未发现存在滑坡、泥石流等地质灾害现象，也未发现明显的风力侵蚀。经过调查了解，到目前为止，本项目涉及占地区域内未开展过水土流失专项治理工程，无水土保持专项设施。主要的水土保持设施为林地、草地，植被覆盖较好，具有较好的水土保持功能。</w:t>
            </w:r>
          </w:p>
          <w:p w14:paraId="1B0A910F">
            <w:p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5、</w:t>
            </w:r>
            <w:r>
              <w:rPr>
                <w:rFonts w:hint="default" w:ascii="Times New Roman" w:hAnsi="Times New Roman" w:eastAsia="宋体" w:cs="Times New Roman"/>
              </w:rPr>
              <w:t>生态现状</w:t>
            </w:r>
          </w:p>
          <w:p w14:paraId="2C2EEB21">
            <w:p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lang w:val="en-US" w:eastAsia="zh-CN"/>
              </w:rPr>
              <w:t>5</w:t>
            </w:r>
            <w:r>
              <w:rPr>
                <w:rFonts w:hint="default" w:ascii="Times New Roman" w:hAnsi="Times New Roman" w:eastAsia="宋体" w:cs="Times New Roman"/>
              </w:rPr>
              <w:t>.1 评价范围</w:t>
            </w:r>
          </w:p>
          <w:p w14:paraId="67EED628">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本次陆生生态评价根据工程方案确定调查范围和调查线路，光伏区占地范围线内及外延300m的区域，升压站周围500m的区域。</w:t>
            </w:r>
          </w:p>
          <w:p w14:paraId="5368C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.2 调查方法</w:t>
            </w:r>
          </w:p>
          <w:p w14:paraId="433BBDD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（1）植物植被</w:t>
            </w:r>
          </w:p>
          <w:p w14:paraId="055AA215">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植被、植物的调查主要采用线路调查法，沿现有道路调查评价区范围内的植被及植物分布情况，记录沿途目力范围内发现的植被类型和植物种类，重点关注评价区内的古树名木、保护植物、地方特有种。</w:t>
            </w:r>
          </w:p>
          <w:p w14:paraId="2C7B7974">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向当地相关部门收集该地区地方志、保护区科学考察报告和林业资源二类调查报告等地方资料；同时参考《云南植被》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《中国植被》</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《云南森林》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《云南植物志》、《中国植物志》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《Flora ofChina》等文献中记录于该区域的资料，以及区域重大工程环评生态现状调查资料。</w:t>
            </w:r>
          </w:p>
          <w:p w14:paraId="33DD37EE">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（2）陆栖脊椎动物调查方法</w:t>
            </w:r>
          </w:p>
          <w:p w14:paraId="3B41A0F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陆栖脊椎动物调查以野外现场调查、访问调查和查阅文献资料相结合的方式进行。</w:t>
            </w:r>
          </w:p>
          <w:p w14:paraId="3080CBAD">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访问调查则对评价区内放牧的村民进行了访问记录，通过指认《中国鸟类野外手册》等常用工具书中的动物图片，记录了体形较大、特征较明显的群众易分辨种类。</w:t>
            </w:r>
          </w:p>
          <w:p w14:paraId="1ED87D3A">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文献资料以《中国哺乳动物分布》</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《中国哺乳动物物种和亚种分类名录与分布大全》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《云南鸟类志》</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《云南鸟类名录》、《云南两栖爬行动物》</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《云南两栖类志》等记载的该区的各类群动物。同时，根据国家重点保护野生动物名录、云南省重点保护野生动物名录、《中国生物多样性红色名录•脊椎动物卷》（2015）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《濒危野生动植物种国际贸易公约》（CITES）附录 I、附录 II，以及《中国生物多样性红色名录•脊椎动物卷》（2015），确定动物的特有种和保护物种。</w:t>
            </w:r>
          </w:p>
          <w:p w14:paraId="46A9F9E6">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（3）调查人员及时间</w:t>
            </w:r>
          </w:p>
          <w:p w14:paraId="034C60B9">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评价单位项目组成员于</w:t>
            </w:r>
            <w:r>
              <w:rPr>
                <w:rFonts w:hint="eastAsia" w:ascii="Times New Roman" w:hAnsi="Times New Roman" w:eastAsia="宋体" w:cs="Times New Roman"/>
                <w:lang w:val="en-US" w:eastAsia="zh-CN"/>
              </w:rPr>
              <w:t>2022</w:t>
            </w:r>
            <w:r>
              <w:rPr>
                <w:rFonts w:hint="default" w:ascii="Times New Roman" w:hAnsi="Times New Roman" w:eastAsia="宋体" w:cs="Times New Roman"/>
                <w:lang w:val="en-US" w:eastAsia="zh-CN"/>
              </w:rPr>
              <w:t>年</w:t>
            </w:r>
            <w:r>
              <w:rPr>
                <w:rFonts w:hint="eastAsia" w:ascii="Times New Roman" w:hAnsi="Times New Roman" w:eastAsia="宋体" w:cs="Times New Roman"/>
                <w:lang w:val="en-US" w:eastAsia="zh-CN"/>
              </w:rPr>
              <w:t>12</w:t>
            </w:r>
            <w:r>
              <w:rPr>
                <w:rFonts w:hint="default" w:ascii="Times New Roman" w:hAnsi="Times New Roman" w:eastAsia="宋体" w:cs="Times New Roman"/>
                <w:lang w:val="en-US" w:eastAsia="zh-CN"/>
              </w:rPr>
              <w:t>月</w:t>
            </w:r>
            <w:r>
              <w:rPr>
                <w:rFonts w:hint="eastAsia" w:ascii="Times New Roman" w:hAnsi="Times New Roman" w:eastAsia="宋体" w:cs="Times New Roman"/>
                <w:lang w:val="en-US" w:eastAsia="zh-CN"/>
              </w:rPr>
              <w:t>15</w:t>
            </w:r>
            <w:r>
              <w:rPr>
                <w:rFonts w:hint="default" w:ascii="Times New Roman" w:hAnsi="Times New Roman" w:eastAsia="宋体" w:cs="Times New Roman"/>
                <w:lang w:val="en-US" w:eastAsia="zh-CN"/>
              </w:rPr>
              <w:t>日至</w:t>
            </w:r>
            <w:r>
              <w:rPr>
                <w:rFonts w:hint="eastAsia" w:ascii="Times New Roman" w:hAnsi="Times New Roman" w:eastAsia="宋体" w:cs="Times New Roman"/>
                <w:lang w:val="en-US" w:eastAsia="zh-CN"/>
              </w:rPr>
              <w:t>16</w:t>
            </w:r>
            <w:r>
              <w:rPr>
                <w:rFonts w:hint="default" w:ascii="Times New Roman" w:hAnsi="Times New Roman" w:eastAsia="宋体" w:cs="Times New Roman"/>
                <w:lang w:val="en-US" w:eastAsia="zh-CN"/>
              </w:rPr>
              <w:t>日，对项目路线评价区域内的植物植被和陆栖脊椎动物现状进行了野外调查。</w:t>
            </w:r>
          </w:p>
          <w:p w14:paraId="3EC231C0">
            <w:pPr>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default" w:ascii="Times New Roman" w:hAnsi="Times New Roman" w:eastAsia="宋体" w:cs="Times New Roman"/>
                <w:lang w:val="en-US" w:eastAsia="zh-CN"/>
              </w:rPr>
              <w:t>.3 植物植被现状</w:t>
            </w:r>
          </w:p>
          <w:p w14:paraId="7BEE63DB">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lang w:bidi="ar"/>
              </w:rPr>
              <w:t>根据实地调查，评价区内植被包括自然植被和人工植被两大类别，</w:t>
            </w:r>
            <w:r>
              <w:rPr>
                <w:rFonts w:hint="default" w:ascii="Times New Roman" w:hAnsi="Times New Roman" w:eastAsia="宋体" w:cs="Times New Roman"/>
                <w:color w:val="auto"/>
                <w:sz w:val="24"/>
              </w:rPr>
              <w:t>自然植被是未经人为种植而自然形成的植被类型，人工植被是由人工种植形成的植被。</w:t>
            </w:r>
          </w:p>
          <w:p w14:paraId="662BF13C">
            <w:pPr>
              <w:pStyle w:val="20"/>
              <w:widowControl w:val="0"/>
              <w:autoSpaceDE w:val="0"/>
              <w:autoSpaceDN w:val="0"/>
              <w:adjustRightInd w:val="0"/>
              <w:snapToGrid w:val="0"/>
              <w:spacing w:before="0" w:beforeAutospacing="0" w:after="0" w:afterAutospacing="0" w:line="360" w:lineRule="auto"/>
              <w:ind w:firstLine="480"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z w:val="24"/>
              </w:rPr>
              <w:t>根据《云南植被》中的分区，该区域的植被区划属于：</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热带季雨林，雨林区域，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A西部（偏干性）季雨林、雨林区域，</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Ai季风热带北缘季节雨林、半常绿季雨林区，</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Ai-1滇南、滇西南间山盆地季节雨林、常绿季雨林，</w:t>
            </w:r>
            <w:r>
              <w:rPr>
                <w:rFonts w:hint="default" w:ascii="Times New Roman" w:hAnsi="Times New Roman" w:eastAsia="宋体" w:cs="Times New Roman"/>
                <w:lang w:val="en-US" w:eastAsia="zh-CN"/>
              </w:rPr>
              <w:t xml:space="preserve"> I</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color w:val="auto"/>
                <w:sz w:val="24"/>
              </w:rPr>
              <w:t>Ai-1c滇西南中山宽高山榕、麻栎林亚区。</w:t>
            </w:r>
            <w:r>
              <w:rPr>
                <w:rFonts w:hint="default" w:ascii="Times New Roman" w:hAnsi="Times New Roman" w:eastAsia="宋体" w:cs="Times New Roman"/>
                <w:color w:val="auto"/>
                <w:kern w:val="0"/>
                <w:sz w:val="24"/>
              </w:rPr>
              <w:t>高程在2300m～2600m之间，</w:t>
            </w:r>
            <w:r>
              <w:rPr>
                <w:rFonts w:hint="default" w:ascii="Times New Roman" w:hAnsi="Times New Roman" w:eastAsia="宋体" w:cs="Times New Roman"/>
                <w:color w:val="auto"/>
                <w:szCs w:val="22"/>
                <w:lang w:val="en-US" w:eastAsia="zh-CN"/>
              </w:rPr>
              <w:t>由于长时间的人为活动影响，评价区目前的植被类型已经发生了许多变化，原生植被已大量遭受破坏，仅在沟谷两侧及山顶有少量残存，次生植被及人工植被大量增加。人工植被主要为旱地植被。</w:t>
            </w:r>
          </w:p>
          <w:p w14:paraId="652A7E28">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①自然植被</w:t>
            </w:r>
          </w:p>
          <w:p w14:paraId="2FC0DAEC">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评价区自然植被包括</w:t>
            </w:r>
            <w:r>
              <w:rPr>
                <w:rFonts w:hint="default" w:ascii="Times New Roman" w:hAnsi="Times New Roman" w:eastAsia="宋体" w:cs="Times New Roman"/>
                <w:color w:val="auto"/>
                <w:sz w:val="24"/>
                <w:szCs w:val="24"/>
              </w:rPr>
              <w:t>季风常绿</w:t>
            </w:r>
            <w:r>
              <w:rPr>
                <w:rFonts w:hint="default" w:ascii="Times New Roman" w:hAnsi="Times New Roman" w:eastAsia="宋体" w:cs="Times New Roman"/>
                <w:color w:val="auto"/>
                <w:sz w:val="24"/>
              </w:rPr>
              <w:t>阔叶林、旱冬瓜灌丛和热性稀树灌草丛三种植被型。</w:t>
            </w:r>
          </w:p>
          <w:p w14:paraId="6A76F457">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A、</w:t>
            </w:r>
            <w:r>
              <w:rPr>
                <w:rFonts w:hint="default" w:ascii="Times New Roman" w:hAnsi="Times New Roman" w:eastAsia="宋体" w:cs="Times New Roman"/>
                <w:color w:val="auto"/>
                <w:sz w:val="24"/>
                <w:szCs w:val="24"/>
              </w:rPr>
              <w:t>季风常绿阔叶林</w:t>
            </w:r>
          </w:p>
          <w:p w14:paraId="3E9DE81A">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评价区的季风常绿阔叶林广泛分布于评价区内，受人为砍伐、种地等影响，具有明显的次生性质。乔木层高12~18m，层盖度约为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％，植物种类有以壳斗科的刺栲</w:t>
            </w:r>
            <w:r>
              <w:rPr>
                <w:rFonts w:hint="default" w:ascii="Times New Roman" w:hAnsi="Times New Roman" w:eastAsia="宋体" w:cs="Times New Roman"/>
                <w:i/>
                <w:color w:val="auto"/>
                <w:sz w:val="24"/>
                <w:szCs w:val="24"/>
              </w:rPr>
              <w:t>Castanopsis hystrix</w:t>
            </w:r>
            <w:r>
              <w:rPr>
                <w:rFonts w:hint="default" w:ascii="Times New Roman" w:hAnsi="Times New Roman" w:eastAsia="宋体" w:cs="Times New Roman"/>
                <w:color w:val="auto"/>
                <w:sz w:val="24"/>
                <w:szCs w:val="24"/>
              </w:rPr>
              <w:t>和山茶科的红木荷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，以及桦木科的西南桦</w:t>
            </w:r>
            <w:r>
              <w:rPr>
                <w:rFonts w:hint="default" w:ascii="Times New Roman" w:hAnsi="Times New Roman" w:eastAsia="宋体" w:cs="Times New Roman"/>
                <w:i/>
                <w:color w:val="auto"/>
                <w:sz w:val="24"/>
                <w:szCs w:val="24"/>
              </w:rPr>
              <w:t>Betula alnoides</w:t>
            </w:r>
            <w:r>
              <w:rPr>
                <w:rFonts w:hint="default" w:ascii="Times New Roman" w:hAnsi="Times New Roman" w:eastAsia="宋体" w:cs="Times New Roman"/>
                <w:color w:val="auto"/>
                <w:sz w:val="24"/>
                <w:szCs w:val="24"/>
              </w:rPr>
              <w:t>和旱冬瓜</w:t>
            </w:r>
            <w:r>
              <w:rPr>
                <w:rFonts w:hint="default" w:ascii="Times New Roman" w:hAnsi="Times New Roman" w:eastAsia="宋体" w:cs="Times New Roman"/>
                <w:i/>
                <w:iCs/>
                <w:color w:val="auto"/>
                <w:sz w:val="24"/>
                <w:szCs w:val="24"/>
              </w:rPr>
              <w:t>Alnus nepalensis</w:t>
            </w:r>
            <w:r>
              <w:rPr>
                <w:rFonts w:hint="default" w:ascii="Times New Roman" w:hAnsi="Times New Roman" w:eastAsia="宋体" w:cs="Times New Roman"/>
                <w:color w:val="auto"/>
                <w:sz w:val="24"/>
                <w:szCs w:val="24"/>
              </w:rPr>
              <w:t> 为优势，其它常见的种有野漆</w:t>
            </w:r>
            <w:r>
              <w:rPr>
                <w:rFonts w:hint="default" w:ascii="Times New Roman" w:hAnsi="Times New Roman" w:eastAsia="宋体" w:cs="Times New Roman"/>
                <w:i/>
                <w:color w:val="auto"/>
                <w:sz w:val="24"/>
                <w:szCs w:val="24"/>
              </w:rPr>
              <w:t>Toxicodendron succedaneum</w:t>
            </w:r>
            <w:r>
              <w:rPr>
                <w:rFonts w:hint="default" w:ascii="Times New Roman" w:hAnsi="Times New Roman" w:eastAsia="宋体" w:cs="Times New Roman"/>
                <w:color w:val="auto"/>
                <w:sz w:val="24"/>
                <w:szCs w:val="24"/>
              </w:rPr>
              <w:t>、银柴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、云南厚壳桂</w:t>
            </w:r>
            <w:r>
              <w:rPr>
                <w:rFonts w:hint="default" w:ascii="Times New Roman" w:hAnsi="Times New Roman" w:eastAsia="宋体" w:cs="Times New Roman"/>
                <w:i/>
                <w:color w:val="auto"/>
                <w:sz w:val="24"/>
                <w:szCs w:val="24"/>
              </w:rPr>
              <w:t>Cryptocarya yunnanensis</w:t>
            </w:r>
            <w:r>
              <w:rPr>
                <w:rFonts w:hint="default" w:ascii="Times New Roman" w:hAnsi="Times New Roman" w:eastAsia="宋体" w:cs="Times New Roman"/>
                <w:color w:val="auto"/>
                <w:sz w:val="24"/>
                <w:szCs w:val="24"/>
              </w:rPr>
              <w:t>、杨翠木</w:t>
            </w:r>
            <w:r>
              <w:rPr>
                <w:rFonts w:hint="default" w:ascii="Times New Roman" w:hAnsi="Times New Roman" w:eastAsia="宋体" w:cs="Times New Roman"/>
                <w:i/>
                <w:color w:val="auto"/>
                <w:sz w:val="24"/>
                <w:szCs w:val="24"/>
              </w:rPr>
              <w:t>Pittosporum kerrii</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、印度栲</w:t>
            </w:r>
            <w:r>
              <w:rPr>
                <w:rFonts w:hint="default" w:ascii="Times New Roman" w:hAnsi="Times New Roman" w:eastAsia="宋体" w:cs="Times New Roman"/>
                <w:i/>
                <w:color w:val="auto"/>
                <w:sz w:val="24"/>
                <w:szCs w:val="24"/>
              </w:rPr>
              <w:t>Castanopsis indica</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Eurya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、鱼尾葵</w:t>
            </w:r>
            <w:r>
              <w:rPr>
                <w:rFonts w:hint="default" w:ascii="Times New Roman" w:hAnsi="Times New Roman" w:eastAsia="宋体" w:cs="Times New Roman"/>
                <w:i/>
                <w:color w:val="auto"/>
                <w:sz w:val="24"/>
                <w:szCs w:val="24"/>
              </w:rPr>
              <w:t>Caryota ochlandra</w:t>
            </w:r>
            <w:r>
              <w:rPr>
                <w:rFonts w:hint="default" w:ascii="Times New Roman" w:hAnsi="Times New Roman" w:eastAsia="宋体" w:cs="Times New Roman"/>
                <w:color w:val="auto"/>
                <w:sz w:val="24"/>
                <w:szCs w:val="24"/>
              </w:rPr>
              <w:t>、柄果海桐</w:t>
            </w:r>
            <w:r>
              <w:rPr>
                <w:rFonts w:hint="default" w:ascii="Times New Roman" w:hAnsi="Times New Roman" w:eastAsia="宋体" w:cs="Times New Roman"/>
                <w:i/>
                <w:color w:val="auto"/>
                <w:sz w:val="24"/>
                <w:szCs w:val="24"/>
              </w:rPr>
              <w:t>Pittosporum podocarpum</w:t>
            </w:r>
            <w:r>
              <w:rPr>
                <w:rFonts w:hint="default" w:ascii="Times New Roman" w:hAnsi="Times New Roman" w:eastAsia="宋体" w:cs="Times New Roman"/>
                <w:color w:val="auto"/>
                <w:sz w:val="24"/>
                <w:szCs w:val="24"/>
              </w:rPr>
              <w:t>等。</w:t>
            </w:r>
          </w:p>
          <w:p w14:paraId="51666C4D">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灌木层种类丰富，层盖度约为30％~40%，主要的种类银柴</w:t>
            </w:r>
            <w:r>
              <w:rPr>
                <w:rFonts w:hint="default" w:ascii="Times New Roman" w:hAnsi="Times New Roman" w:eastAsia="宋体" w:cs="Times New Roman"/>
                <w:i/>
                <w:color w:val="auto"/>
                <w:sz w:val="24"/>
                <w:szCs w:val="24"/>
              </w:rPr>
              <w:t>Aporusa octandra</w:t>
            </w:r>
            <w:r>
              <w:rPr>
                <w:rFonts w:hint="default" w:ascii="Times New Roman" w:hAnsi="Times New Roman" w:eastAsia="宋体" w:cs="Times New Roman"/>
                <w:color w:val="auto"/>
                <w:sz w:val="24"/>
                <w:szCs w:val="24"/>
              </w:rPr>
              <w:t>、三桠苦</w:t>
            </w:r>
            <w:r>
              <w:rPr>
                <w:rFonts w:hint="default" w:ascii="Times New Roman" w:hAnsi="Times New Roman" w:eastAsia="宋体" w:cs="Times New Roman"/>
                <w:i/>
                <w:color w:val="auto"/>
                <w:sz w:val="24"/>
                <w:szCs w:val="24"/>
              </w:rPr>
              <w:t>Euodia lepta</w:t>
            </w:r>
            <w:r>
              <w:rPr>
                <w:rFonts w:hint="default" w:ascii="Times New Roman" w:hAnsi="Times New Roman" w:eastAsia="宋体" w:cs="Times New Roman"/>
                <w:color w:val="auto"/>
                <w:sz w:val="24"/>
                <w:szCs w:val="24"/>
              </w:rPr>
              <w:t>、假杜鹃</w:t>
            </w:r>
            <w:r>
              <w:rPr>
                <w:rFonts w:hint="default" w:ascii="Times New Roman" w:hAnsi="Times New Roman" w:eastAsia="宋体" w:cs="Times New Roman"/>
                <w:i/>
                <w:color w:val="auto"/>
                <w:sz w:val="24"/>
                <w:szCs w:val="24"/>
              </w:rPr>
              <w:t>Barleria cristata</w:t>
            </w:r>
            <w:r>
              <w:rPr>
                <w:rFonts w:hint="default" w:ascii="Times New Roman" w:hAnsi="Times New Roman" w:eastAsia="宋体" w:cs="Times New Roman"/>
                <w:color w:val="auto"/>
                <w:sz w:val="24"/>
                <w:szCs w:val="24"/>
              </w:rPr>
              <w:t>、毛果算盘子</w:t>
            </w:r>
            <w:r>
              <w:rPr>
                <w:rFonts w:hint="default" w:ascii="Times New Roman" w:hAnsi="Times New Roman" w:eastAsia="宋体" w:cs="Times New Roman"/>
                <w:i/>
                <w:color w:val="auto"/>
                <w:sz w:val="24"/>
                <w:szCs w:val="24"/>
              </w:rPr>
              <w:t>Glochidion eriocarpum</w:t>
            </w:r>
            <w:r>
              <w:rPr>
                <w:rFonts w:hint="default" w:ascii="Times New Roman" w:hAnsi="Times New Roman" w:eastAsia="宋体" w:cs="Times New Roman"/>
                <w:color w:val="auto"/>
                <w:sz w:val="24"/>
                <w:szCs w:val="24"/>
              </w:rPr>
              <w:t>、红花三台</w:t>
            </w:r>
            <w:r>
              <w:rPr>
                <w:rFonts w:hint="default" w:ascii="Times New Roman" w:hAnsi="Times New Roman" w:eastAsia="宋体" w:cs="Times New Roman"/>
                <w:i/>
                <w:color w:val="auto"/>
                <w:sz w:val="24"/>
                <w:szCs w:val="24"/>
              </w:rPr>
              <w:t>Clerodendrum serratum</w:t>
            </w:r>
            <w:r>
              <w:rPr>
                <w:rFonts w:hint="default" w:ascii="Times New Roman" w:hAnsi="Times New Roman" w:eastAsia="宋体" w:cs="Times New Roman"/>
                <w:color w:val="auto"/>
                <w:sz w:val="24"/>
                <w:szCs w:val="24"/>
              </w:rPr>
              <w:t>、臭牡丹</w:t>
            </w:r>
            <w:r>
              <w:rPr>
                <w:rFonts w:hint="default" w:ascii="Times New Roman" w:hAnsi="Times New Roman" w:eastAsia="宋体" w:cs="Times New Roman"/>
                <w:i/>
                <w:color w:val="auto"/>
                <w:sz w:val="24"/>
                <w:szCs w:val="24"/>
              </w:rPr>
              <w:t>Clerodendron bungei</w:t>
            </w:r>
            <w:r>
              <w:rPr>
                <w:rFonts w:hint="default" w:ascii="Times New Roman" w:hAnsi="Times New Roman" w:eastAsia="宋体" w:cs="Times New Roman"/>
                <w:color w:val="auto"/>
                <w:sz w:val="24"/>
                <w:szCs w:val="24"/>
              </w:rPr>
              <w:t>、杜茎山</w:t>
            </w:r>
            <w:r>
              <w:rPr>
                <w:rFonts w:hint="default" w:ascii="Times New Roman" w:hAnsi="Times New Roman" w:eastAsia="宋体" w:cs="Times New Roman"/>
                <w:i/>
                <w:color w:val="auto"/>
                <w:sz w:val="24"/>
                <w:szCs w:val="24"/>
              </w:rPr>
              <w:t>Maesa japonica</w:t>
            </w:r>
            <w:r>
              <w:rPr>
                <w:rFonts w:hint="default" w:ascii="Times New Roman" w:hAnsi="Times New Roman" w:eastAsia="宋体" w:cs="Times New Roman"/>
                <w:color w:val="auto"/>
                <w:sz w:val="24"/>
                <w:szCs w:val="24"/>
              </w:rPr>
              <w:t>、粗叶榕</w:t>
            </w:r>
            <w:r>
              <w:rPr>
                <w:rFonts w:hint="default" w:ascii="Times New Roman" w:hAnsi="Times New Roman" w:eastAsia="宋体" w:cs="Times New Roman"/>
                <w:i/>
                <w:color w:val="auto"/>
                <w:sz w:val="24"/>
                <w:szCs w:val="24"/>
              </w:rPr>
              <w:t>Ficus hirta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、展毛野牡丹</w:t>
            </w:r>
            <w:r>
              <w:rPr>
                <w:rFonts w:hint="default" w:ascii="Times New Roman" w:hAnsi="Times New Roman" w:eastAsia="宋体" w:cs="Times New Roman"/>
                <w:i/>
                <w:color w:val="auto"/>
                <w:sz w:val="24"/>
                <w:szCs w:val="24"/>
              </w:rPr>
              <w:t>Melastoma normale</w:t>
            </w:r>
            <w:r>
              <w:rPr>
                <w:rFonts w:hint="default" w:ascii="Times New Roman" w:hAnsi="Times New Roman" w:eastAsia="宋体" w:cs="Times New Roman"/>
                <w:color w:val="auto"/>
                <w:sz w:val="24"/>
                <w:szCs w:val="24"/>
              </w:rPr>
              <w:t>、五月茶</w:t>
            </w:r>
            <w:r>
              <w:rPr>
                <w:rFonts w:hint="default" w:ascii="Times New Roman" w:hAnsi="Times New Roman" w:eastAsia="宋体" w:cs="Times New Roman"/>
                <w:i/>
                <w:color w:val="auto"/>
                <w:sz w:val="24"/>
                <w:szCs w:val="24"/>
              </w:rPr>
              <w:t>Antidesma bunius</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 xml:space="preserve">Eurya groffii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groffii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、小芸木</w:t>
            </w:r>
            <w:r>
              <w:rPr>
                <w:rFonts w:hint="default" w:ascii="Times New Roman" w:hAnsi="Times New Roman" w:eastAsia="宋体" w:cs="Times New Roman"/>
                <w:i/>
                <w:color w:val="auto"/>
                <w:sz w:val="24"/>
                <w:szCs w:val="24"/>
              </w:rPr>
              <w:t>Micromelum integerrimum</w:t>
            </w:r>
            <w:r>
              <w:rPr>
                <w:rFonts w:hint="default" w:ascii="Times New Roman" w:hAnsi="Times New Roman" w:eastAsia="宋体" w:cs="Times New Roman"/>
                <w:color w:val="auto"/>
                <w:sz w:val="24"/>
                <w:szCs w:val="24"/>
              </w:rPr>
              <w:t>、地桃花</w:t>
            </w:r>
            <w:r>
              <w:rPr>
                <w:rFonts w:hint="default" w:ascii="Times New Roman" w:hAnsi="Times New Roman" w:eastAsia="宋体" w:cs="Times New Roman"/>
                <w:i/>
                <w:color w:val="auto"/>
                <w:sz w:val="24"/>
                <w:szCs w:val="24"/>
              </w:rPr>
              <w:t>Urena lobata</w:t>
            </w:r>
            <w:r>
              <w:rPr>
                <w:rFonts w:hint="default" w:ascii="Times New Roman" w:hAnsi="Times New Roman" w:eastAsia="宋体" w:cs="Times New Roman"/>
                <w:color w:val="auto"/>
                <w:sz w:val="24"/>
                <w:szCs w:val="24"/>
              </w:rPr>
              <w:t>、思茅水锦树</w:t>
            </w:r>
            <w:r>
              <w:rPr>
                <w:rFonts w:hint="default" w:ascii="Times New Roman" w:hAnsi="Times New Roman" w:eastAsia="宋体" w:cs="Times New Roman"/>
                <w:i/>
                <w:color w:val="auto"/>
                <w:sz w:val="24"/>
                <w:szCs w:val="24"/>
              </w:rPr>
              <w:t>Wendlandia augustinii</w:t>
            </w:r>
            <w:r>
              <w:rPr>
                <w:rFonts w:hint="default" w:ascii="Times New Roman" w:hAnsi="Times New Roman" w:eastAsia="宋体" w:cs="Times New Roman"/>
                <w:color w:val="auto"/>
                <w:sz w:val="24"/>
                <w:szCs w:val="24"/>
              </w:rPr>
              <w:t>、长毛水东哥</w:t>
            </w:r>
            <w:r>
              <w:rPr>
                <w:rFonts w:hint="default" w:ascii="Times New Roman" w:hAnsi="Times New Roman" w:eastAsia="宋体" w:cs="Times New Roman"/>
                <w:i/>
                <w:color w:val="auto"/>
                <w:sz w:val="24"/>
                <w:szCs w:val="24"/>
              </w:rPr>
              <w:t>Saurauia macrotricha</w:t>
            </w:r>
            <w:r>
              <w:rPr>
                <w:rFonts w:hint="default" w:ascii="Times New Roman" w:hAnsi="Times New Roman" w:eastAsia="宋体" w:cs="Times New Roman"/>
                <w:color w:val="auto"/>
                <w:sz w:val="24"/>
                <w:szCs w:val="24"/>
              </w:rPr>
              <w:t>、鳔冠花</w:t>
            </w:r>
            <w:r>
              <w:rPr>
                <w:rFonts w:hint="default" w:ascii="Times New Roman" w:hAnsi="Times New Roman" w:eastAsia="宋体" w:cs="Times New Roman"/>
                <w:i/>
                <w:color w:val="auto"/>
                <w:sz w:val="24"/>
                <w:szCs w:val="24"/>
              </w:rPr>
              <w:t>Cystacanthus paniculantus</w:t>
            </w:r>
            <w:r>
              <w:rPr>
                <w:rFonts w:hint="default" w:ascii="Times New Roman" w:hAnsi="Times New Roman" w:eastAsia="宋体" w:cs="Times New Roman"/>
                <w:color w:val="auto"/>
                <w:sz w:val="24"/>
                <w:szCs w:val="24"/>
              </w:rPr>
              <w:t>、苦丁茶</w:t>
            </w:r>
            <w:r>
              <w:rPr>
                <w:rFonts w:hint="default" w:ascii="Times New Roman" w:hAnsi="Times New Roman" w:eastAsia="宋体" w:cs="Times New Roman"/>
                <w:i/>
                <w:color w:val="auto"/>
                <w:sz w:val="24"/>
                <w:szCs w:val="24"/>
              </w:rPr>
              <w:t>Cratoxylum formosum</w:t>
            </w:r>
            <w:r>
              <w:rPr>
                <w:rFonts w:hint="default" w:ascii="Times New Roman" w:hAnsi="Times New Roman" w:eastAsia="宋体" w:cs="Times New Roman"/>
                <w:color w:val="auto"/>
                <w:sz w:val="24"/>
                <w:szCs w:val="24"/>
              </w:rPr>
              <w:t xml:space="preserve"> ssp.</w:t>
            </w:r>
            <w:r>
              <w:rPr>
                <w:rFonts w:hint="default" w:ascii="Times New Roman" w:hAnsi="Times New Roman" w:eastAsia="宋体" w:cs="Times New Roman"/>
                <w:i/>
                <w:color w:val="auto"/>
                <w:sz w:val="24"/>
                <w:szCs w:val="24"/>
              </w:rPr>
              <w:t xml:space="preserve"> pruniflorum</w:t>
            </w:r>
            <w:r>
              <w:rPr>
                <w:rFonts w:hint="default" w:ascii="Times New Roman" w:hAnsi="Times New Roman" w:eastAsia="宋体" w:cs="Times New Roman"/>
                <w:color w:val="auto"/>
                <w:sz w:val="24"/>
                <w:szCs w:val="24"/>
              </w:rPr>
              <w:t>等。此外，还有大叶鼠刺</w:t>
            </w:r>
            <w:r>
              <w:rPr>
                <w:rFonts w:hint="default" w:ascii="Times New Roman" w:hAnsi="Times New Roman" w:eastAsia="宋体" w:cs="Times New Roman"/>
                <w:i/>
                <w:color w:val="auto"/>
                <w:sz w:val="24"/>
                <w:szCs w:val="24"/>
              </w:rPr>
              <w:t>Itea macrophylla</w:t>
            </w:r>
            <w:r>
              <w:rPr>
                <w:rFonts w:hint="default" w:ascii="Times New Roman" w:hAnsi="Times New Roman" w:eastAsia="宋体" w:cs="Times New Roman"/>
                <w:color w:val="auto"/>
                <w:sz w:val="24"/>
                <w:szCs w:val="24"/>
              </w:rPr>
              <w:t>、龙陵栲</w:t>
            </w:r>
            <w:r>
              <w:rPr>
                <w:rFonts w:hint="default" w:ascii="Times New Roman" w:hAnsi="Times New Roman" w:eastAsia="宋体" w:cs="Times New Roman"/>
                <w:i/>
                <w:color w:val="auto"/>
                <w:sz w:val="24"/>
                <w:szCs w:val="24"/>
              </w:rPr>
              <w:t>Castanopsis rockii</w:t>
            </w:r>
            <w:r>
              <w:rPr>
                <w:rFonts w:hint="default" w:ascii="Times New Roman" w:hAnsi="Times New Roman" w:eastAsia="宋体" w:cs="Times New Roman"/>
                <w:color w:val="auto"/>
                <w:sz w:val="24"/>
                <w:szCs w:val="24"/>
              </w:rPr>
              <w:t>、粗糠柴</w:t>
            </w:r>
            <w:r>
              <w:rPr>
                <w:rFonts w:hint="default" w:ascii="Times New Roman" w:hAnsi="Times New Roman" w:eastAsia="宋体" w:cs="Times New Roman"/>
                <w:i/>
                <w:color w:val="auto"/>
                <w:sz w:val="24"/>
                <w:szCs w:val="24"/>
              </w:rPr>
              <w:t>Mallotus philippensis</w:t>
            </w:r>
            <w:r>
              <w:rPr>
                <w:rFonts w:hint="default" w:ascii="Times New Roman" w:hAnsi="Times New Roman" w:eastAsia="宋体" w:cs="Times New Roman"/>
                <w:color w:val="auto"/>
                <w:sz w:val="24"/>
                <w:szCs w:val="24"/>
              </w:rPr>
              <w:t>、柴桂</w:t>
            </w:r>
            <w:r>
              <w:rPr>
                <w:rFonts w:hint="default" w:ascii="Times New Roman" w:hAnsi="Times New Roman" w:eastAsia="宋体" w:cs="Times New Roman"/>
                <w:i/>
                <w:color w:val="auto"/>
                <w:sz w:val="24"/>
                <w:szCs w:val="24"/>
              </w:rPr>
              <w:t>Cinnamomum tamala</w:t>
            </w:r>
            <w:r>
              <w:rPr>
                <w:rFonts w:hint="default" w:ascii="Times New Roman" w:hAnsi="Times New Roman" w:eastAsia="宋体" w:cs="Times New Roman"/>
                <w:color w:val="auto"/>
                <w:sz w:val="24"/>
                <w:szCs w:val="24"/>
              </w:rPr>
              <w:t>、假柿木姜子</w:t>
            </w:r>
            <w:r>
              <w:rPr>
                <w:rFonts w:hint="default" w:ascii="Times New Roman" w:hAnsi="Times New Roman" w:eastAsia="宋体" w:cs="Times New Roman"/>
                <w:i/>
                <w:color w:val="auto"/>
                <w:sz w:val="24"/>
                <w:szCs w:val="24"/>
              </w:rPr>
              <w:t>Litsea monopetala</w:t>
            </w:r>
            <w:r>
              <w:rPr>
                <w:rFonts w:hint="default" w:ascii="Times New Roman" w:hAnsi="Times New Roman" w:eastAsia="宋体" w:cs="Times New Roman"/>
                <w:color w:val="auto"/>
                <w:sz w:val="24"/>
                <w:szCs w:val="24"/>
              </w:rPr>
              <w:t>、艾胶算盘子</w:t>
            </w:r>
            <w:r>
              <w:rPr>
                <w:rFonts w:hint="default" w:ascii="Times New Roman" w:hAnsi="Times New Roman" w:eastAsia="宋体" w:cs="Times New Roman"/>
                <w:i/>
                <w:color w:val="auto"/>
                <w:sz w:val="24"/>
                <w:szCs w:val="24"/>
              </w:rPr>
              <w:t>Glochidion lanceolarium</w:t>
            </w:r>
            <w:r>
              <w:rPr>
                <w:rFonts w:hint="default" w:ascii="Times New Roman" w:hAnsi="Times New Roman" w:eastAsia="宋体" w:cs="Times New Roman"/>
                <w:color w:val="auto"/>
                <w:sz w:val="24"/>
                <w:szCs w:val="24"/>
              </w:rPr>
              <w:t>、乌心楠</w:t>
            </w:r>
            <w:r>
              <w:rPr>
                <w:rFonts w:hint="default" w:ascii="Times New Roman" w:hAnsi="Times New Roman" w:eastAsia="宋体" w:cs="Times New Roman"/>
                <w:i/>
                <w:color w:val="auto"/>
                <w:sz w:val="24"/>
                <w:szCs w:val="24"/>
              </w:rPr>
              <w:t>Phoebe tavoyana</w:t>
            </w:r>
            <w:r>
              <w:rPr>
                <w:rFonts w:hint="default" w:ascii="Times New Roman" w:hAnsi="Times New Roman" w:eastAsia="宋体" w:cs="Times New Roman"/>
                <w:color w:val="auto"/>
                <w:sz w:val="24"/>
                <w:szCs w:val="24"/>
              </w:rPr>
              <w:t>、潺槁木姜子</w:t>
            </w:r>
            <w:r>
              <w:rPr>
                <w:rFonts w:hint="default" w:ascii="Times New Roman" w:hAnsi="Times New Roman" w:eastAsia="宋体" w:cs="Times New Roman"/>
                <w:i/>
                <w:color w:val="auto"/>
                <w:sz w:val="24"/>
                <w:szCs w:val="24"/>
              </w:rPr>
              <w:t>Litsea glutinosa</w:t>
            </w:r>
            <w:r>
              <w:rPr>
                <w:rFonts w:hint="default" w:ascii="Times New Roman" w:hAnsi="Times New Roman" w:eastAsia="宋体" w:cs="Times New Roman"/>
                <w:color w:val="auto"/>
                <w:sz w:val="24"/>
                <w:szCs w:val="24"/>
              </w:rPr>
              <w:t>、合果木</w:t>
            </w:r>
            <w:r>
              <w:rPr>
                <w:rFonts w:hint="default" w:ascii="Times New Roman" w:hAnsi="Times New Roman" w:eastAsia="宋体" w:cs="Times New Roman"/>
                <w:i/>
                <w:color w:val="auto"/>
                <w:sz w:val="24"/>
                <w:szCs w:val="24"/>
              </w:rPr>
              <w:t>Paramichelia baillonii</w:t>
            </w:r>
            <w:r>
              <w:rPr>
                <w:rFonts w:hint="default" w:ascii="Times New Roman" w:hAnsi="Times New Roman" w:eastAsia="宋体" w:cs="Times New Roman"/>
                <w:color w:val="auto"/>
                <w:sz w:val="24"/>
                <w:szCs w:val="24"/>
              </w:rPr>
              <w:t>、海南蒲桃</w:t>
            </w:r>
            <w:r>
              <w:rPr>
                <w:rFonts w:hint="default" w:ascii="Times New Roman" w:hAnsi="Times New Roman" w:eastAsia="宋体" w:cs="Times New Roman"/>
                <w:i/>
                <w:color w:val="auto"/>
                <w:sz w:val="24"/>
                <w:szCs w:val="24"/>
              </w:rPr>
              <w:t>Syzygium cumini</w:t>
            </w:r>
            <w:r>
              <w:rPr>
                <w:rFonts w:hint="default" w:ascii="Times New Roman" w:hAnsi="Times New Roman" w:eastAsia="宋体" w:cs="Times New Roman"/>
                <w:color w:val="auto"/>
                <w:sz w:val="24"/>
                <w:szCs w:val="24"/>
              </w:rPr>
              <w:t>等乔木树种的幼树。</w:t>
            </w:r>
          </w:p>
          <w:p w14:paraId="3EAB5F0C">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草本层植物种类较少，层盖度大，约为70%，高度约1m左右，主要种类有红豆蔻</w:t>
            </w:r>
            <w:r>
              <w:rPr>
                <w:rFonts w:hint="default" w:ascii="Times New Roman" w:hAnsi="Times New Roman" w:eastAsia="宋体" w:cs="Times New Roman"/>
                <w:i/>
                <w:color w:val="auto"/>
                <w:sz w:val="24"/>
                <w:szCs w:val="24"/>
              </w:rPr>
              <w:t>Alpinia bracteata</w:t>
            </w:r>
            <w:r>
              <w:rPr>
                <w:rFonts w:hint="default" w:ascii="Times New Roman" w:hAnsi="Times New Roman" w:eastAsia="宋体" w:cs="Times New Roman"/>
                <w:color w:val="auto"/>
                <w:sz w:val="24"/>
                <w:szCs w:val="24"/>
              </w:rPr>
              <w:t>、金发草</w:t>
            </w:r>
            <w:r>
              <w:rPr>
                <w:rFonts w:hint="default" w:ascii="Times New Roman" w:hAnsi="Times New Roman" w:eastAsia="宋体" w:cs="Times New Roman"/>
                <w:i/>
                <w:color w:val="auto"/>
                <w:sz w:val="24"/>
                <w:szCs w:val="24"/>
              </w:rPr>
              <w:t>Pogonatherum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paniceum</w:t>
            </w:r>
            <w:r>
              <w:rPr>
                <w:rFonts w:hint="default" w:ascii="Times New Roman" w:hAnsi="Times New Roman" w:eastAsia="宋体" w:cs="Times New Roman"/>
                <w:color w:val="auto"/>
                <w:sz w:val="24"/>
                <w:szCs w:val="24"/>
              </w:rPr>
              <w:t>、棕叶芦</w:t>
            </w:r>
            <w:r>
              <w:rPr>
                <w:rFonts w:hint="default" w:ascii="Times New Roman" w:hAnsi="Times New Roman" w:eastAsia="宋体" w:cs="Times New Roman"/>
                <w:i/>
                <w:color w:val="auto"/>
                <w:sz w:val="24"/>
                <w:szCs w:val="24"/>
              </w:rPr>
              <w:t>Thysanolaena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maxima</w:t>
            </w:r>
            <w:r>
              <w:rPr>
                <w:rFonts w:hint="default" w:ascii="Times New Roman" w:hAnsi="Times New Roman" w:eastAsia="宋体" w:cs="Times New Roman"/>
                <w:color w:val="auto"/>
                <w:sz w:val="24"/>
                <w:szCs w:val="24"/>
              </w:rPr>
              <w:t>、盈江砂仁</w:t>
            </w:r>
            <w:r>
              <w:rPr>
                <w:rFonts w:hint="default" w:ascii="Times New Roman" w:hAnsi="Times New Roman" w:eastAsia="宋体" w:cs="Times New Roman"/>
                <w:i/>
                <w:color w:val="auto"/>
                <w:sz w:val="24"/>
                <w:szCs w:val="24"/>
              </w:rPr>
              <w:t>Amomum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yingjiangense</w:t>
            </w:r>
            <w:r>
              <w:rPr>
                <w:rFonts w:hint="default" w:ascii="Times New Roman" w:hAnsi="Times New Roman" w:eastAsia="宋体" w:cs="Times New Roman"/>
                <w:color w:val="auto"/>
                <w:sz w:val="24"/>
                <w:szCs w:val="24"/>
              </w:rPr>
              <w:t>、凤尾蕨</w:t>
            </w:r>
            <w:r>
              <w:rPr>
                <w:rFonts w:hint="default" w:ascii="Times New Roman" w:hAnsi="Times New Roman" w:eastAsia="宋体" w:cs="Times New Roman"/>
                <w:i/>
                <w:color w:val="auto"/>
                <w:sz w:val="24"/>
                <w:szCs w:val="24"/>
              </w:rPr>
              <w:t>Pteris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nervosa</w:t>
            </w:r>
            <w:r>
              <w:rPr>
                <w:rFonts w:hint="default" w:ascii="Times New Roman" w:hAnsi="Times New Roman" w:eastAsia="宋体" w:cs="Times New Roman"/>
                <w:color w:val="auto"/>
                <w:sz w:val="24"/>
                <w:szCs w:val="24"/>
              </w:rPr>
              <w:t>、红球姜</w:t>
            </w:r>
            <w:r>
              <w:rPr>
                <w:rFonts w:hint="default" w:ascii="Times New Roman" w:hAnsi="Times New Roman" w:eastAsia="宋体" w:cs="Times New Roman"/>
                <w:i/>
                <w:color w:val="auto"/>
                <w:sz w:val="24"/>
                <w:szCs w:val="24"/>
              </w:rPr>
              <w:t>Zingiber</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zerumbet</w:t>
            </w:r>
            <w:r>
              <w:rPr>
                <w:rFonts w:hint="default" w:ascii="Times New Roman" w:hAnsi="Times New Roman" w:eastAsia="宋体" w:cs="Times New Roman"/>
                <w:color w:val="auto"/>
                <w:sz w:val="24"/>
                <w:szCs w:val="24"/>
              </w:rPr>
              <w:t>、沼兰</w:t>
            </w:r>
            <w:r>
              <w:rPr>
                <w:rFonts w:hint="default" w:ascii="Times New Roman" w:hAnsi="Times New Roman" w:eastAsia="宋体" w:cs="Times New Roman"/>
                <w:i/>
                <w:color w:val="auto"/>
                <w:sz w:val="24"/>
                <w:szCs w:val="24"/>
              </w:rPr>
              <w:t>Malaxis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monophyllos</w:t>
            </w:r>
            <w:r>
              <w:rPr>
                <w:rFonts w:hint="default" w:ascii="Times New Roman" w:hAnsi="Times New Roman" w:eastAsia="宋体" w:cs="Times New Roman"/>
                <w:color w:val="auto"/>
                <w:sz w:val="24"/>
                <w:szCs w:val="24"/>
              </w:rPr>
              <w:t>、火炭母</w:t>
            </w:r>
            <w:r>
              <w:rPr>
                <w:rFonts w:hint="default" w:ascii="Times New Roman" w:hAnsi="Times New Roman" w:eastAsia="宋体" w:cs="Times New Roman"/>
                <w:i/>
                <w:color w:val="auto"/>
                <w:sz w:val="24"/>
                <w:szCs w:val="24"/>
              </w:rPr>
              <w:t>Polygonum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chinense</w:t>
            </w:r>
            <w:r>
              <w:rPr>
                <w:rFonts w:hint="default" w:ascii="Times New Roman" w:hAnsi="Times New Roman" w:eastAsia="宋体" w:cs="Times New Roman"/>
                <w:color w:val="auto"/>
                <w:sz w:val="24"/>
                <w:szCs w:val="24"/>
              </w:rPr>
              <w:t>、柳叶斑鸠菊</w:t>
            </w:r>
            <w:r>
              <w:rPr>
                <w:rFonts w:hint="default" w:ascii="Times New Roman" w:hAnsi="Times New Roman" w:eastAsia="宋体" w:cs="Times New Roman"/>
                <w:i/>
                <w:color w:val="auto"/>
                <w:sz w:val="24"/>
                <w:szCs w:val="24"/>
              </w:rPr>
              <w:t>Vernonia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saligna</w:t>
            </w:r>
            <w:r>
              <w:rPr>
                <w:rFonts w:hint="default" w:ascii="Times New Roman" w:hAnsi="Times New Roman" w:eastAsia="宋体" w:cs="Times New Roman"/>
                <w:color w:val="auto"/>
                <w:sz w:val="24"/>
                <w:szCs w:val="24"/>
              </w:rPr>
              <w:t>、畦畔莎草</w:t>
            </w:r>
            <w:r>
              <w:rPr>
                <w:rFonts w:hint="default" w:ascii="Times New Roman" w:hAnsi="Times New Roman" w:eastAsia="宋体" w:cs="Times New Roman"/>
                <w:i/>
                <w:color w:val="auto"/>
                <w:sz w:val="24"/>
                <w:szCs w:val="24"/>
              </w:rPr>
              <w:t>Cyperus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haspan</w:t>
            </w:r>
            <w:r>
              <w:rPr>
                <w:rFonts w:hint="default" w:ascii="Times New Roman" w:hAnsi="Times New Roman" w:eastAsia="宋体" w:cs="Times New Roman"/>
                <w:color w:val="auto"/>
                <w:sz w:val="24"/>
                <w:szCs w:val="24"/>
              </w:rPr>
              <w:t>、大将军</w:t>
            </w:r>
            <w:r>
              <w:rPr>
                <w:rFonts w:hint="default" w:ascii="Times New Roman" w:hAnsi="Times New Roman" w:eastAsia="宋体" w:cs="Times New Roman"/>
                <w:i/>
                <w:color w:val="auto"/>
                <w:sz w:val="24"/>
                <w:szCs w:val="24"/>
              </w:rPr>
              <w:t>Lobelia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clavata</w:t>
            </w:r>
            <w:r>
              <w:rPr>
                <w:rFonts w:hint="default" w:ascii="Times New Roman" w:hAnsi="Times New Roman" w:eastAsia="宋体" w:cs="Times New Roman"/>
                <w:color w:val="auto"/>
                <w:sz w:val="24"/>
                <w:szCs w:val="24"/>
              </w:rPr>
              <w:t>等。</w:t>
            </w:r>
          </w:p>
          <w:p w14:paraId="229B0341">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群落中有一些附生和藤本植物，海金沙</w:t>
            </w:r>
            <w:r>
              <w:rPr>
                <w:rFonts w:hint="default" w:ascii="Times New Roman" w:hAnsi="Times New Roman" w:eastAsia="宋体" w:cs="Times New Roman"/>
                <w:i/>
                <w:color w:val="auto"/>
                <w:sz w:val="24"/>
                <w:szCs w:val="24"/>
              </w:rPr>
              <w:t>Lygodium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japonicum</w:t>
            </w:r>
            <w:r>
              <w:rPr>
                <w:rFonts w:hint="default" w:ascii="Times New Roman" w:hAnsi="Times New Roman" w:eastAsia="宋体" w:cs="Times New Roman"/>
                <w:color w:val="auto"/>
                <w:sz w:val="24"/>
                <w:szCs w:val="24"/>
              </w:rPr>
              <w:t>、灯油藤</w:t>
            </w:r>
            <w:r>
              <w:rPr>
                <w:rFonts w:hint="default" w:ascii="Times New Roman" w:hAnsi="Times New Roman" w:eastAsia="宋体" w:cs="Times New Roman"/>
                <w:i/>
                <w:color w:val="auto"/>
                <w:sz w:val="24"/>
                <w:szCs w:val="24"/>
              </w:rPr>
              <w:t>Celastrus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paniculatus</w:t>
            </w:r>
            <w:r>
              <w:rPr>
                <w:rFonts w:hint="default" w:ascii="Times New Roman" w:hAnsi="Times New Roman" w:eastAsia="宋体" w:cs="Times New Roman"/>
                <w:color w:val="auto"/>
                <w:sz w:val="24"/>
                <w:szCs w:val="24"/>
              </w:rPr>
              <w:t>、玉叶金花</w:t>
            </w:r>
            <w:r>
              <w:rPr>
                <w:rFonts w:hint="default" w:ascii="Times New Roman" w:hAnsi="Times New Roman" w:eastAsia="宋体" w:cs="Times New Roman"/>
                <w:i/>
                <w:color w:val="auto"/>
                <w:sz w:val="24"/>
                <w:szCs w:val="24"/>
              </w:rPr>
              <w:t>Mussaenda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esquirolii</w:t>
            </w:r>
            <w:r>
              <w:rPr>
                <w:rFonts w:hint="default" w:ascii="Times New Roman" w:hAnsi="Times New Roman" w:eastAsia="宋体" w:cs="Times New Roman"/>
                <w:color w:val="auto"/>
                <w:sz w:val="24"/>
                <w:szCs w:val="24"/>
              </w:rPr>
              <w:t>、青紫葛</w:t>
            </w:r>
            <w:r>
              <w:rPr>
                <w:rFonts w:hint="default" w:ascii="Times New Roman" w:hAnsi="Times New Roman" w:eastAsia="宋体" w:cs="Times New Roman"/>
                <w:i/>
                <w:color w:val="auto"/>
                <w:sz w:val="24"/>
                <w:szCs w:val="24"/>
              </w:rPr>
              <w:t>Cissus</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javana</w:t>
            </w:r>
            <w:r>
              <w:rPr>
                <w:rFonts w:hint="default" w:ascii="Times New Roman" w:hAnsi="Times New Roman" w:eastAsia="宋体" w:cs="Times New Roman"/>
                <w:color w:val="auto"/>
                <w:sz w:val="24"/>
                <w:szCs w:val="24"/>
              </w:rPr>
              <w:t>、含羞草叶黄檀</w:t>
            </w:r>
            <w:r>
              <w:rPr>
                <w:rFonts w:hint="default" w:ascii="Times New Roman" w:hAnsi="Times New Roman" w:eastAsia="宋体" w:cs="Times New Roman"/>
                <w:i/>
                <w:color w:val="auto"/>
                <w:sz w:val="24"/>
                <w:szCs w:val="24"/>
              </w:rPr>
              <w:t>Dalbergia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mimosoides</w:t>
            </w:r>
            <w:r>
              <w:rPr>
                <w:rFonts w:hint="default" w:ascii="Times New Roman" w:hAnsi="Times New Roman" w:eastAsia="宋体" w:cs="Times New Roman"/>
                <w:color w:val="auto"/>
                <w:sz w:val="24"/>
                <w:szCs w:val="24"/>
              </w:rPr>
              <w:t>、多花酸藤子</w:t>
            </w:r>
            <w:r>
              <w:rPr>
                <w:rFonts w:hint="default" w:ascii="Times New Roman" w:hAnsi="Times New Roman" w:eastAsia="宋体" w:cs="Times New Roman"/>
                <w:i/>
                <w:color w:val="auto"/>
                <w:sz w:val="24"/>
                <w:szCs w:val="24"/>
              </w:rPr>
              <w:t>Embelia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floribunda</w:t>
            </w:r>
            <w:r>
              <w:rPr>
                <w:rFonts w:hint="default" w:ascii="Times New Roman" w:hAnsi="Times New Roman" w:eastAsia="宋体" w:cs="Times New Roman"/>
                <w:color w:val="auto"/>
                <w:sz w:val="24"/>
                <w:szCs w:val="24"/>
              </w:rPr>
              <w:t>、买麻藤</w:t>
            </w:r>
            <w:r>
              <w:rPr>
                <w:rFonts w:hint="default" w:ascii="Times New Roman" w:hAnsi="Times New Roman" w:eastAsia="宋体" w:cs="Times New Roman"/>
                <w:i/>
                <w:color w:val="auto"/>
                <w:sz w:val="24"/>
                <w:szCs w:val="24"/>
              </w:rPr>
              <w:t>Gnetum</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montanum</w:t>
            </w:r>
            <w:r>
              <w:rPr>
                <w:rFonts w:hint="default" w:ascii="Times New Roman" w:hAnsi="Times New Roman" w:eastAsia="宋体" w:cs="Times New Roman"/>
                <w:color w:val="auto"/>
                <w:sz w:val="24"/>
                <w:szCs w:val="24"/>
              </w:rPr>
              <w:t>、多毛叶薯蓣</w:t>
            </w:r>
            <w:r>
              <w:rPr>
                <w:rFonts w:hint="default" w:ascii="Times New Roman" w:hAnsi="Times New Roman" w:eastAsia="宋体" w:cs="Times New Roman"/>
                <w:i/>
                <w:color w:val="auto"/>
                <w:sz w:val="24"/>
                <w:szCs w:val="24"/>
              </w:rPr>
              <w:t>Dioscorea</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i/>
                <w:color w:val="auto"/>
                <w:sz w:val="24"/>
                <w:szCs w:val="24"/>
              </w:rPr>
              <w:t>decipiens</w:t>
            </w:r>
            <w:r>
              <w:rPr>
                <w:rFonts w:hint="default" w:ascii="Times New Roman" w:hAnsi="Times New Roman" w:eastAsia="宋体" w:cs="Times New Roman"/>
                <w:color w:val="auto"/>
                <w:sz w:val="24"/>
                <w:szCs w:val="24"/>
              </w:rPr>
              <w:t>、土茯苓Smilax glabra等。</w:t>
            </w:r>
          </w:p>
          <w:p w14:paraId="1E3CE9B3">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lang w:eastAsia="zh-TW"/>
              </w:rPr>
              <w:t>B、</w:t>
            </w:r>
            <w:r>
              <w:rPr>
                <w:rFonts w:hint="default" w:ascii="Times New Roman" w:hAnsi="Times New Roman" w:eastAsia="宋体" w:cs="Times New Roman"/>
                <w:color w:val="auto"/>
              </w:rPr>
              <w:t>旱冬瓜灌丛</w:t>
            </w:r>
          </w:p>
          <w:p w14:paraId="293B4CED">
            <w:pPr>
              <w:spacing w:line="360" w:lineRule="auto"/>
              <w:ind w:firstLine="480" w:firstLineChars="200"/>
              <w:rPr>
                <w:rFonts w:hint="default" w:ascii="Times New Roman" w:hAnsi="Times New Roman" w:eastAsia="宋体" w:cs="Times New Roman"/>
                <w:color w:val="auto"/>
                <w:sz w:val="24"/>
                <w:szCs w:val="28"/>
                <w:lang w:val="zh-CN"/>
              </w:rPr>
            </w:pPr>
            <w:r>
              <w:rPr>
                <w:rFonts w:hint="default" w:ascii="Times New Roman" w:hAnsi="Times New Roman" w:eastAsia="宋体" w:cs="Times New Roman"/>
                <w:color w:val="auto"/>
                <w:sz w:val="24"/>
                <w:szCs w:val="24"/>
              </w:rPr>
              <w:t>该植被类型主要分布于项目区西部、东北部，具有次生性。群落高3m左右，</w:t>
            </w:r>
            <w:r>
              <w:rPr>
                <w:rFonts w:hint="default" w:ascii="Times New Roman" w:hAnsi="Times New Roman" w:eastAsia="宋体" w:cs="Times New Roman"/>
                <w:color w:val="auto"/>
                <w:sz w:val="24"/>
                <w:szCs w:val="28"/>
                <w:lang w:val="zh-CN"/>
              </w:rPr>
              <w:t>群落结构一般可以分为乔木层、灌木层和草本层。</w:t>
            </w:r>
          </w:p>
          <w:p w14:paraId="1E5D1A5F">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乔木层高3m，覆盖度约为40%，高度2~5m，以旱冬瓜</w:t>
            </w:r>
            <w:r>
              <w:rPr>
                <w:rFonts w:hint="default" w:ascii="Times New Roman" w:hAnsi="Times New Roman" w:eastAsia="宋体" w:cs="Times New Roman"/>
                <w:i/>
                <w:iCs/>
                <w:color w:val="auto"/>
                <w:kern w:val="0"/>
                <w:sz w:val="24"/>
                <w:szCs w:val="24"/>
              </w:rPr>
              <w:t>Alnus nepalensis</w:t>
            </w:r>
            <w:r>
              <w:rPr>
                <w:rFonts w:hint="default" w:ascii="Times New Roman" w:hAnsi="Times New Roman" w:eastAsia="宋体" w:cs="Times New Roman"/>
                <w:color w:val="auto"/>
                <w:sz w:val="24"/>
                <w:szCs w:val="24"/>
              </w:rPr>
              <w:t>为主，也有云南黄杞</w:t>
            </w:r>
            <w:r>
              <w:rPr>
                <w:rFonts w:hint="default" w:ascii="Times New Roman" w:hAnsi="Times New Roman" w:eastAsia="宋体" w:cs="Times New Roman"/>
                <w:i/>
                <w:color w:val="auto"/>
                <w:sz w:val="24"/>
                <w:szCs w:val="24"/>
              </w:rPr>
              <w:t>Engelhardtia spicata</w:t>
            </w:r>
            <w:r>
              <w:rPr>
                <w:rFonts w:hint="default" w:ascii="Times New Roman" w:hAnsi="Times New Roman" w:eastAsia="宋体" w:cs="Times New Roman"/>
                <w:color w:val="auto"/>
                <w:sz w:val="24"/>
                <w:szCs w:val="24"/>
              </w:rPr>
              <w:t>、红木荷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、白檀</w:t>
            </w:r>
            <w:r>
              <w:rPr>
                <w:rFonts w:hint="default" w:ascii="Times New Roman" w:hAnsi="Times New Roman" w:eastAsia="宋体" w:cs="Times New Roman"/>
                <w:i/>
                <w:color w:val="auto"/>
                <w:sz w:val="24"/>
                <w:szCs w:val="24"/>
              </w:rPr>
              <w:t>Symplocos paniculata</w:t>
            </w:r>
            <w:r>
              <w:rPr>
                <w:rFonts w:hint="default" w:ascii="Times New Roman" w:hAnsi="Times New Roman" w:eastAsia="宋体" w:cs="Times New Roman"/>
                <w:color w:val="auto"/>
                <w:sz w:val="24"/>
                <w:szCs w:val="24"/>
              </w:rPr>
              <w:t>、网叶山胡椒</w:t>
            </w:r>
            <w:r>
              <w:rPr>
                <w:rFonts w:hint="default" w:ascii="Times New Roman" w:hAnsi="Times New Roman" w:eastAsia="宋体" w:cs="Times New Roman"/>
                <w:i/>
                <w:color w:val="auto"/>
                <w:sz w:val="24"/>
                <w:szCs w:val="24"/>
              </w:rPr>
              <w:t>Lindera metcalfiana</w:t>
            </w:r>
            <w:r>
              <w:rPr>
                <w:rFonts w:hint="default" w:ascii="Times New Roman" w:hAnsi="Times New Roman" w:eastAsia="宋体" w:cs="Times New Roman"/>
                <w:color w:val="auto"/>
                <w:sz w:val="24"/>
                <w:szCs w:val="24"/>
              </w:rPr>
              <w:t>、毛杨梅</w:t>
            </w:r>
            <w:r>
              <w:rPr>
                <w:rFonts w:hint="default" w:ascii="Times New Roman" w:hAnsi="Times New Roman" w:eastAsia="宋体" w:cs="Times New Roman"/>
                <w:i/>
                <w:color w:val="auto"/>
                <w:sz w:val="24"/>
                <w:szCs w:val="24"/>
              </w:rPr>
              <w:t>Myrica esculenta</w:t>
            </w:r>
            <w:r>
              <w:rPr>
                <w:rFonts w:hint="default" w:ascii="Times New Roman" w:hAnsi="Times New Roman" w:eastAsia="宋体" w:cs="Times New Roman"/>
                <w:color w:val="auto"/>
                <w:sz w:val="24"/>
                <w:szCs w:val="24"/>
              </w:rPr>
              <w:t>等。</w:t>
            </w:r>
          </w:p>
          <w:p w14:paraId="4A1753DB">
            <w:pPr>
              <w:widowControl/>
              <w:spacing w:line="360" w:lineRule="auto"/>
              <w:ind w:firstLine="480" w:firstLineChars="200"/>
              <w:rPr>
                <w:rFonts w:hint="default" w:ascii="Times New Roman" w:hAnsi="Times New Roman" w:eastAsia="宋体" w:cs="Times New Roman"/>
                <w:i/>
                <w:color w:val="auto"/>
                <w:sz w:val="24"/>
                <w:szCs w:val="24"/>
              </w:rPr>
            </w:pPr>
            <w:r>
              <w:rPr>
                <w:rFonts w:hint="default" w:ascii="Times New Roman" w:hAnsi="Times New Roman" w:eastAsia="宋体" w:cs="Times New Roman"/>
                <w:color w:val="auto"/>
                <w:sz w:val="24"/>
                <w:szCs w:val="24"/>
              </w:rPr>
              <w:t>灌木层高2.0m左右，覆盖度30%，主要灌木种类有大乌泡</w:t>
            </w:r>
            <w:r>
              <w:rPr>
                <w:rFonts w:hint="default" w:ascii="Times New Roman" w:hAnsi="Times New Roman" w:eastAsia="宋体" w:cs="Times New Roman"/>
                <w:i/>
                <w:color w:val="auto"/>
                <w:sz w:val="24"/>
                <w:szCs w:val="24"/>
              </w:rPr>
              <w:t>Rubus multibracteatus</w:t>
            </w:r>
            <w:r>
              <w:rPr>
                <w:rFonts w:hint="default" w:ascii="Times New Roman" w:hAnsi="Times New Roman" w:eastAsia="宋体" w:cs="Times New Roman"/>
                <w:color w:val="auto"/>
                <w:sz w:val="24"/>
                <w:szCs w:val="24"/>
              </w:rPr>
              <w:t>、岗柃</w:t>
            </w:r>
            <w:r>
              <w:rPr>
                <w:rFonts w:hint="default" w:ascii="Times New Roman" w:hAnsi="Times New Roman" w:eastAsia="宋体" w:cs="Times New Roman"/>
                <w:i/>
                <w:color w:val="auto"/>
                <w:sz w:val="24"/>
                <w:szCs w:val="24"/>
              </w:rPr>
              <w:t>Eurya groffii</w:t>
            </w:r>
            <w:r>
              <w:rPr>
                <w:rFonts w:hint="default" w:ascii="Times New Roman" w:hAnsi="Times New Roman" w:eastAsia="宋体" w:cs="Times New Roman"/>
                <w:color w:val="auto"/>
                <w:sz w:val="24"/>
                <w:szCs w:val="24"/>
              </w:rPr>
              <w:t>var、盐肤木</w:t>
            </w:r>
            <w:r>
              <w:rPr>
                <w:rFonts w:hint="default" w:ascii="Times New Roman" w:hAnsi="Times New Roman" w:eastAsia="宋体" w:cs="Times New Roman"/>
                <w:i/>
                <w:color w:val="auto"/>
                <w:sz w:val="24"/>
                <w:szCs w:val="24"/>
              </w:rPr>
              <w:t>Rhus chinensis</w:t>
            </w:r>
            <w:r>
              <w:rPr>
                <w:rFonts w:hint="default" w:ascii="Times New Roman" w:hAnsi="Times New Roman" w:eastAsia="宋体" w:cs="Times New Roman"/>
                <w:color w:val="auto"/>
                <w:sz w:val="24"/>
                <w:szCs w:val="24"/>
              </w:rPr>
              <w:t>、臭荚蒾</w:t>
            </w:r>
            <w:r>
              <w:rPr>
                <w:rFonts w:hint="default" w:ascii="Times New Roman" w:hAnsi="Times New Roman" w:eastAsia="宋体" w:cs="Times New Roman"/>
                <w:i/>
                <w:color w:val="auto"/>
                <w:sz w:val="24"/>
                <w:szCs w:val="24"/>
              </w:rPr>
              <w:t>Viburnum foetidum</w:t>
            </w:r>
            <w:r>
              <w:rPr>
                <w:rFonts w:hint="default" w:ascii="Times New Roman" w:hAnsi="Times New Roman" w:eastAsia="宋体" w:cs="Times New Roman"/>
                <w:color w:val="auto"/>
                <w:sz w:val="24"/>
                <w:szCs w:val="24"/>
              </w:rPr>
              <w:t>、无柄金丝桃</w:t>
            </w:r>
            <w:r>
              <w:rPr>
                <w:rFonts w:hint="default" w:ascii="Times New Roman" w:hAnsi="Times New Roman" w:eastAsia="宋体" w:cs="Times New Roman"/>
                <w:i/>
                <w:color w:val="auto"/>
                <w:sz w:val="24"/>
                <w:szCs w:val="24"/>
              </w:rPr>
              <w:t>Hypericum angustinii</w:t>
            </w:r>
            <w:r>
              <w:rPr>
                <w:rFonts w:hint="default" w:ascii="Times New Roman" w:hAnsi="Times New Roman" w:eastAsia="宋体" w:cs="Times New Roman"/>
                <w:color w:val="auto"/>
                <w:sz w:val="24"/>
                <w:szCs w:val="24"/>
              </w:rPr>
              <w:t>、地檀香</w:t>
            </w:r>
            <w:r>
              <w:rPr>
                <w:rFonts w:hint="default" w:ascii="Times New Roman" w:hAnsi="Times New Roman" w:eastAsia="宋体" w:cs="Times New Roman"/>
                <w:i/>
                <w:color w:val="auto"/>
                <w:sz w:val="24"/>
                <w:szCs w:val="24"/>
              </w:rPr>
              <w:t>Gaultheria forrestii</w:t>
            </w:r>
            <w:r>
              <w:rPr>
                <w:rFonts w:hint="default" w:ascii="Times New Roman" w:hAnsi="Times New Roman" w:eastAsia="宋体" w:cs="Times New Roman"/>
                <w:color w:val="auto"/>
                <w:sz w:val="24"/>
                <w:szCs w:val="24"/>
              </w:rPr>
              <w:t>、绣线梅</w:t>
            </w:r>
            <w:r>
              <w:rPr>
                <w:rFonts w:hint="default" w:ascii="Times New Roman" w:hAnsi="Times New Roman" w:eastAsia="宋体" w:cs="Times New Roman"/>
                <w:i/>
                <w:color w:val="auto"/>
                <w:sz w:val="24"/>
                <w:szCs w:val="24"/>
              </w:rPr>
              <w:t>Neillia thyrsiflora</w:t>
            </w:r>
            <w:r>
              <w:rPr>
                <w:rFonts w:hint="default" w:ascii="Times New Roman" w:hAnsi="Times New Roman" w:eastAsia="宋体" w:cs="Times New Roman"/>
                <w:color w:val="auto"/>
                <w:sz w:val="24"/>
                <w:szCs w:val="24"/>
              </w:rPr>
              <w:t>、假朝天罐</w:t>
            </w:r>
            <w:r>
              <w:rPr>
                <w:rFonts w:hint="default" w:ascii="Times New Roman" w:hAnsi="Times New Roman" w:eastAsia="宋体" w:cs="Times New Roman"/>
                <w:i/>
                <w:color w:val="auto"/>
                <w:sz w:val="24"/>
                <w:szCs w:val="24"/>
              </w:rPr>
              <w:t>Osbeckia crinita</w:t>
            </w:r>
            <w:r>
              <w:rPr>
                <w:rFonts w:hint="default" w:ascii="Times New Roman" w:hAnsi="Times New Roman" w:eastAsia="宋体" w:cs="Times New Roman"/>
                <w:color w:val="auto"/>
                <w:sz w:val="24"/>
                <w:szCs w:val="24"/>
              </w:rPr>
              <w:t>等。</w:t>
            </w:r>
          </w:p>
          <w:p w14:paraId="3CE4853B">
            <w:pPr>
              <w:widowControl/>
              <w:spacing w:line="360" w:lineRule="auto"/>
              <w:ind w:firstLine="480" w:firstLineChars="200"/>
              <w:rPr>
                <w:rFonts w:hint="default" w:ascii="Times New Roman" w:hAnsi="Times New Roman" w:eastAsia="宋体" w:cs="Times New Roman"/>
                <w:i/>
                <w:iCs/>
                <w:color w:val="auto"/>
                <w:sz w:val="24"/>
                <w:szCs w:val="24"/>
              </w:rPr>
            </w:pPr>
            <w:r>
              <w:rPr>
                <w:rFonts w:hint="default" w:ascii="Times New Roman" w:hAnsi="Times New Roman" w:eastAsia="宋体" w:cs="Times New Roman"/>
                <w:color w:val="auto"/>
                <w:sz w:val="24"/>
                <w:szCs w:val="24"/>
              </w:rPr>
              <w:t>草本层相对茂密，层盖度达到95%，种类相对较少，高度0.5~2m，主要种类有紫茎泽兰</w:t>
            </w:r>
            <w:r>
              <w:rPr>
                <w:rFonts w:hint="default" w:ascii="Times New Roman" w:hAnsi="Times New Roman" w:eastAsia="宋体" w:cs="Times New Roman"/>
                <w:i/>
                <w:color w:val="auto"/>
                <w:sz w:val="24"/>
                <w:szCs w:val="24"/>
              </w:rPr>
              <w:t>Ageratina adenophora</w:t>
            </w:r>
            <w:r>
              <w:rPr>
                <w:rFonts w:hint="default" w:ascii="Times New Roman" w:hAnsi="Times New Roman" w:eastAsia="宋体" w:cs="Times New Roman"/>
                <w:color w:val="auto"/>
                <w:sz w:val="24"/>
                <w:szCs w:val="24"/>
              </w:rPr>
              <w:t>(30%)、金发草</w:t>
            </w:r>
            <w:r>
              <w:rPr>
                <w:rFonts w:hint="default" w:ascii="Times New Roman" w:hAnsi="Times New Roman" w:eastAsia="宋体" w:cs="Times New Roman"/>
                <w:i/>
                <w:color w:val="auto"/>
                <w:sz w:val="24"/>
                <w:szCs w:val="24"/>
              </w:rPr>
              <w:t>Pogonatherum paniceum</w:t>
            </w:r>
            <w:r>
              <w:rPr>
                <w:rFonts w:hint="default" w:ascii="Times New Roman" w:hAnsi="Times New Roman" w:eastAsia="宋体" w:cs="Times New Roman"/>
                <w:color w:val="auto"/>
                <w:sz w:val="24"/>
                <w:szCs w:val="24"/>
              </w:rPr>
              <w:t>(30%)、细柄草</w:t>
            </w:r>
            <w:r>
              <w:rPr>
                <w:rFonts w:hint="default" w:ascii="Times New Roman" w:hAnsi="Times New Roman" w:eastAsia="宋体" w:cs="Times New Roman"/>
                <w:i/>
                <w:color w:val="auto"/>
                <w:sz w:val="24"/>
                <w:szCs w:val="24"/>
              </w:rPr>
              <w:t>Capillipedium parviflorum</w:t>
            </w:r>
            <w:r>
              <w:rPr>
                <w:rFonts w:hint="default" w:ascii="Times New Roman" w:hAnsi="Times New Roman" w:eastAsia="宋体" w:cs="Times New Roman"/>
                <w:color w:val="auto"/>
                <w:sz w:val="24"/>
                <w:szCs w:val="24"/>
              </w:rPr>
              <w:t>、黄腺香青</w:t>
            </w:r>
            <w:r>
              <w:rPr>
                <w:rFonts w:hint="default" w:ascii="Times New Roman" w:hAnsi="Times New Roman" w:eastAsia="宋体" w:cs="Times New Roman"/>
                <w:i/>
                <w:color w:val="auto"/>
                <w:sz w:val="24"/>
                <w:szCs w:val="24"/>
              </w:rPr>
              <w:t>Anaphalis aureo-punctata</w:t>
            </w:r>
            <w:r>
              <w:rPr>
                <w:rFonts w:hint="default" w:ascii="Times New Roman" w:hAnsi="Times New Roman" w:eastAsia="宋体" w:cs="Times New Roman"/>
                <w:color w:val="auto"/>
                <w:sz w:val="24"/>
                <w:szCs w:val="24"/>
              </w:rPr>
              <w:t>、石松</w:t>
            </w:r>
            <w:r>
              <w:rPr>
                <w:rFonts w:hint="default" w:ascii="Times New Roman" w:hAnsi="Times New Roman" w:eastAsia="宋体" w:cs="Times New Roman"/>
                <w:i/>
                <w:color w:val="auto"/>
                <w:sz w:val="24"/>
                <w:szCs w:val="24"/>
              </w:rPr>
              <w:t>Lycopodium japonicum</w:t>
            </w:r>
            <w:r>
              <w:rPr>
                <w:rFonts w:hint="default" w:ascii="Times New Roman" w:hAnsi="Times New Roman" w:eastAsia="宋体" w:cs="Times New Roman"/>
                <w:color w:val="auto"/>
                <w:sz w:val="24"/>
                <w:szCs w:val="24"/>
              </w:rPr>
              <w:t>、孩儿草</w:t>
            </w:r>
            <w:r>
              <w:rPr>
                <w:rFonts w:hint="default" w:ascii="Times New Roman" w:hAnsi="Times New Roman" w:eastAsia="宋体" w:cs="Times New Roman"/>
                <w:i/>
                <w:color w:val="auto"/>
                <w:sz w:val="24"/>
                <w:szCs w:val="24"/>
              </w:rPr>
              <w:t>Rungia pectinnata</w:t>
            </w:r>
            <w:r>
              <w:rPr>
                <w:rFonts w:hint="default" w:ascii="Times New Roman" w:hAnsi="Times New Roman" w:eastAsia="宋体" w:cs="Times New Roman"/>
                <w:color w:val="auto"/>
                <w:sz w:val="24"/>
                <w:szCs w:val="24"/>
              </w:rPr>
              <w:t>、羊耳菊</w:t>
            </w:r>
            <w:r>
              <w:rPr>
                <w:rFonts w:hint="default" w:ascii="Times New Roman" w:hAnsi="Times New Roman" w:eastAsia="宋体" w:cs="Times New Roman"/>
                <w:i/>
                <w:color w:val="auto"/>
                <w:sz w:val="24"/>
                <w:szCs w:val="24"/>
              </w:rPr>
              <w:t>Inula cappa</w:t>
            </w:r>
            <w:r>
              <w:rPr>
                <w:rFonts w:hint="default" w:ascii="Times New Roman" w:hAnsi="Times New Roman" w:eastAsia="宋体" w:cs="Times New Roman"/>
                <w:color w:val="auto"/>
                <w:sz w:val="24"/>
                <w:szCs w:val="24"/>
              </w:rPr>
              <w:t>、姜花</w:t>
            </w:r>
            <w:r>
              <w:rPr>
                <w:rFonts w:hint="default" w:ascii="Times New Roman" w:hAnsi="Times New Roman" w:eastAsia="宋体" w:cs="Times New Roman"/>
                <w:i/>
                <w:color w:val="auto"/>
                <w:sz w:val="24"/>
                <w:szCs w:val="24"/>
              </w:rPr>
              <w:t>Hedychium coronarium</w:t>
            </w:r>
            <w:r>
              <w:rPr>
                <w:rFonts w:hint="default" w:ascii="Times New Roman" w:hAnsi="Times New Roman" w:eastAsia="宋体" w:cs="Times New Roman"/>
                <w:color w:val="auto"/>
                <w:sz w:val="24"/>
                <w:szCs w:val="24"/>
              </w:rPr>
              <w:t>、栗柄金粉蕨</w:t>
            </w:r>
            <w:r>
              <w:rPr>
                <w:rFonts w:hint="default" w:ascii="Times New Roman" w:hAnsi="Times New Roman" w:eastAsia="宋体" w:cs="Times New Roman"/>
                <w:i/>
                <w:color w:val="auto"/>
                <w:sz w:val="24"/>
                <w:szCs w:val="24"/>
              </w:rPr>
              <w:t>Onychium contigum</w:t>
            </w:r>
            <w:r>
              <w:rPr>
                <w:rFonts w:hint="default" w:ascii="Times New Roman" w:hAnsi="Times New Roman" w:eastAsia="宋体" w:cs="Times New Roman"/>
                <w:color w:val="auto"/>
                <w:sz w:val="24"/>
                <w:szCs w:val="24"/>
              </w:rPr>
              <w:t>、刚毛锦香草</w:t>
            </w:r>
            <w:r>
              <w:rPr>
                <w:rFonts w:hint="default" w:ascii="Times New Roman" w:hAnsi="Times New Roman" w:eastAsia="宋体" w:cs="Times New Roman"/>
                <w:i/>
                <w:color w:val="auto"/>
                <w:sz w:val="24"/>
                <w:szCs w:val="24"/>
              </w:rPr>
              <w:t>Phyllagathis hispida</w:t>
            </w:r>
            <w:r>
              <w:rPr>
                <w:rFonts w:hint="default" w:ascii="Times New Roman" w:hAnsi="Times New Roman" w:eastAsia="宋体" w:cs="Times New Roman"/>
                <w:color w:val="auto"/>
                <w:sz w:val="24"/>
                <w:szCs w:val="24"/>
              </w:rPr>
              <w:t>、蜈蚣蕨</w:t>
            </w:r>
            <w:r>
              <w:rPr>
                <w:rFonts w:hint="default" w:ascii="Times New Roman" w:hAnsi="Times New Roman" w:eastAsia="宋体" w:cs="Times New Roman"/>
                <w:i/>
                <w:color w:val="auto"/>
                <w:sz w:val="24"/>
                <w:szCs w:val="24"/>
              </w:rPr>
              <w:t>Pteris vittata</w:t>
            </w:r>
            <w:r>
              <w:rPr>
                <w:rFonts w:hint="default" w:ascii="Times New Roman" w:hAnsi="Times New Roman" w:eastAsia="宋体" w:cs="Times New Roman"/>
                <w:color w:val="auto"/>
                <w:sz w:val="24"/>
                <w:szCs w:val="24"/>
              </w:rPr>
              <w:t>、垂穗莎草</w:t>
            </w:r>
            <w:r>
              <w:rPr>
                <w:rFonts w:hint="default" w:ascii="Times New Roman" w:hAnsi="Times New Roman" w:eastAsia="宋体" w:cs="Times New Roman"/>
                <w:i/>
                <w:color w:val="auto"/>
                <w:sz w:val="24"/>
                <w:szCs w:val="24"/>
              </w:rPr>
              <w:t>Cyperus nutans</w:t>
            </w:r>
            <w:r>
              <w:rPr>
                <w:rFonts w:hint="default" w:ascii="Times New Roman" w:hAnsi="Times New Roman" w:eastAsia="宋体" w:cs="Times New Roman"/>
                <w:color w:val="auto"/>
                <w:sz w:val="24"/>
                <w:szCs w:val="24"/>
              </w:rPr>
              <w:t>、丈野古草</w:t>
            </w:r>
            <w:r>
              <w:rPr>
                <w:rFonts w:hint="default" w:ascii="Times New Roman" w:hAnsi="Times New Roman" w:eastAsia="宋体" w:cs="Times New Roman"/>
                <w:i/>
                <w:color w:val="auto"/>
                <w:sz w:val="24"/>
                <w:szCs w:val="24"/>
              </w:rPr>
              <w:t>Arundinella decempedalis</w:t>
            </w:r>
            <w:r>
              <w:rPr>
                <w:rFonts w:hint="default" w:ascii="Times New Roman" w:hAnsi="Times New Roman" w:eastAsia="宋体" w:cs="Times New Roman"/>
                <w:color w:val="auto"/>
                <w:sz w:val="24"/>
                <w:szCs w:val="24"/>
              </w:rPr>
              <w:t>、狭基线纹香茶菜</w:t>
            </w:r>
            <w:r>
              <w:rPr>
                <w:rFonts w:hint="default" w:ascii="Times New Roman" w:hAnsi="Times New Roman" w:eastAsia="宋体" w:cs="Times New Roman"/>
                <w:i/>
                <w:color w:val="auto"/>
                <w:sz w:val="24"/>
                <w:szCs w:val="24"/>
              </w:rPr>
              <w:t>Rabdosia lophanthoides</w:t>
            </w:r>
            <w:r>
              <w:rPr>
                <w:rFonts w:hint="default" w:ascii="Times New Roman" w:hAnsi="Times New Roman" w:eastAsia="宋体" w:cs="Times New Roman"/>
                <w:color w:val="auto"/>
                <w:sz w:val="24"/>
                <w:szCs w:val="24"/>
              </w:rPr>
              <w:t>、黄背草</w:t>
            </w:r>
            <w:r>
              <w:rPr>
                <w:rFonts w:hint="default" w:ascii="Times New Roman" w:hAnsi="Times New Roman" w:eastAsia="宋体" w:cs="Times New Roman"/>
                <w:i/>
                <w:color w:val="auto"/>
                <w:sz w:val="24"/>
                <w:szCs w:val="24"/>
              </w:rPr>
              <w:t>Themeda triandra</w:t>
            </w:r>
            <w:r>
              <w:rPr>
                <w:rFonts w:hint="default" w:ascii="Times New Roman" w:hAnsi="Times New Roman" w:eastAsia="宋体" w:cs="Times New Roman"/>
                <w:color w:val="auto"/>
                <w:sz w:val="24"/>
                <w:szCs w:val="24"/>
              </w:rPr>
              <w:t>、肖笼鸡</w:t>
            </w:r>
            <w:r>
              <w:rPr>
                <w:rFonts w:hint="default" w:ascii="Times New Roman" w:hAnsi="Times New Roman" w:eastAsia="宋体" w:cs="Times New Roman"/>
                <w:i/>
                <w:color w:val="auto"/>
                <w:sz w:val="24"/>
                <w:szCs w:val="24"/>
              </w:rPr>
              <w:t>Tarphochlamys affinis</w:t>
            </w:r>
            <w:r>
              <w:rPr>
                <w:rFonts w:hint="default" w:ascii="Times New Roman" w:hAnsi="Times New Roman" w:eastAsia="宋体" w:cs="Times New Roman"/>
                <w:color w:val="auto"/>
                <w:sz w:val="24"/>
                <w:szCs w:val="24"/>
              </w:rPr>
              <w:t>等。</w:t>
            </w:r>
          </w:p>
          <w:p w14:paraId="2F64BBBA">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由于受人为破坏强度大，群落中缺少大型木质藤本植物和附生植物，仅有一种藤本植物，即蓝叶藤</w:t>
            </w:r>
            <w:r>
              <w:rPr>
                <w:rFonts w:hint="default" w:ascii="Times New Roman" w:hAnsi="Times New Roman" w:eastAsia="宋体" w:cs="Times New Roman"/>
                <w:i/>
                <w:color w:val="auto"/>
                <w:sz w:val="24"/>
                <w:szCs w:val="24"/>
              </w:rPr>
              <w:t>Marsdenia tinctoria</w:t>
            </w:r>
            <w:r>
              <w:rPr>
                <w:rFonts w:hint="default" w:ascii="Times New Roman" w:hAnsi="Times New Roman" w:eastAsia="宋体" w:cs="Times New Roman"/>
                <w:color w:val="auto"/>
                <w:sz w:val="24"/>
                <w:szCs w:val="24"/>
              </w:rPr>
              <w:t>。</w:t>
            </w:r>
          </w:p>
          <w:p w14:paraId="03466B23">
            <w:pPr>
              <w:pStyle w:val="50"/>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C、</w:t>
            </w:r>
            <w:r>
              <w:rPr>
                <w:rFonts w:hint="default" w:ascii="Times New Roman" w:hAnsi="Times New Roman" w:eastAsia="宋体" w:cs="Times New Roman"/>
                <w:color w:val="auto"/>
              </w:rPr>
              <w:t>热性稀树灌草丛</w:t>
            </w:r>
          </w:p>
          <w:p w14:paraId="45CD17FC">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评价区内的稀树灌草丛主要位于项目西北部及东南部，群落中乔木极少，以灌木为主，稀树灌草</w:t>
            </w:r>
            <w:r>
              <w:rPr>
                <w:rFonts w:hint="eastAsia" w:ascii="Times New Roman" w:hAnsi="Times New Roman" w:eastAsia="宋体" w:cs="Times New Roman"/>
                <w:color w:val="auto"/>
                <w:sz w:val="24"/>
                <w:szCs w:val="24"/>
                <w:lang w:val="en-US" w:eastAsia="zh-CN"/>
              </w:rPr>
              <w:t>较多的地方</w:t>
            </w:r>
            <w:r>
              <w:rPr>
                <w:rFonts w:hint="default" w:ascii="Times New Roman" w:hAnsi="Times New Roman" w:eastAsia="宋体" w:cs="Times New Roman"/>
                <w:color w:val="auto"/>
                <w:sz w:val="24"/>
                <w:szCs w:val="24"/>
              </w:rPr>
              <w:t>灌木层盖度约为20%，稀树灌草</w:t>
            </w:r>
            <w:r>
              <w:rPr>
                <w:rFonts w:hint="eastAsia" w:ascii="Times New Roman" w:hAnsi="Times New Roman" w:eastAsia="宋体" w:cs="Times New Roman"/>
                <w:color w:val="auto"/>
                <w:sz w:val="24"/>
                <w:szCs w:val="24"/>
                <w:lang w:val="en-US" w:eastAsia="zh-CN"/>
              </w:rPr>
              <w:t>较少的地方</w:t>
            </w:r>
            <w:r>
              <w:rPr>
                <w:rFonts w:hint="default" w:ascii="Times New Roman" w:hAnsi="Times New Roman" w:eastAsia="宋体" w:cs="Times New Roman"/>
                <w:color w:val="auto"/>
                <w:sz w:val="24"/>
                <w:szCs w:val="24"/>
              </w:rPr>
              <w:t>灌木层盖度约为</w:t>
            </w:r>
            <w:r>
              <w:rPr>
                <w:rFonts w:hint="eastAsia" w:ascii="Times New Roman" w:hAnsi="Times New Roman" w:eastAsia="宋体" w:cs="Times New Roman"/>
                <w:color w:val="auto"/>
                <w:sz w:val="24"/>
                <w:szCs w:val="24"/>
                <w:lang w:val="en-US" w:eastAsia="zh-CN"/>
              </w:rPr>
              <w:t>5%~1</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高度2~5m，灌木种类不多，主要以红木荷</w:t>
            </w:r>
            <w:r>
              <w:rPr>
                <w:rFonts w:hint="default" w:ascii="Times New Roman" w:hAnsi="Times New Roman" w:eastAsia="宋体" w:cs="Times New Roman"/>
                <w:i/>
                <w:color w:val="auto"/>
                <w:sz w:val="24"/>
                <w:szCs w:val="24"/>
              </w:rPr>
              <w:t>Schima wallichii</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kern w:val="0"/>
                <w:sz w:val="24"/>
                <w:szCs w:val="24"/>
              </w:rPr>
              <w:t>白穗石栎</w:t>
            </w:r>
            <w:r>
              <w:rPr>
                <w:rFonts w:hint="default" w:ascii="Times New Roman" w:hAnsi="Times New Roman" w:eastAsia="宋体" w:cs="Times New Roman"/>
                <w:i/>
                <w:iCs/>
                <w:color w:val="auto"/>
                <w:kern w:val="0"/>
                <w:sz w:val="24"/>
                <w:szCs w:val="24"/>
              </w:rPr>
              <w:t>Lithocarpus craibianus</w:t>
            </w:r>
            <w:r>
              <w:rPr>
                <w:rFonts w:hint="default" w:ascii="Times New Roman" w:hAnsi="Times New Roman" w:eastAsia="宋体" w:cs="Times New Roman"/>
                <w:color w:val="auto"/>
                <w:sz w:val="24"/>
                <w:szCs w:val="24"/>
              </w:rPr>
              <w:t>为优势种，也有七里香</w:t>
            </w:r>
            <w:r>
              <w:rPr>
                <w:rFonts w:hint="default" w:ascii="Times New Roman" w:hAnsi="Times New Roman" w:eastAsia="宋体" w:cs="Times New Roman"/>
                <w:i/>
                <w:color w:val="auto"/>
                <w:sz w:val="24"/>
                <w:szCs w:val="24"/>
              </w:rPr>
              <w:t>Buddleja asiatica</w:t>
            </w:r>
            <w:r>
              <w:rPr>
                <w:rFonts w:hint="default" w:ascii="Times New Roman" w:hAnsi="Times New Roman" w:eastAsia="宋体" w:cs="Times New Roman"/>
                <w:color w:val="auto"/>
                <w:sz w:val="24"/>
                <w:szCs w:val="24"/>
              </w:rPr>
              <w:t>、水茄</w:t>
            </w:r>
            <w:r>
              <w:rPr>
                <w:rFonts w:hint="default" w:ascii="Times New Roman" w:hAnsi="Times New Roman" w:eastAsia="宋体" w:cs="Times New Roman"/>
                <w:i/>
                <w:color w:val="auto"/>
                <w:sz w:val="24"/>
                <w:szCs w:val="24"/>
              </w:rPr>
              <w:t>Solanum torvum</w:t>
            </w:r>
            <w:r>
              <w:rPr>
                <w:rFonts w:hint="default" w:ascii="Times New Roman" w:hAnsi="Times New Roman" w:eastAsia="宋体" w:cs="Times New Roman"/>
                <w:color w:val="auto"/>
                <w:sz w:val="24"/>
                <w:szCs w:val="24"/>
              </w:rPr>
              <w:t>、洗碗叶</w:t>
            </w:r>
            <w:r>
              <w:rPr>
                <w:rFonts w:hint="default" w:ascii="Times New Roman" w:hAnsi="Times New Roman" w:eastAsia="宋体" w:cs="Times New Roman"/>
                <w:i/>
                <w:color w:val="auto"/>
                <w:sz w:val="24"/>
                <w:szCs w:val="24"/>
              </w:rPr>
              <w:t>Solanum verbascifolium</w:t>
            </w:r>
            <w:r>
              <w:rPr>
                <w:rFonts w:hint="default" w:ascii="Times New Roman" w:hAnsi="Times New Roman" w:eastAsia="宋体" w:cs="Times New Roman"/>
                <w:color w:val="auto"/>
                <w:sz w:val="24"/>
                <w:szCs w:val="24"/>
              </w:rPr>
              <w:t>等。</w:t>
            </w:r>
          </w:p>
          <w:p w14:paraId="42BBBDFB">
            <w:pPr>
              <w:widowControl/>
              <w:spacing w:line="360" w:lineRule="auto"/>
              <w:ind w:firstLine="480" w:firstLineChars="200"/>
              <w:rPr>
                <w:rFonts w:hint="default" w:ascii="Times New Roman" w:hAnsi="Times New Roman" w:eastAsia="宋体" w:cs="Times New Roman"/>
                <w:i/>
                <w:color w:val="auto"/>
                <w:sz w:val="24"/>
                <w:szCs w:val="24"/>
              </w:rPr>
            </w:pPr>
            <w:r>
              <w:rPr>
                <w:rFonts w:hint="default" w:ascii="Times New Roman" w:hAnsi="Times New Roman" w:eastAsia="宋体" w:cs="Times New Roman"/>
                <w:color w:val="auto"/>
                <w:sz w:val="24"/>
                <w:szCs w:val="24"/>
              </w:rPr>
              <w:t>草本层十分茂盛，层盖度达到100%，种类相对较单一，高度0.5~2m，主要是以外来紫茎泽兰</w:t>
            </w:r>
            <w:r>
              <w:rPr>
                <w:rFonts w:hint="default" w:ascii="Times New Roman" w:hAnsi="Times New Roman" w:eastAsia="宋体" w:cs="Times New Roman"/>
                <w:i/>
                <w:color w:val="auto"/>
                <w:sz w:val="24"/>
                <w:szCs w:val="24"/>
              </w:rPr>
              <w:t>Ageratina adenophora</w:t>
            </w:r>
            <w:r>
              <w:rPr>
                <w:rFonts w:hint="default" w:ascii="Times New Roman" w:hAnsi="Times New Roman" w:eastAsia="宋体" w:cs="Times New Roman"/>
                <w:color w:val="auto"/>
                <w:sz w:val="24"/>
                <w:szCs w:val="24"/>
              </w:rPr>
              <w:t>和香泽兰</w:t>
            </w:r>
            <w:r>
              <w:rPr>
                <w:rFonts w:hint="default" w:ascii="Times New Roman" w:hAnsi="Times New Roman" w:eastAsia="宋体" w:cs="Times New Roman"/>
                <w:i/>
                <w:color w:val="auto"/>
                <w:sz w:val="24"/>
                <w:szCs w:val="24"/>
              </w:rPr>
              <w:t>Chromolaena odorata</w:t>
            </w:r>
            <w:r>
              <w:rPr>
                <w:rFonts w:hint="default" w:ascii="Times New Roman" w:hAnsi="Times New Roman" w:eastAsia="宋体" w:cs="Times New Roman"/>
                <w:color w:val="auto"/>
                <w:sz w:val="24"/>
                <w:szCs w:val="24"/>
              </w:rPr>
              <w:t>为优势，肿柄菊尤其多，说明当地原生植被破坏十分严重，导致外来种入侵。其他种类还有棕叶芦</w:t>
            </w:r>
            <w:r>
              <w:rPr>
                <w:rFonts w:hint="default" w:ascii="Times New Roman" w:hAnsi="Times New Roman" w:eastAsia="宋体" w:cs="Times New Roman"/>
                <w:i/>
                <w:color w:val="auto"/>
                <w:sz w:val="24"/>
                <w:szCs w:val="24"/>
              </w:rPr>
              <w:t>Thysanolaena maxima</w:t>
            </w:r>
            <w:r>
              <w:rPr>
                <w:rFonts w:hint="default" w:ascii="Times New Roman" w:hAnsi="Times New Roman" w:eastAsia="宋体" w:cs="Times New Roman"/>
                <w:color w:val="auto"/>
                <w:sz w:val="24"/>
                <w:szCs w:val="24"/>
              </w:rPr>
              <w:t>、白花苋</w:t>
            </w:r>
            <w:r>
              <w:rPr>
                <w:rFonts w:hint="default" w:ascii="Times New Roman" w:hAnsi="Times New Roman" w:eastAsia="宋体" w:cs="Times New Roman"/>
                <w:i/>
                <w:color w:val="auto"/>
                <w:sz w:val="24"/>
                <w:szCs w:val="24"/>
              </w:rPr>
              <w:t>Aerva sanguinolenta</w:t>
            </w:r>
            <w:r>
              <w:rPr>
                <w:rFonts w:hint="default" w:ascii="Times New Roman" w:hAnsi="Times New Roman" w:eastAsia="宋体" w:cs="Times New Roman"/>
                <w:color w:val="auto"/>
                <w:sz w:val="24"/>
                <w:szCs w:val="24"/>
              </w:rPr>
              <w:t>、三叶鬼针草</w:t>
            </w:r>
            <w:r>
              <w:rPr>
                <w:rFonts w:hint="default" w:ascii="Times New Roman" w:hAnsi="Times New Roman" w:eastAsia="宋体" w:cs="Times New Roman"/>
                <w:i/>
                <w:color w:val="auto"/>
                <w:sz w:val="24"/>
                <w:szCs w:val="24"/>
              </w:rPr>
              <w:t xml:space="preserve">Bidens pilosa </w:t>
            </w:r>
            <w:r>
              <w:rPr>
                <w:rFonts w:hint="default" w:ascii="Times New Roman" w:hAnsi="Times New Roman" w:eastAsia="宋体" w:cs="Times New Roman"/>
                <w:color w:val="auto"/>
                <w:sz w:val="24"/>
                <w:szCs w:val="24"/>
              </w:rPr>
              <w:t>var.</w:t>
            </w:r>
            <w:r>
              <w:rPr>
                <w:rFonts w:hint="default" w:ascii="Times New Roman" w:hAnsi="Times New Roman" w:eastAsia="宋体" w:cs="Times New Roman"/>
                <w:i/>
                <w:color w:val="auto"/>
                <w:sz w:val="24"/>
                <w:szCs w:val="24"/>
              </w:rPr>
              <w:t xml:space="preserve"> radiata</w:t>
            </w:r>
            <w:r>
              <w:rPr>
                <w:rFonts w:hint="default" w:ascii="Times New Roman" w:hAnsi="Times New Roman" w:eastAsia="宋体" w:cs="Times New Roman"/>
                <w:color w:val="auto"/>
                <w:sz w:val="24"/>
                <w:szCs w:val="24"/>
              </w:rPr>
              <w:t>、飞蓬</w:t>
            </w:r>
            <w:r>
              <w:rPr>
                <w:rFonts w:hint="default" w:ascii="Times New Roman" w:hAnsi="Times New Roman" w:eastAsia="宋体" w:cs="Times New Roman"/>
                <w:i/>
                <w:color w:val="auto"/>
                <w:sz w:val="24"/>
                <w:szCs w:val="24"/>
              </w:rPr>
              <w:t>Conyza canadensis</w:t>
            </w:r>
            <w:r>
              <w:rPr>
                <w:rFonts w:hint="default" w:ascii="Times New Roman" w:hAnsi="Times New Roman" w:eastAsia="宋体" w:cs="Times New Roman"/>
                <w:color w:val="auto"/>
                <w:sz w:val="24"/>
                <w:szCs w:val="24"/>
              </w:rPr>
              <w:t>、球穗香薷</w:t>
            </w:r>
            <w:r>
              <w:rPr>
                <w:rFonts w:hint="default" w:ascii="Times New Roman" w:hAnsi="Times New Roman" w:eastAsia="宋体" w:cs="Times New Roman"/>
                <w:i/>
                <w:color w:val="auto"/>
                <w:sz w:val="24"/>
                <w:szCs w:val="24"/>
              </w:rPr>
              <w:t>Elsholtzia strobilifera</w:t>
            </w:r>
            <w:r>
              <w:rPr>
                <w:rFonts w:hint="default" w:ascii="Times New Roman" w:hAnsi="Times New Roman" w:eastAsia="宋体" w:cs="Times New Roman"/>
                <w:color w:val="auto"/>
                <w:sz w:val="24"/>
                <w:szCs w:val="24"/>
              </w:rPr>
              <w:t>、臭灵丹</w:t>
            </w:r>
            <w:r>
              <w:rPr>
                <w:rFonts w:hint="default" w:ascii="Times New Roman" w:hAnsi="Times New Roman" w:eastAsia="宋体" w:cs="Times New Roman"/>
                <w:i/>
                <w:color w:val="auto"/>
                <w:sz w:val="24"/>
                <w:szCs w:val="24"/>
              </w:rPr>
              <w:t>Laggera alata</w:t>
            </w:r>
            <w:r>
              <w:rPr>
                <w:rFonts w:hint="default" w:ascii="Times New Roman" w:hAnsi="Times New Roman" w:eastAsia="宋体" w:cs="Times New Roman"/>
                <w:color w:val="auto"/>
                <w:sz w:val="24"/>
                <w:szCs w:val="24"/>
              </w:rPr>
              <w:t>等，但数量很少。</w:t>
            </w:r>
          </w:p>
          <w:p w14:paraId="62CFECBE">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由于受人为破坏强度大，群落中缺少大型木质藤本植物和附生植物，仅有两种草质藤本植物，即虫豆</w:t>
            </w:r>
            <w:r>
              <w:rPr>
                <w:rFonts w:hint="default" w:ascii="Times New Roman" w:hAnsi="Times New Roman" w:eastAsia="宋体" w:cs="Times New Roman"/>
                <w:i/>
                <w:color w:val="auto"/>
                <w:sz w:val="24"/>
                <w:szCs w:val="24"/>
              </w:rPr>
              <w:t>Atylosia mollis</w:t>
            </w:r>
            <w:r>
              <w:rPr>
                <w:rFonts w:hint="default" w:ascii="Times New Roman" w:hAnsi="Times New Roman" w:eastAsia="宋体" w:cs="Times New Roman"/>
                <w:color w:val="auto"/>
                <w:sz w:val="24"/>
                <w:szCs w:val="24"/>
              </w:rPr>
              <w:t>、飞蛾藤</w:t>
            </w:r>
            <w:r>
              <w:rPr>
                <w:rFonts w:hint="default" w:ascii="Times New Roman" w:hAnsi="Times New Roman" w:eastAsia="宋体" w:cs="Times New Roman"/>
                <w:i/>
                <w:color w:val="auto"/>
                <w:sz w:val="24"/>
                <w:szCs w:val="24"/>
              </w:rPr>
              <w:t>Porana racemosa</w:t>
            </w:r>
            <w:r>
              <w:rPr>
                <w:rFonts w:hint="default" w:ascii="Times New Roman" w:hAnsi="Times New Roman" w:eastAsia="宋体" w:cs="Times New Roman"/>
                <w:color w:val="auto"/>
                <w:sz w:val="24"/>
                <w:szCs w:val="24"/>
              </w:rPr>
              <w:t>。</w:t>
            </w:r>
          </w:p>
          <w:p w14:paraId="497AA6CE">
            <w:pPr>
              <w:pStyle w:val="5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②人工植被</w:t>
            </w:r>
          </w:p>
          <w:p w14:paraId="49AD49F8">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评价区的人工植被可主要为农田植被（旱地植被），人工植被由其生产目标所确定，首先，人工植被是单优的人工群落，通常其培育树种的密度较大，林下物种和数量较少；其次，由于每年一次或多次不断的进行人为管理活动，包括砍灌、除草、施肥等，使本来不多的物种和及数量，变得更少了。因此上述各种人工林下的生物多样性都是十分贫乏的。</w:t>
            </w:r>
          </w:p>
          <w:p w14:paraId="79BC7A8C">
            <w:pPr>
              <w:widowControl/>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该评价区的农田植被主要为旱地植被，主要种植玉米、土豆、甘蔗、玉米、油菜等。</w:t>
            </w:r>
          </w:p>
          <w:p w14:paraId="7EA841E3">
            <w:pPr>
              <w:pStyle w:val="5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③珍稀物种</w:t>
            </w:r>
          </w:p>
          <w:p w14:paraId="79EF30E6">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经调查，评价区范围内未发现野生的国家或省级珍稀保护植物物种。</w:t>
            </w:r>
          </w:p>
          <w:p w14:paraId="125C8EE4">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根据调查，项目区受人为活动的长期影响，原生植被已大量遭受破坏，次生植被及人工植被大量增加。自然植被主要为季风常绿阔叶林、旱冬瓜灌丛、热性稀树灌木草丛，人工植被主要为茶园及旱地植被。评价区范围内未发现野生的国家或省级珍稀保护植物物种、地方特有种及名木古树。</w:t>
            </w:r>
          </w:p>
          <w:p w14:paraId="36D151E0">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1"/>
                <w:szCs w:val="21"/>
                <w:lang w:val="en-US" w:eastAsia="zh-CN" w:bidi="ar"/>
              </w:rPr>
              <w:t>通过现场调查，项目场地现状植被发育良好，类型为常绿针叶林以及草甸，地被植物为黑麦草和白三叶等，低矮灌木有金丝桃等，乔木为华山松等。乔木层覆盖度约为</w:t>
            </w:r>
            <w:r>
              <w:rPr>
                <w:rFonts w:hint="eastAsia" w:ascii="Times New Roman" w:hAnsi="Times New Roman" w:eastAsia="宋体" w:cs="Times New Roman"/>
                <w:snapToGrid w:val="0"/>
                <w:color w:val="auto"/>
                <w:spacing w:val="-1"/>
                <w:szCs w:val="21"/>
                <w:lang w:val="en-US" w:eastAsia="zh-CN" w:bidi="ar"/>
              </w:rPr>
              <w:t>30~</w:t>
            </w:r>
            <w:r>
              <w:rPr>
                <w:rFonts w:hint="default" w:ascii="Times New Roman" w:hAnsi="Times New Roman" w:eastAsia="宋体" w:cs="Times New Roman"/>
                <w:snapToGrid w:val="0"/>
                <w:color w:val="auto"/>
                <w:spacing w:val="-1"/>
                <w:szCs w:val="21"/>
                <w:lang w:val="en-US" w:eastAsia="zh-CN" w:bidi="ar"/>
              </w:rPr>
              <w:t>40%，灌木层覆盖度</w:t>
            </w:r>
            <w:r>
              <w:rPr>
                <w:rFonts w:hint="eastAsia" w:ascii="Times New Roman" w:hAnsi="Times New Roman" w:eastAsia="宋体" w:cs="Times New Roman"/>
                <w:snapToGrid w:val="0"/>
                <w:color w:val="auto"/>
                <w:spacing w:val="-1"/>
                <w:szCs w:val="21"/>
                <w:lang w:val="en-US" w:eastAsia="zh-CN" w:bidi="ar"/>
              </w:rPr>
              <w:t>5~</w:t>
            </w:r>
            <w:r>
              <w:rPr>
                <w:rFonts w:hint="default" w:ascii="Times New Roman" w:hAnsi="Times New Roman" w:eastAsia="宋体" w:cs="Times New Roman"/>
                <w:snapToGrid w:val="0"/>
                <w:color w:val="auto"/>
                <w:spacing w:val="-1"/>
                <w:szCs w:val="21"/>
                <w:lang w:val="en-US" w:eastAsia="zh-CN" w:bidi="ar"/>
              </w:rPr>
              <w:t>30%</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草本层</w:t>
            </w:r>
            <w:r>
              <w:rPr>
                <w:rFonts w:hint="eastAsia" w:ascii="Times New Roman" w:hAnsi="Times New Roman" w:eastAsia="宋体" w:cs="Times New Roman"/>
                <w:snapToGrid w:val="0"/>
                <w:color w:val="auto"/>
                <w:spacing w:val="-1"/>
                <w:szCs w:val="21"/>
                <w:lang w:val="en-US" w:eastAsia="zh-CN" w:bidi="ar"/>
              </w:rPr>
              <w:t>覆盖</w:t>
            </w:r>
            <w:r>
              <w:rPr>
                <w:rFonts w:hint="default" w:ascii="Times New Roman" w:hAnsi="Times New Roman" w:eastAsia="宋体" w:cs="Times New Roman"/>
                <w:snapToGrid w:val="0"/>
                <w:color w:val="auto"/>
                <w:spacing w:val="-1"/>
                <w:szCs w:val="21"/>
                <w:lang w:val="en-US" w:eastAsia="zh-CN" w:bidi="ar"/>
              </w:rPr>
              <w:t>度大，约为70</w:t>
            </w:r>
            <w:r>
              <w:rPr>
                <w:rFonts w:hint="eastAsia" w:ascii="Times New Roman" w:hAnsi="Times New Roman" w:eastAsia="宋体" w:cs="Times New Roman"/>
                <w:snapToGrid w:val="0"/>
                <w:color w:val="auto"/>
                <w:spacing w:val="-1"/>
                <w:szCs w:val="21"/>
                <w:lang w:val="en-US" w:eastAsia="zh-CN" w:bidi="ar"/>
              </w:rPr>
              <w:t>~100</w:t>
            </w:r>
            <w:r>
              <w:rPr>
                <w:rFonts w:hint="default" w:ascii="Times New Roman" w:hAnsi="Times New Roman" w:eastAsia="宋体" w:cs="Times New Roman"/>
                <w:snapToGrid w:val="0"/>
                <w:color w:val="auto"/>
                <w:spacing w:val="-1"/>
                <w:szCs w:val="21"/>
                <w:lang w:val="en-US" w:eastAsia="zh-CN" w:bidi="ar"/>
              </w:rPr>
              <w:t>%</w:t>
            </w:r>
            <w:r>
              <w:rPr>
                <w:rFonts w:hint="eastAsia" w:ascii="Times New Roman" w:hAnsi="Times New Roman" w:eastAsia="宋体" w:cs="Times New Roman"/>
                <w:snapToGrid w:val="0"/>
                <w:color w:val="auto"/>
                <w:spacing w:val="-1"/>
                <w:szCs w:val="21"/>
                <w:lang w:val="en-US" w:eastAsia="zh-CN" w:bidi="ar"/>
              </w:rPr>
              <w:t>；</w:t>
            </w:r>
            <w:r>
              <w:rPr>
                <w:rFonts w:hint="default" w:ascii="Times New Roman" w:hAnsi="Times New Roman" w:eastAsia="宋体" w:cs="Times New Roman"/>
                <w:snapToGrid w:val="0"/>
                <w:color w:val="auto"/>
                <w:spacing w:val="-1"/>
                <w:szCs w:val="21"/>
                <w:lang w:val="en-US" w:eastAsia="zh-CN" w:bidi="ar"/>
              </w:rPr>
              <w:t>整个区域内生物多样性一般。项目建设用地区域范围不属于自然保护区、风景名胜区。</w:t>
            </w:r>
          </w:p>
          <w:p w14:paraId="07F4E652">
            <w:pPr>
              <w:spacing w:line="360" w:lineRule="auto"/>
              <w:ind w:firstLine="480" w:firstLineChars="200"/>
              <w:jc w:val="left"/>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5.4</w:t>
            </w:r>
            <w:r>
              <w:rPr>
                <w:rFonts w:hint="default" w:ascii="Times New Roman" w:hAnsi="Times New Roman" w:eastAsia="宋体" w:cs="Times New Roman"/>
                <w:color w:val="auto"/>
                <w:lang w:val="en-US" w:eastAsia="zh-CN"/>
              </w:rPr>
              <w:t xml:space="preserve"> 陆生脊椎动物现状</w:t>
            </w:r>
          </w:p>
          <w:p w14:paraId="766DA684">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snapToGrid w:val="0"/>
                <w:color w:val="auto"/>
                <w:spacing w:val="-2"/>
                <w:szCs w:val="21"/>
                <w:lang w:val="en-US" w:eastAsia="zh-CN" w:bidi="ar"/>
              </w:rPr>
              <w:t>①</w:t>
            </w:r>
            <w:r>
              <w:rPr>
                <w:rFonts w:hint="default" w:ascii="Times New Roman" w:hAnsi="Times New Roman" w:eastAsia="宋体" w:cs="Times New Roman"/>
                <w:color w:val="auto"/>
                <w:spacing w:val="-4"/>
                <w:szCs w:val="22"/>
                <w:lang w:val="en-US" w:eastAsia="zh-CN" w:bidi="ar"/>
              </w:rPr>
              <w:t>两栖类</w:t>
            </w:r>
          </w:p>
          <w:p w14:paraId="385D1602">
            <w:pPr>
              <w:pStyle w:val="20"/>
              <w:widowControl w:val="0"/>
              <w:autoSpaceDE w:val="0"/>
              <w:autoSpaceDN w:val="0"/>
              <w:adjustRightInd w:val="0"/>
              <w:snapToGrid w:val="0"/>
              <w:spacing w:before="0" w:beforeAutospacing="0" w:after="0" w:afterAutospacing="0" w:line="360" w:lineRule="auto"/>
              <w:ind w:firstLine="476"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snapToGrid w:val="0"/>
                <w:color w:val="auto"/>
                <w:spacing w:val="-1"/>
                <w:szCs w:val="21"/>
                <w:lang w:val="en-US" w:eastAsia="zh-CN" w:bidi="ar"/>
              </w:rPr>
              <w:t>在评价区内分布较广，多分布于评价区内的池塘或水域附近。</w:t>
            </w:r>
            <w:r>
              <w:rPr>
                <w:rFonts w:hint="default" w:ascii="Times New Roman" w:hAnsi="Times New Roman" w:eastAsia="宋体" w:cs="Times New Roman"/>
                <w:snapToGrid w:val="0"/>
                <w:color w:val="auto"/>
                <w:spacing w:val="-2"/>
                <w:szCs w:val="21"/>
                <w:lang w:val="en-US" w:eastAsia="zh-CN" w:bidi="ar"/>
              </w:rPr>
              <w:t>根据调查，评价</w:t>
            </w:r>
            <w:r>
              <w:rPr>
                <w:rFonts w:hint="default" w:ascii="Times New Roman" w:hAnsi="Times New Roman" w:eastAsia="宋体" w:cs="Times New Roman"/>
                <w:snapToGrid w:val="0"/>
                <w:color w:val="auto"/>
                <w:spacing w:val="-1"/>
                <w:szCs w:val="21"/>
                <w:lang w:val="en-US" w:eastAsia="zh-CN" w:bidi="ar"/>
              </w:rPr>
              <w:t>区内分布的</w:t>
            </w:r>
            <w:r>
              <w:rPr>
                <w:rFonts w:hint="default" w:ascii="Times New Roman" w:hAnsi="Times New Roman" w:eastAsia="宋体" w:cs="Times New Roman"/>
                <w:snapToGrid w:val="0"/>
                <w:color w:val="auto"/>
                <w:spacing w:val="-2"/>
                <w:szCs w:val="21"/>
                <w:lang w:val="en-US" w:eastAsia="zh-CN" w:bidi="ar"/>
              </w:rPr>
              <w:t>两栖类主要有</w:t>
            </w:r>
            <w:r>
              <w:rPr>
                <w:rFonts w:hint="eastAsia" w:ascii="Times New Roman" w:hAnsi="Times New Roman" w:eastAsia="宋体" w:cs="Times New Roman"/>
                <w:snapToGrid w:val="0"/>
                <w:color w:val="auto"/>
                <w:spacing w:val="-2"/>
                <w:szCs w:val="21"/>
                <w:lang w:val="en-US" w:eastAsia="zh-CN" w:bidi="ar"/>
              </w:rPr>
              <w:t>大</w:t>
            </w:r>
            <w:r>
              <w:rPr>
                <w:rFonts w:hint="default" w:ascii="Times New Roman" w:hAnsi="Times New Roman" w:eastAsia="宋体" w:cs="Times New Roman"/>
                <w:snapToGrid w:val="0"/>
                <w:color w:val="auto"/>
                <w:spacing w:val="-2"/>
                <w:szCs w:val="21"/>
                <w:lang w:val="en-US" w:eastAsia="zh-CN" w:bidi="ar"/>
              </w:rPr>
              <w:t>蟾蜍</w:t>
            </w:r>
            <w:r>
              <w:rPr>
                <w:rFonts w:hint="eastAsia" w:ascii="Times New Roman" w:hAnsi="Times New Roman" w:eastAsia="宋体" w:cs="Times New Roman"/>
                <w:i/>
                <w:iCs/>
                <w:snapToGrid w:val="0"/>
                <w:color w:val="auto"/>
                <w:spacing w:val="-2"/>
                <w:szCs w:val="21"/>
                <w:lang w:val="en-US" w:eastAsia="zh-CN" w:bidi="ar"/>
              </w:rPr>
              <w:t>Bufo bufo</w:t>
            </w:r>
            <w:r>
              <w:rPr>
                <w:rFonts w:hint="default" w:ascii="Times New Roman" w:hAnsi="Times New Roman" w:eastAsia="宋体" w:cs="Times New Roman"/>
                <w:snapToGrid w:val="0"/>
                <w:color w:val="auto"/>
                <w:spacing w:val="-2"/>
                <w:szCs w:val="21"/>
                <w:lang w:val="en-US" w:eastAsia="zh-CN" w:bidi="ar"/>
              </w:rPr>
              <w:t>、高原林蛙</w:t>
            </w:r>
            <w:r>
              <w:rPr>
                <w:rFonts w:hint="default" w:ascii="Times New Roman" w:hAnsi="Times New Roman" w:eastAsia="宋体" w:cs="Times New Roman"/>
                <w:i/>
                <w:iCs/>
                <w:snapToGrid w:val="0"/>
                <w:color w:val="auto"/>
                <w:spacing w:val="-2"/>
                <w:szCs w:val="21"/>
                <w:lang w:val="en-US" w:eastAsia="zh-CN" w:bidi="ar"/>
              </w:rPr>
              <w:t>Rana kukunoris</w:t>
            </w:r>
            <w:r>
              <w:rPr>
                <w:rFonts w:hint="default" w:ascii="Times New Roman" w:hAnsi="Times New Roman" w:eastAsia="宋体" w:cs="Times New Roman"/>
                <w:snapToGrid w:val="0"/>
                <w:color w:val="auto"/>
                <w:spacing w:val="-2"/>
                <w:szCs w:val="21"/>
                <w:lang w:val="en-US" w:eastAsia="zh-CN" w:bidi="ar"/>
              </w:rPr>
              <w:t>等。</w:t>
            </w:r>
          </w:p>
          <w:p w14:paraId="3F5029A6">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②爬行类</w:t>
            </w:r>
          </w:p>
          <w:p w14:paraId="1EF69961">
            <w:pPr>
              <w:spacing w:line="360" w:lineRule="auto"/>
              <w:ind w:firstLine="472" w:firstLineChars="200"/>
              <w:jc w:val="left"/>
              <w:rPr>
                <w:rFonts w:hint="default" w:ascii="Times New Roman" w:hAnsi="Times New Roman" w:eastAsia="宋体" w:cs="Times New Roman"/>
                <w:color w:val="auto"/>
                <w:szCs w:val="24"/>
              </w:rPr>
            </w:pPr>
            <w:r>
              <w:rPr>
                <w:rFonts w:hint="default" w:ascii="Times New Roman" w:hAnsi="Times New Roman" w:eastAsia="宋体" w:cs="Times New Roman"/>
                <w:snapToGrid w:val="0"/>
                <w:color w:val="auto"/>
                <w:spacing w:val="-2"/>
                <w:kern w:val="0"/>
                <w:sz w:val="24"/>
                <w:szCs w:val="21"/>
                <w:lang w:bidi="ar"/>
              </w:rPr>
              <w:t>根据调查，评价</w:t>
            </w:r>
            <w:r>
              <w:rPr>
                <w:rFonts w:hint="default" w:ascii="Times New Roman" w:hAnsi="Times New Roman" w:eastAsia="宋体" w:cs="Times New Roman"/>
                <w:snapToGrid w:val="0"/>
                <w:color w:val="auto"/>
                <w:spacing w:val="-1"/>
                <w:kern w:val="0"/>
                <w:sz w:val="24"/>
                <w:szCs w:val="21"/>
                <w:lang w:bidi="ar"/>
              </w:rPr>
              <w:t>区内分布的</w:t>
            </w:r>
            <w:r>
              <w:rPr>
                <w:rFonts w:hint="default" w:ascii="Times New Roman" w:hAnsi="Times New Roman" w:eastAsia="宋体" w:cs="Times New Roman"/>
                <w:snapToGrid w:val="0"/>
                <w:color w:val="auto"/>
                <w:spacing w:val="-2"/>
                <w:kern w:val="0"/>
                <w:sz w:val="24"/>
                <w:szCs w:val="21"/>
                <w:lang w:bidi="ar"/>
              </w:rPr>
              <w:t>爬行类主要有大壁虎</w:t>
            </w:r>
            <w:r>
              <w:rPr>
                <w:rFonts w:hint="default" w:ascii="Times New Roman" w:hAnsi="Times New Roman" w:eastAsia="宋体" w:cs="Times New Roman"/>
                <w:i/>
                <w:color w:val="auto"/>
                <w:kern w:val="2"/>
                <w:sz w:val="24"/>
                <w:szCs w:val="24"/>
                <w:lang w:val="en-US" w:eastAsia="zh-CN" w:bidi="ar-SA"/>
              </w:rPr>
              <w:t>Gekko gecko</w:t>
            </w:r>
            <w:r>
              <w:rPr>
                <w:rFonts w:hint="default" w:ascii="Times New Roman" w:hAnsi="Times New Roman" w:eastAsia="宋体" w:cs="Times New Roman"/>
                <w:snapToGrid w:val="0"/>
                <w:color w:val="auto"/>
                <w:spacing w:val="-2"/>
                <w:kern w:val="0"/>
                <w:sz w:val="24"/>
                <w:szCs w:val="21"/>
                <w:lang w:bidi="ar"/>
              </w:rPr>
              <w:t>、滇西蛇</w:t>
            </w:r>
            <w:r>
              <w:rPr>
                <w:rFonts w:hint="default" w:ascii="Times New Roman" w:hAnsi="Times New Roman" w:eastAsia="宋体" w:cs="Times New Roman"/>
                <w:i/>
                <w:color w:val="auto"/>
                <w:kern w:val="2"/>
                <w:sz w:val="24"/>
                <w:szCs w:val="24"/>
                <w:lang w:val="en-US" w:eastAsia="zh-CN" w:bidi="ar-SA"/>
              </w:rPr>
              <w:t>Atretium yunnanensis</w:t>
            </w:r>
            <w:r>
              <w:rPr>
                <w:rFonts w:hint="default" w:ascii="Times New Roman" w:hAnsi="Times New Roman" w:eastAsia="宋体" w:cs="Times New Roman"/>
                <w:snapToGrid w:val="0"/>
                <w:color w:val="auto"/>
                <w:spacing w:val="-2"/>
                <w:kern w:val="0"/>
                <w:sz w:val="24"/>
                <w:szCs w:val="21"/>
                <w:lang w:bidi="ar"/>
              </w:rPr>
              <w:t>、过树蛇</w:t>
            </w:r>
            <w:r>
              <w:rPr>
                <w:rFonts w:hint="default" w:ascii="Times New Roman" w:hAnsi="Times New Roman" w:eastAsia="宋体" w:cs="Times New Roman"/>
                <w:i/>
                <w:color w:val="auto"/>
                <w:kern w:val="2"/>
                <w:sz w:val="24"/>
                <w:szCs w:val="24"/>
                <w:lang w:val="en-US" w:eastAsia="zh-CN" w:bidi="ar-SA"/>
              </w:rPr>
              <w:t>Dendrelaphis pictus</w:t>
            </w:r>
            <w:r>
              <w:rPr>
                <w:rFonts w:hint="default" w:ascii="Times New Roman" w:hAnsi="Times New Roman" w:eastAsia="宋体" w:cs="Times New Roman"/>
                <w:snapToGrid w:val="0"/>
                <w:color w:val="auto"/>
                <w:spacing w:val="-2"/>
                <w:kern w:val="0"/>
                <w:sz w:val="24"/>
                <w:szCs w:val="21"/>
                <w:lang w:bidi="ar"/>
              </w:rPr>
              <w:t>等，</w:t>
            </w:r>
            <w:r>
              <w:rPr>
                <w:rFonts w:hint="default" w:ascii="Times New Roman" w:hAnsi="Times New Roman" w:eastAsia="宋体" w:cs="Times New Roman"/>
                <w:bCs/>
                <w:color w:val="auto"/>
                <w:kern w:val="0"/>
                <w:sz w:val="24"/>
                <w:szCs w:val="24"/>
                <w:lang w:bidi="ar"/>
              </w:rPr>
              <w:t>其分布范围主要为林地、灌丛、草丛等。</w:t>
            </w:r>
          </w:p>
          <w:p w14:paraId="70669446">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color w:val="auto"/>
                <w:spacing w:val="-4"/>
                <w:szCs w:val="22"/>
                <w:lang w:val="en-US" w:eastAsia="zh-CN" w:bidi="ar"/>
              </w:rPr>
            </w:pPr>
            <w:r>
              <w:rPr>
                <w:rFonts w:hint="default" w:ascii="Times New Roman" w:hAnsi="Times New Roman" w:eastAsia="宋体" w:cs="Times New Roman"/>
                <w:color w:val="auto"/>
                <w:spacing w:val="-4"/>
                <w:szCs w:val="22"/>
                <w:lang w:val="en-US" w:eastAsia="zh-CN" w:bidi="ar"/>
              </w:rPr>
              <w:t>③鸟类</w:t>
            </w:r>
          </w:p>
          <w:p w14:paraId="60E2C9ED">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2"/>
                <w:szCs w:val="21"/>
                <w:lang w:val="en-US" w:eastAsia="zh-CN" w:bidi="ar"/>
              </w:rPr>
              <w:t>根据调查，评价</w:t>
            </w:r>
            <w:r>
              <w:rPr>
                <w:rFonts w:hint="default" w:ascii="Times New Roman" w:hAnsi="Times New Roman" w:eastAsia="宋体" w:cs="Times New Roman"/>
                <w:snapToGrid w:val="0"/>
                <w:color w:val="auto"/>
                <w:spacing w:val="-1"/>
                <w:szCs w:val="21"/>
                <w:lang w:val="en-US" w:eastAsia="zh-CN" w:bidi="ar"/>
              </w:rPr>
              <w:t>区内分布的</w:t>
            </w:r>
            <w:r>
              <w:rPr>
                <w:rFonts w:hint="default" w:ascii="Times New Roman" w:hAnsi="Times New Roman" w:eastAsia="宋体" w:cs="Times New Roman"/>
                <w:snapToGrid w:val="0"/>
                <w:color w:val="auto"/>
                <w:spacing w:val="-2"/>
                <w:szCs w:val="21"/>
                <w:lang w:val="en-US" w:eastAsia="zh-CN" w:bidi="ar"/>
              </w:rPr>
              <w:t>鸟类主要有喜鹊</w:t>
            </w:r>
            <w:r>
              <w:rPr>
                <w:rFonts w:hint="eastAsia" w:ascii="Times New Roman" w:hAnsi="Times New Roman" w:eastAsia="宋体" w:cs="Times New Roman"/>
                <w:i/>
                <w:color w:val="auto"/>
                <w:kern w:val="2"/>
                <w:sz w:val="24"/>
                <w:szCs w:val="24"/>
                <w:lang w:val="en-US" w:eastAsia="zh-CN" w:bidi="ar-SA"/>
              </w:rPr>
              <w:t>Pica pica</w:t>
            </w:r>
            <w:r>
              <w:rPr>
                <w:rFonts w:hint="default" w:ascii="Times New Roman" w:hAnsi="Times New Roman" w:eastAsia="宋体" w:cs="Times New Roman"/>
                <w:snapToGrid w:val="0"/>
                <w:color w:val="auto"/>
                <w:spacing w:val="-2"/>
                <w:szCs w:val="21"/>
                <w:lang w:val="en-US" w:eastAsia="zh-CN" w:bidi="ar"/>
              </w:rPr>
              <w:t>、家燕</w:t>
            </w:r>
            <w:r>
              <w:rPr>
                <w:rFonts w:hint="eastAsia" w:ascii="Times New Roman" w:hAnsi="Times New Roman" w:eastAsia="宋体" w:cs="Times New Roman"/>
                <w:i/>
                <w:color w:val="auto"/>
                <w:kern w:val="2"/>
                <w:sz w:val="24"/>
                <w:szCs w:val="24"/>
                <w:lang w:val="en-US" w:eastAsia="zh-CN" w:bidi="ar-SA"/>
              </w:rPr>
              <w:t>Hirundo rustica</w:t>
            </w:r>
            <w:r>
              <w:rPr>
                <w:rFonts w:hint="default" w:ascii="Times New Roman" w:hAnsi="Times New Roman" w:eastAsia="宋体" w:cs="Times New Roman"/>
                <w:snapToGrid w:val="0"/>
                <w:color w:val="auto"/>
                <w:spacing w:val="-2"/>
                <w:szCs w:val="21"/>
                <w:lang w:val="en-US" w:eastAsia="zh-CN" w:bidi="ar"/>
              </w:rPr>
              <w:t>、麻雀</w:t>
            </w:r>
            <w:r>
              <w:rPr>
                <w:rFonts w:hint="eastAsia" w:ascii="Times New Roman" w:hAnsi="Times New Roman" w:eastAsia="宋体" w:cs="Times New Roman"/>
                <w:i/>
                <w:color w:val="auto"/>
                <w:kern w:val="2"/>
                <w:sz w:val="24"/>
                <w:szCs w:val="24"/>
                <w:lang w:val="en-US" w:eastAsia="zh-CN" w:bidi="ar-SA"/>
              </w:rPr>
              <w:t>Passer montanus</w:t>
            </w:r>
            <w:r>
              <w:rPr>
                <w:rFonts w:hint="default" w:ascii="Times New Roman" w:hAnsi="Times New Roman" w:eastAsia="宋体" w:cs="Times New Roman"/>
                <w:snapToGrid w:val="0"/>
                <w:color w:val="auto"/>
                <w:spacing w:val="-2"/>
                <w:szCs w:val="21"/>
                <w:lang w:val="en-US" w:eastAsia="zh-CN" w:bidi="ar"/>
              </w:rPr>
              <w:t>、黄鹂</w:t>
            </w:r>
            <w:r>
              <w:rPr>
                <w:rFonts w:hint="default" w:ascii="Times New Roman" w:hAnsi="Times New Roman" w:eastAsia="宋体" w:cs="Times New Roman"/>
                <w:i/>
                <w:color w:val="auto"/>
                <w:kern w:val="2"/>
                <w:sz w:val="24"/>
                <w:szCs w:val="24"/>
                <w:lang w:val="en-US" w:eastAsia="zh-CN" w:bidi="ar-SA"/>
              </w:rPr>
              <w:t>Oriolus chinensis</w:t>
            </w:r>
            <w:r>
              <w:rPr>
                <w:rFonts w:hint="default" w:ascii="Times New Roman" w:hAnsi="Times New Roman" w:eastAsia="宋体" w:cs="Times New Roman"/>
                <w:snapToGrid w:val="0"/>
                <w:color w:val="auto"/>
                <w:spacing w:val="-2"/>
                <w:szCs w:val="21"/>
                <w:lang w:val="en-US" w:eastAsia="zh-CN" w:bidi="ar"/>
              </w:rPr>
              <w:t>等。</w:t>
            </w:r>
            <w:r>
              <w:rPr>
                <w:rFonts w:hint="default" w:ascii="Times New Roman" w:hAnsi="Times New Roman" w:eastAsia="宋体" w:cs="Times New Roman"/>
                <w:bCs/>
                <w:color w:val="auto"/>
                <w:szCs w:val="24"/>
                <w:lang w:val="en-US" w:eastAsia="zh-CN" w:bidi="ar"/>
              </w:rPr>
              <w:t>其分布范围主要为林地、稀树灌木草丛、灌丛等。</w:t>
            </w:r>
          </w:p>
          <w:p w14:paraId="5911F181">
            <w:pPr>
              <w:pStyle w:val="20"/>
              <w:widowControl w:val="0"/>
              <w:autoSpaceDE w:val="0"/>
              <w:autoSpaceDN w:val="0"/>
              <w:adjustRightInd w:val="0"/>
              <w:snapToGrid w:val="0"/>
              <w:spacing w:before="0" w:beforeAutospacing="0" w:after="0" w:afterAutospacing="0" w:line="360" w:lineRule="auto"/>
              <w:ind w:firstLine="464" w:firstLineChars="200"/>
              <w:jc w:val="both"/>
              <w:rPr>
                <w:rFonts w:hint="default" w:ascii="Times New Roman" w:hAnsi="Times New Roman" w:eastAsia="宋体" w:cs="Times New Roman"/>
                <w:snapToGrid w:val="0"/>
                <w:color w:val="auto"/>
                <w:spacing w:val="-2"/>
                <w:szCs w:val="21"/>
                <w:lang w:val="en-US" w:eastAsia="zh-CN" w:bidi="ar"/>
              </w:rPr>
            </w:pPr>
            <w:r>
              <w:rPr>
                <w:rFonts w:hint="default" w:ascii="Times New Roman" w:hAnsi="Times New Roman" w:eastAsia="宋体" w:cs="Times New Roman"/>
                <w:color w:val="auto"/>
                <w:spacing w:val="-4"/>
                <w:szCs w:val="22"/>
                <w:lang w:val="en-US" w:eastAsia="zh-CN" w:bidi="ar"/>
              </w:rPr>
              <w:t>④哺乳类</w:t>
            </w:r>
          </w:p>
          <w:p w14:paraId="0C0EB0B4">
            <w:pPr>
              <w:pStyle w:val="20"/>
              <w:widowControl w:val="0"/>
              <w:autoSpaceDE w:val="0"/>
              <w:autoSpaceDN w:val="0"/>
              <w:adjustRightInd w:val="0"/>
              <w:snapToGrid w:val="0"/>
              <w:spacing w:before="0" w:beforeAutospacing="0" w:after="0" w:afterAutospacing="0" w:line="360" w:lineRule="auto"/>
              <w:ind w:firstLine="472" w:firstLineChars="200"/>
              <w:jc w:val="both"/>
              <w:rPr>
                <w:rFonts w:hint="default" w:ascii="Times New Roman" w:hAnsi="Times New Roman" w:eastAsia="宋体" w:cs="Times New Roman"/>
                <w:snapToGrid w:val="0"/>
                <w:color w:val="auto"/>
                <w:spacing w:val="-1"/>
                <w:szCs w:val="21"/>
                <w:lang w:val="en-US" w:eastAsia="zh-CN" w:bidi="ar"/>
              </w:rPr>
            </w:pPr>
            <w:r>
              <w:rPr>
                <w:rFonts w:hint="default" w:ascii="Times New Roman" w:hAnsi="Times New Roman" w:eastAsia="宋体" w:cs="Times New Roman"/>
                <w:snapToGrid w:val="0"/>
                <w:color w:val="auto"/>
                <w:spacing w:val="-2"/>
                <w:szCs w:val="21"/>
                <w:lang w:val="en-US" w:eastAsia="zh-CN" w:bidi="ar"/>
              </w:rPr>
              <w:t>根据调查，评价区内分布的哺乳类主要有</w:t>
            </w:r>
            <w:r>
              <w:rPr>
                <w:rFonts w:hint="eastAsia" w:ascii="Times New Roman" w:hAnsi="Times New Roman" w:eastAsia="宋体" w:cs="Times New Roman"/>
                <w:snapToGrid w:val="0"/>
                <w:color w:val="auto"/>
                <w:spacing w:val="-2"/>
                <w:szCs w:val="21"/>
                <w:lang w:val="en-US" w:eastAsia="zh-CN" w:bidi="ar"/>
              </w:rPr>
              <w:t>褐家鼠</w:t>
            </w:r>
            <w:r>
              <w:rPr>
                <w:rFonts w:hint="eastAsia" w:ascii="Times New Roman" w:hAnsi="Times New Roman" w:eastAsia="宋体" w:cs="Times New Roman"/>
                <w:i/>
                <w:color w:val="auto"/>
                <w:kern w:val="2"/>
                <w:sz w:val="24"/>
                <w:szCs w:val="24"/>
                <w:lang w:val="en-US" w:eastAsia="zh-CN" w:bidi="ar-SA"/>
              </w:rPr>
              <w:t>Rattus norvegicus</w:t>
            </w:r>
            <w:r>
              <w:rPr>
                <w:rFonts w:hint="default" w:ascii="Times New Roman" w:hAnsi="Times New Roman" w:eastAsia="宋体" w:cs="Times New Roman"/>
                <w:snapToGrid w:val="0"/>
                <w:color w:val="auto"/>
                <w:spacing w:val="-2"/>
                <w:szCs w:val="21"/>
                <w:lang w:val="en-US" w:eastAsia="zh-CN" w:bidi="ar"/>
              </w:rPr>
              <w:t>、</w:t>
            </w:r>
            <w:r>
              <w:rPr>
                <w:rFonts w:hint="eastAsia" w:ascii="Times New Roman" w:hAnsi="Times New Roman" w:eastAsia="宋体" w:cs="Times New Roman"/>
                <w:snapToGrid w:val="0"/>
                <w:color w:val="auto"/>
                <w:spacing w:val="-2"/>
                <w:szCs w:val="21"/>
                <w:lang w:val="en-US" w:eastAsia="zh-CN" w:bidi="ar"/>
              </w:rPr>
              <w:t>小家鼠</w:t>
            </w:r>
            <w:r>
              <w:rPr>
                <w:rFonts w:hint="eastAsia" w:ascii="Times New Roman" w:hAnsi="Times New Roman" w:eastAsia="宋体" w:cs="Times New Roman"/>
                <w:i/>
                <w:color w:val="auto"/>
                <w:kern w:val="2"/>
                <w:sz w:val="24"/>
                <w:szCs w:val="24"/>
                <w:lang w:val="en-US" w:eastAsia="zh-CN" w:bidi="ar-SA"/>
              </w:rPr>
              <w:t>Mus musculus</w:t>
            </w:r>
            <w:r>
              <w:rPr>
                <w:rFonts w:hint="default" w:ascii="Times New Roman" w:hAnsi="Times New Roman" w:eastAsia="宋体" w:cs="Times New Roman"/>
                <w:snapToGrid w:val="0"/>
                <w:color w:val="auto"/>
                <w:spacing w:val="-2"/>
                <w:szCs w:val="21"/>
                <w:lang w:val="en-US" w:eastAsia="zh-CN" w:bidi="ar"/>
              </w:rPr>
              <w:t>等啮齿类小型动物等</w:t>
            </w:r>
            <w:r>
              <w:rPr>
                <w:rFonts w:hint="default" w:ascii="Times New Roman" w:hAnsi="Times New Roman" w:eastAsia="宋体" w:cs="Times New Roman"/>
                <w:bCs/>
                <w:color w:val="auto"/>
                <w:szCs w:val="24"/>
                <w:lang w:val="en-US" w:eastAsia="zh-CN" w:bidi="ar"/>
              </w:rPr>
              <w:t>，其分布范围主要为林地、稀树灌木草丛、灌丛等</w:t>
            </w:r>
            <w:r>
              <w:rPr>
                <w:rFonts w:hint="default" w:ascii="Times New Roman" w:hAnsi="Times New Roman" w:eastAsia="宋体" w:cs="Times New Roman"/>
                <w:snapToGrid w:val="0"/>
                <w:color w:val="auto"/>
                <w:spacing w:val="-2"/>
                <w:szCs w:val="21"/>
                <w:lang w:val="en-US" w:eastAsia="zh-CN" w:bidi="ar"/>
              </w:rPr>
              <w:t>。</w:t>
            </w:r>
          </w:p>
          <w:p w14:paraId="71CC880A">
            <w:pPr>
              <w:spacing w:line="360" w:lineRule="auto"/>
              <w:ind w:firstLine="472" w:firstLineChars="20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snapToGrid w:val="0"/>
                <w:color w:val="auto"/>
                <w:spacing w:val="-2"/>
                <w:szCs w:val="21"/>
                <w:lang w:val="en-US" w:eastAsia="zh-CN" w:bidi="ar"/>
              </w:rPr>
              <w:t>经调查</w:t>
            </w:r>
            <w:r>
              <w:rPr>
                <w:rFonts w:hint="eastAsia" w:ascii="Times New Roman" w:hAnsi="Times New Roman" w:eastAsia="宋体" w:cs="Times New Roman"/>
                <w:color w:val="auto"/>
                <w:kern w:val="0"/>
                <w:szCs w:val="22"/>
                <w:lang w:val="en-US" w:eastAsia="zh-CN"/>
              </w:rPr>
              <w:t>，</w:t>
            </w:r>
            <w:r>
              <w:rPr>
                <w:rFonts w:hint="default" w:ascii="Times New Roman" w:hAnsi="Times New Roman" w:eastAsia="宋体" w:cs="Times New Roman"/>
                <w:color w:val="auto"/>
                <w:lang w:val="en-US" w:eastAsia="zh-CN"/>
              </w:rPr>
              <w:t>在评价区内未发现国家级和省级保护哺乳动物，也未发现仅分布于评价区的狭域分布物种。</w:t>
            </w:r>
          </w:p>
          <w:p w14:paraId="35BE6777">
            <w:pPr>
              <w:spacing w:line="360" w:lineRule="auto"/>
              <w:ind w:firstLine="482" w:firstLineChars="200"/>
              <w:jc w:val="left"/>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环境质量现状</w:t>
            </w:r>
          </w:p>
          <w:p w14:paraId="323F2581">
            <w:pPr>
              <w:spacing w:line="360" w:lineRule="auto"/>
              <w:ind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6.1环境空气质量现状</w:t>
            </w:r>
          </w:p>
          <w:p w14:paraId="35DFCB5A">
            <w:pPr>
              <w:adjustRightInd w:val="0"/>
              <w:snapToGrid w:val="0"/>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据现场调查</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项目区为农村区域，项目周边无工业企业。环境空气质量功能区划属于二类区，区域环境空气质量执行《环境空气质量标准》        （GB3095-2012）二级标准</w:t>
            </w:r>
            <w:r>
              <w:rPr>
                <w:rFonts w:hint="default" w:ascii="Times New Roman" w:hAnsi="Times New Roman" w:eastAsia="宋体" w:cs="Times New Roman"/>
                <w:color w:val="auto"/>
                <w:sz w:val="24"/>
                <w:szCs w:val="24"/>
                <w:lang w:val="en-US" w:eastAsia="zh-CN"/>
              </w:rPr>
              <w:t>。根据《德宏州</w:t>
            </w:r>
            <w:r>
              <w:rPr>
                <w:rFonts w:hint="default" w:ascii="Times New Roman" w:hAnsi="Times New Roman" w:eastAsia="宋体" w:cs="Times New Roman"/>
                <w:lang w:val="en-US" w:eastAsia="zh-CN"/>
              </w:rPr>
              <w:t>202</w:t>
            </w:r>
            <w:r>
              <w:rPr>
                <w:rFonts w:hint="eastAsia" w:ascii="Times New Roman" w:hAnsi="Times New Roman" w:eastAsia="宋体" w:cs="Times New Roman"/>
                <w:lang w:val="en-US" w:eastAsia="zh-CN"/>
              </w:rPr>
              <w:t>1</w:t>
            </w:r>
            <w:r>
              <w:rPr>
                <w:rFonts w:hint="default" w:ascii="Times New Roman" w:hAnsi="Times New Roman" w:eastAsia="宋体" w:cs="Times New Roman"/>
                <w:lang w:val="en-US" w:eastAsia="zh-CN"/>
              </w:rPr>
              <w:t>年环境质量状况公报》，</w:t>
            </w:r>
            <w:r>
              <w:rPr>
                <w:rFonts w:hint="eastAsia" w:ascii="Times New Roman" w:hAnsi="Times New Roman" w:eastAsia="宋体" w:cs="Times New Roman"/>
                <w:lang w:val="en-US" w:eastAsia="zh-CN"/>
              </w:rPr>
              <w:t>全州环境空气质量总体保持良好，全州5个城市年评价结果均符合《环境空气质量标准》（GB3095-2012）二级标准要求。5个城市均出现不同程度的污染天气，其中芒市污染天气主要出现在3～4月，瑞丽市污染天气主要出现在1～4月，陇川县污染天气主要出现在2～4月，盈江县污染天气主要出现在2～4月，梁河县污染天气主要出现在3～4月。与2020年相比，环境空气主要污染物呈单一型污染态势，首要污染物为细颗粒物。5个城市优良天数比率在89.6%～98.9%之间，平均优良天数比率为95.9%，较2020年下降1.9个百分点。全州累计出现轻度及以上污染天数73天（轻度污染58天，中度污染12天，重度污染3天），较2020年增加33天</w:t>
            </w:r>
            <w:r>
              <w:rPr>
                <w:rFonts w:hint="default" w:ascii="Times New Roman" w:hAnsi="Times New Roman" w:eastAsia="宋体" w:cs="Times New Roman"/>
                <w:lang w:val="en-US" w:eastAsia="zh-CN"/>
              </w:rPr>
              <w:t>。具体的监测数据见</w:t>
            </w:r>
            <w:r>
              <w:rPr>
                <w:rFonts w:hint="eastAsia" w:ascii="Times New Roman" w:hAnsi="Times New Roman" w:eastAsia="宋体" w:cs="Times New Roman"/>
                <w:lang w:val="en-US" w:eastAsia="zh-CN"/>
              </w:rPr>
              <w:t>下表</w:t>
            </w:r>
            <w:r>
              <w:rPr>
                <w:rFonts w:hint="default" w:ascii="Times New Roman" w:hAnsi="Times New Roman" w:eastAsia="宋体" w:cs="Times New Roman"/>
                <w:lang w:val="en-US" w:eastAsia="zh-CN"/>
              </w:rPr>
              <w:t>。</w:t>
            </w:r>
          </w:p>
          <w:p w14:paraId="6293F262">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 xml:space="preserve">表3-1  </w:t>
            </w:r>
            <w:r>
              <w:rPr>
                <w:rFonts w:hint="default" w:ascii="Times New Roman" w:hAnsi="Times New Roman" w:cs="Times New Roman"/>
                <w:b/>
                <w:bCs/>
                <w:sz w:val="21"/>
                <w:szCs w:val="21"/>
              </w:rPr>
              <w:t>202</w:t>
            </w:r>
            <w:r>
              <w:rPr>
                <w:rFonts w:hint="eastAsia" w:ascii="Times New Roman" w:hAnsi="Times New Roman" w:cs="Times New Roman"/>
                <w:b/>
                <w:bCs/>
                <w:sz w:val="21"/>
                <w:szCs w:val="21"/>
                <w:lang w:val="en-US" w:eastAsia="zh-CN"/>
              </w:rPr>
              <w:t>1</w:t>
            </w:r>
            <w:r>
              <w:rPr>
                <w:rFonts w:hint="default" w:ascii="Times New Roman" w:hAnsi="Times New Roman" w:cs="Times New Roman"/>
                <w:b/>
                <w:bCs/>
                <w:sz w:val="21"/>
                <w:szCs w:val="21"/>
              </w:rPr>
              <w:t xml:space="preserve"> 年德宏州</w:t>
            </w:r>
            <w:r>
              <w:rPr>
                <w:rFonts w:hint="default" w:ascii="Times New Roman" w:hAnsi="Times New Roman" w:cs="Times New Roman"/>
                <w:b/>
                <w:bCs/>
                <w:sz w:val="21"/>
                <w:szCs w:val="21"/>
                <w:lang w:val="en-US" w:eastAsia="zh-CN"/>
              </w:rPr>
              <w:t>芒</w:t>
            </w:r>
            <w:r>
              <w:rPr>
                <w:rFonts w:hint="default" w:ascii="Times New Roman" w:hAnsi="Times New Roman" w:cs="Times New Roman"/>
                <w:b/>
                <w:bCs/>
                <w:sz w:val="21"/>
                <w:szCs w:val="21"/>
              </w:rPr>
              <w:t>市城市空气监测结果</w:t>
            </w:r>
          </w:p>
          <w:tbl>
            <w:tblPr>
              <w:tblStyle w:val="22"/>
              <w:tblW w:w="790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64"/>
              <w:gridCol w:w="1052"/>
              <w:gridCol w:w="887"/>
              <w:gridCol w:w="927"/>
              <w:gridCol w:w="913"/>
              <w:gridCol w:w="996"/>
              <w:gridCol w:w="982"/>
              <w:gridCol w:w="739"/>
            </w:tblGrid>
            <w:tr w14:paraId="4E1551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tcBorders>
                    <w:tl2br w:val="nil"/>
                    <w:tr2bl w:val="nil"/>
                  </w:tcBorders>
                  <w:vAlign w:val="center"/>
                </w:tcPr>
                <w:p w14:paraId="5F56C31F">
                  <w:pPr>
                    <w:pStyle w:val="30"/>
                    <w:spacing w:before="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1"/>
                      <w:w w:val="95"/>
                      <w:sz w:val="21"/>
                      <w:szCs w:val="21"/>
                    </w:rPr>
                    <w:t>监测</w:t>
                  </w:r>
                </w:p>
                <w:p w14:paraId="4EEB4490">
                  <w:pPr>
                    <w:pStyle w:val="30"/>
                    <w:spacing w:before="43" w:line="232"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点位</w:t>
                  </w:r>
                </w:p>
              </w:tc>
              <w:tc>
                <w:tcPr>
                  <w:tcW w:w="764" w:type="dxa"/>
                  <w:tcBorders>
                    <w:tl2br w:val="nil"/>
                    <w:tr2bl w:val="nil"/>
                  </w:tcBorders>
                  <w:vAlign w:val="center"/>
                </w:tcPr>
                <w:p w14:paraId="06BF0634">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sz w:val="21"/>
                      <w:szCs w:val="21"/>
                    </w:rPr>
                    <w:t>平均时间</w:t>
                  </w:r>
                </w:p>
              </w:tc>
              <w:tc>
                <w:tcPr>
                  <w:tcW w:w="1052" w:type="dxa"/>
                  <w:tcBorders>
                    <w:tl2br w:val="nil"/>
                    <w:tr2bl w:val="nil"/>
                  </w:tcBorders>
                  <w:vAlign w:val="center"/>
                </w:tcPr>
                <w:p w14:paraId="0E096452">
                  <w:pPr>
                    <w:pStyle w:val="30"/>
                    <w:spacing w:before="48"/>
                    <w:ind w:right="199"/>
                    <w:jc w:val="center"/>
                    <w:rPr>
                      <w:rFonts w:hint="default" w:ascii="Times New Roman" w:hAnsi="Times New Roman" w:cs="Times New Roman"/>
                      <w:b/>
                      <w:bCs/>
                      <w:color w:val="auto"/>
                      <w:position w:val="2"/>
                      <w:sz w:val="21"/>
                      <w:szCs w:val="21"/>
                      <w:vertAlign w:val="subscript"/>
                    </w:rPr>
                  </w:pPr>
                  <w:r>
                    <w:rPr>
                      <w:rFonts w:hint="default" w:ascii="Times New Roman" w:hAnsi="Times New Roman" w:cs="Times New Roman"/>
                      <w:b/>
                      <w:bCs/>
                      <w:color w:val="auto"/>
                      <w:position w:val="2"/>
                      <w:sz w:val="21"/>
                      <w:szCs w:val="21"/>
                    </w:rPr>
                    <w:t>SO</w:t>
                  </w:r>
                  <w:r>
                    <w:rPr>
                      <w:rFonts w:hint="default" w:ascii="Times New Roman" w:hAnsi="Times New Roman" w:cs="Times New Roman"/>
                      <w:b/>
                      <w:bCs/>
                      <w:color w:val="auto"/>
                      <w:position w:val="2"/>
                      <w:sz w:val="21"/>
                      <w:szCs w:val="21"/>
                      <w:vertAlign w:val="subscript"/>
                    </w:rPr>
                    <w:t>2</w:t>
                  </w:r>
                </w:p>
                <w:p w14:paraId="2A18F3BC">
                  <w:pPr>
                    <w:pStyle w:val="30"/>
                    <w:spacing w:before="48"/>
                    <w:ind w:right="199"/>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887" w:type="dxa"/>
                  <w:tcBorders>
                    <w:tl2br w:val="nil"/>
                    <w:tr2bl w:val="nil"/>
                  </w:tcBorders>
                  <w:vAlign w:val="center"/>
                </w:tcPr>
                <w:p w14:paraId="40DD5BF4">
                  <w:pPr>
                    <w:pStyle w:val="30"/>
                    <w:spacing w:before="48"/>
                    <w:ind w:left="31" w:right="13"/>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NO</w:t>
                  </w:r>
                  <w:r>
                    <w:rPr>
                      <w:rFonts w:hint="default" w:ascii="Times New Roman" w:hAnsi="Times New Roman" w:cs="Times New Roman"/>
                      <w:b/>
                      <w:bCs/>
                      <w:color w:val="auto"/>
                      <w:position w:val="2"/>
                      <w:sz w:val="21"/>
                      <w:szCs w:val="21"/>
                      <w:vertAlign w:val="subscript"/>
                    </w:rPr>
                    <w:t>2</w:t>
                  </w:r>
                </w:p>
                <w:p w14:paraId="3F9234C5">
                  <w:pPr>
                    <w:pStyle w:val="30"/>
                    <w:spacing w:before="39" w:line="232" w:lineRule="exact"/>
                    <w:ind w:left="32" w:leftChars="0" w:right="13"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27" w:type="dxa"/>
                  <w:tcBorders>
                    <w:tl2br w:val="nil"/>
                    <w:tr2bl w:val="nil"/>
                  </w:tcBorders>
                  <w:vAlign w:val="center"/>
                </w:tcPr>
                <w:p w14:paraId="5177C8DA">
                  <w:pPr>
                    <w:pStyle w:val="30"/>
                    <w:spacing w:before="48"/>
                    <w:ind w:left="106" w:right="86"/>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PM</w:t>
                  </w:r>
                  <w:r>
                    <w:rPr>
                      <w:rFonts w:hint="default" w:ascii="Times New Roman" w:hAnsi="Times New Roman" w:cs="Times New Roman"/>
                      <w:b/>
                      <w:bCs/>
                      <w:color w:val="auto"/>
                      <w:position w:val="2"/>
                      <w:sz w:val="21"/>
                      <w:szCs w:val="21"/>
                      <w:vertAlign w:val="subscript"/>
                    </w:rPr>
                    <w:t>10</w:t>
                  </w:r>
                </w:p>
                <w:p w14:paraId="16904E30">
                  <w:pPr>
                    <w:pStyle w:val="30"/>
                    <w:spacing w:before="39" w:line="232" w:lineRule="exact"/>
                    <w:ind w:left="16" w:leftChars="0" w:right="-44" w:righ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pacing w:val="-7"/>
                      <w:sz w:val="21"/>
                      <w:szCs w:val="21"/>
                    </w:rPr>
                    <w:t>μg/m</w:t>
                  </w:r>
                  <w:r>
                    <w:rPr>
                      <w:rFonts w:hint="eastAsia" w:ascii="Times New Roman" w:hAnsi="Times New Roman" w:cs="Times New Roman"/>
                      <w:b/>
                      <w:bCs/>
                      <w:color w:val="auto"/>
                      <w:spacing w:val="-7"/>
                      <w:sz w:val="21"/>
                      <w:szCs w:val="21"/>
                      <w:vertAlign w:val="superscript"/>
                      <w:lang w:val="en-US" w:eastAsia="zh-CN"/>
                    </w:rPr>
                    <w:t>3</w:t>
                  </w:r>
                </w:p>
              </w:tc>
              <w:tc>
                <w:tcPr>
                  <w:tcW w:w="913" w:type="dxa"/>
                  <w:tcBorders>
                    <w:tl2br w:val="nil"/>
                    <w:tr2bl w:val="nil"/>
                  </w:tcBorders>
                  <w:vAlign w:val="center"/>
                </w:tcPr>
                <w:p w14:paraId="7E2EC622">
                  <w:pPr>
                    <w:pStyle w:val="30"/>
                    <w:spacing w:before="48"/>
                    <w:ind w:right="16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w w:val="105"/>
                      <w:position w:val="2"/>
                      <w:sz w:val="21"/>
                      <w:szCs w:val="21"/>
                    </w:rPr>
                    <w:t>PM</w:t>
                  </w:r>
                  <w:r>
                    <w:rPr>
                      <w:rFonts w:hint="default" w:ascii="Times New Roman" w:hAnsi="Times New Roman" w:cs="Times New Roman"/>
                      <w:b/>
                      <w:bCs/>
                      <w:color w:val="auto"/>
                      <w:w w:val="105"/>
                      <w:sz w:val="21"/>
                      <w:szCs w:val="21"/>
                      <w:vertAlign w:val="subscript"/>
                    </w:rPr>
                    <w:t>2.</w:t>
                  </w:r>
                  <w:r>
                    <w:rPr>
                      <w:rFonts w:hint="default" w:ascii="Times New Roman" w:hAnsi="Times New Roman" w:cs="Times New Roman"/>
                      <w:b/>
                      <w:bCs/>
                      <w:color w:val="auto"/>
                      <w:w w:val="105"/>
                      <w:sz w:val="21"/>
                      <w:szCs w:val="21"/>
                      <w:vertAlign w:val="subscript"/>
                      <w:lang w:val="en-US" w:eastAsia="zh-CN"/>
                    </w:rPr>
                    <w:t>5</w:t>
                  </w:r>
                </w:p>
                <w:p w14:paraId="28942106">
                  <w:pPr>
                    <w:pStyle w:val="30"/>
                    <w:spacing w:before="56" w:line="232" w:lineRule="exact"/>
                    <w:ind w:left="14" w:leftChars="0" w:right="-15"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96" w:type="dxa"/>
                  <w:tcBorders>
                    <w:tl2br w:val="nil"/>
                    <w:tr2bl w:val="nil"/>
                  </w:tcBorders>
                  <w:vAlign w:val="center"/>
                </w:tcPr>
                <w:p w14:paraId="1A4FBABC">
                  <w:pPr>
                    <w:pStyle w:val="30"/>
                    <w:spacing w:before="48"/>
                    <w:ind w:right="199"/>
                    <w:jc w:val="center"/>
                    <w:rPr>
                      <w:rFonts w:hint="default" w:ascii="Times New Roman" w:hAnsi="Times New Roman" w:eastAsia="Times New Roman" w:cs="Times New Roman"/>
                      <w:b/>
                      <w:bCs/>
                      <w:color w:val="auto"/>
                      <w:position w:val="2"/>
                      <w:sz w:val="21"/>
                      <w:szCs w:val="21"/>
                    </w:rPr>
                  </w:pPr>
                  <w:r>
                    <w:rPr>
                      <w:rFonts w:hint="default" w:ascii="Times New Roman" w:hAnsi="Times New Roman" w:eastAsia="Times New Roman" w:cs="Times New Roman"/>
                      <w:b/>
                      <w:bCs/>
                      <w:color w:val="auto"/>
                      <w:position w:val="2"/>
                      <w:sz w:val="21"/>
                      <w:szCs w:val="21"/>
                    </w:rPr>
                    <w:t>CO</w:t>
                  </w:r>
                </w:p>
                <w:p w14:paraId="3F4B1B79">
                  <w:pPr>
                    <w:pStyle w:val="30"/>
                    <w:spacing w:before="57" w:line="232" w:lineRule="exact"/>
                    <w:ind w:left="14" w:leftChars="0" w:right="-58" w:right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982" w:type="dxa"/>
                  <w:tcBorders>
                    <w:tl2br w:val="nil"/>
                    <w:tr2bl w:val="nil"/>
                  </w:tcBorders>
                  <w:vAlign w:val="center"/>
                </w:tcPr>
                <w:p w14:paraId="0EEBD0AD">
                  <w:pPr>
                    <w:pStyle w:val="30"/>
                    <w:spacing w:before="48"/>
                    <w:ind w:left="18"/>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position w:val="2"/>
                      <w:sz w:val="21"/>
                      <w:szCs w:val="21"/>
                    </w:rPr>
                    <w:t>O</w:t>
                  </w:r>
                  <w:r>
                    <w:rPr>
                      <w:rFonts w:hint="default" w:ascii="Times New Roman" w:hAnsi="Times New Roman" w:cs="Times New Roman"/>
                      <w:b/>
                      <w:bCs/>
                      <w:color w:val="auto"/>
                      <w:position w:val="2"/>
                      <w:sz w:val="21"/>
                      <w:szCs w:val="21"/>
                      <w:vertAlign w:val="subscript"/>
                    </w:rPr>
                    <w:t>3</w:t>
                  </w:r>
                  <w:r>
                    <w:rPr>
                      <w:rFonts w:hint="default" w:ascii="Times New Roman" w:hAnsi="Times New Roman" w:cs="Times New Roman"/>
                      <w:b/>
                      <w:bCs/>
                      <w:color w:val="auto"/>
                      <w:position w:val="2"/>
                      <w:sz w:val="21"/>
                      <w:szCs w:val="21"/>
                      <w:vertAlign w:val="baseline"/>
                    </w:rPr>
                    <w:t>-8h</w:t>
                  </w:r>
                </w:p>
                <w:p w14:paraId="123013C5">
                  <w:pPr>
                    <w:pStyle w:val="30"/>
                    <w:spacing w:before="39" w:line="232" w:lineRule="exact"/>
                    <w:ind w:left="16" w:leftChars="0"/>
                    <w:jc w:val="center"/>
                    <w:rPr>
                      <w:rFonts w:hint="eastAsia" w:ascii="Times New Roman" w:hAnsi="Times New Roman" w:eastAsia="宋体" w:cs="Times New Roman"/>
                      <w:b/>
                      <w:bCs/>
                      <w:color w:val="auto"/>
                      <w:sz w:val="21"/>
                      <w:szCs w:val="21"/>
                      <w:vertAlign w:val="baseline"/>
                      <w:lang w:val="en-US" w:eastAsia="zh-CN"/>
                    </w:rPr>
                  </w:pPr>
                  <w:r>
                    <w:rPr>
                      <w:rFonts w:hint="default" w:ascii="Times New Roman" w:hAnsi="Times New Roman" w:eastAsia="Times New Roman" w:cs="Times New Roman"/>
                      <w:b/>
                      <w:bCs/>
                      <w:color w:val="auto"/>
                      <w:sz w:val="21"/>
                      <w:szCs w:val="21"/>
                    </w:rPr>
                    <w:t>μg/m</w:t>
                  </w:r>
                  <w:r>
                    <w:rPr>
                      <w:rFonts w:hint="eastAsia" w:ascii="Times New Roman" w:hAnsi="Times New Roman" w:cs="Times New Roman"/>
                      <w:b/>
                      <w:bCs/>
                      <w:color w:val="auto"/>
                      <w:sz w:val="21"/>
                      <w:szCs w:val="21"/>
                      <w:vertAlign w:val="superscript"/>
                      <w:lang w:val="en-US" w:eastAsia="zh-CN"/>
                    </w:rPr>
                    <w:t>3</w:t>
                  </w:r>
                </w:p>
              </w:tc>
              <w:tc>
                <w:tcPr>
                  <w:tcW w:w="739" w:type="dxa"/>
                  <w:tcBorders>
                    <w:tl2br w:val="nil"/>
                    <w:tr2bl w:val="nil"/>
                  </w:tcBorders>
                  <w:vAlign w:val="center"/>
                </w:tcPr>
                <w:p w14:paraId="32906EC1">
                  <w:pPr>
                    <w:pStyle w:val="30"/>
                    <w:spacing w:before="37"/>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pacing w:val="-1"/>
                      <w:w w:val="95"/>
                      <w:sz w:val="21"/>
                      <w:szCs w:val="21"/>
                    </w:rPr>
                    <w:t>空气质量</w:t>
                  </w:r>
                </w:p>
              </w:tc>
            </w:tr>
            <w:tr w14:paraId="51785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restart"/>
                  <w:tcBorders>
                    <w:tl2br w:val="nil"/>
                    <w:tr2bl w:val="nil"/>
                  </w:tcBorders>
                  <w:vAlign w:val="center"/>
                </w:tcPr>
                <w:p w14:paraId="13CA9C50">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芒市</w:t>
                  </w:r>
                </w:p>
              </w:tc>
              <w:tc>
                <w:tcPr>
                  <w:tcW w:w="764" w:type="dxa"/>
                  <w:tcBorders>
                    <w:tl2br w:val="nil"/>
                    <w:tr2bl w:val="nil"/>
                  </w:tcBorders>
                  <w:vAlign w:val="center"/>
                </w:tcPr>
                <w:p w14:paraId="395DD723">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年平均</w:t>
                  </w:r>
                </w:p>
              </w:tc>
              <w:tc>
                <w:tcPr>
                  <w:tcW w:w="1052" w:type="dxa"/>
                  <w:tcBorders>
                    <w:tl2br w:val="nil"/>
                    <w:tr2bl w:val="nil"/>
                  </w:tcBorders>
                  <w:vAlign w:val="center"/>
                </w:tcPr>
                <w:p w14:paraId="1D7DA330">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887" w:type="dxa"/>
                  <w:tcBorders>
                    <w:tl2br w:val="nil"/>
                    <w:tr2bl w:val="nil"/>
                  </w:tcBorders>
                  <w:vAlign w:val="center"/>
                </w:tcPr>
                <w:p w14:paraId="5FD8D721">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w:t>
                  </w:r>
                </w:p>
              </w:tc>
              <w:tc>
                <w:tcPr>
                  <w:tcW w:w="927" w:type="dxa"/>
                  <w:tcBorders>
                    <w:tl2br w:val="nil"/>
                    <w:tr2bl w:val="nil"/>
                  </w:tcBorders>
                  <w:vAlign w:val="center"/>
                </w:tcPr>
                <w:p w14:paraId="5D06CD2F">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val="en-US" w:eastAsia="zh-CN"/>
                    </w:rPr>
                    <w:t>7</w:t>
                  </w:r>
                </w:p>
              </w:tc>
              <w:tc>
                <w:tcPr>
                  <w:tcW w:w="913" w:type="dxa"/>
                  <w:tcBorders>
                    <w:tl2br w:val="nil"/>
                    <w:tr2bl w:val="nil"/>
                  </w:tcBorders>
                  <w:vAlign w:val="center"/>
                </w:tcPr>
                <w:p w14:paraId="2A6A6817">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996" w:type="dxa"/>
                  <w:tcBorders>
                    <w:tl2br w:val="nil"/>
                    <w:tr2bl w:val="nil"/>
                  </w:tcBorders>
                  <w:vAlign w:val="center"/>
                </w:tcPr>
                <w:p w14:paraId="3E72DF7B">
                  <w:pPr>
                    <w:pStyle w:val="30"/>
                    <w:spacing w:before="38"/>
                    <w:ind w:left="31" w:leftChars="0" w:right="15" w:rightChars="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7</w:t>
                  </w:r>
                </w:p>
              </w:tc>
              <w:tc>
                <w:tcPr>
                  <w:tcW w:w="982" w:type="dxa"/>
                  <w:tcBorders>
                    <w:tl2br w:val="nil"/>
                    <w:tr2bl w:val="nil"/>
                  </w:tcBorders>
                  <w:vAlign w:val="center"/>
                </w:tcPr>
                <w:p w14:paraId="4134BED8">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739" w:type="dxa"/>
                  <w:vMerge w:val="restart"/>
                  <w:tcBorders>
                    <w:tl2br w:val="nil"/>
                    <w:tr2bl w:val="nil"/>
                  </w:tcBorders>
                  <w:vAlign w:val="center"/>
                </w:tcPr>
                <w:p w14:paraId="275DAB86">
                  <w:pPr>
                    <w:jc w:val="center"/>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二级</w:t>
                  </w:r>
                </w:p>
              </w:tc>
            </w:tr>
            <w:tr w14:paraId="1389BF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continue"/>
                  <w:tcBorders>
                    <w:tl2br w:val="nil"/>
                    <w:tr2bl w:val="nil"/>
                  </w:tcBorders>
                  <w:vAlign w:val="center"/>
                </w:tcPr>
                <w:p w14:paraId="61A05A53">
                  <w:pPr>
                    <w:jc w:val="center"/>
                    <w:rPr>
                      <w:rFonts w:hint="default" w:ascii="Times New Roman" w:hAnsi="Times New Roman" w:eastAsia="宋体" w:cs="Times New Roman"/>
                      <w:b/>
                      <w:bCs/>
                      <w:color w:val="auto"/>
                      <w:sz w:val="21"/>
                      <w:szCs w:val="21"/>
                      <w:vertAlign w:val="baseline"/>
                      <w:lang w:val="en-US" w:eastAsia="zh-CN"/>
                    </w:rPr>
                  </w:pPr>
                </w:p>
              </w:tc>
              <w:tc>
                <w:tcPr>
                  <w:tcW w:w="764" w:type="dxa"/>
                  <w:tcBorders>
                    <w:tl2br w:val="nil"/>
                    <w:tr2bl w:val="nil"/>
                  </w:tcBorders>
                  <w:vAlign w:val="center"/>
                </w:tcPr>
                <w:p w14:paraId="57A13FE7">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98</w:t>
                  </w:r>
                  <w:r>
                    <w:rPr>
                      <w:rFonts w:hint="default" w:ascii="Times New Roman" w:hAnsi="Times New Roman" w:eastAsia="宋体" w:cs="Times New Roman"/>
                      <w:color w:val="auto"/>
                      <w:sz w:val="21"/>
                      <w:szCs w:val="21"/>
                    </w:rPr>
                    <w:t>百分位</w:t>
                  </w:r>
                </w:p>
              </w:tc>
              <w:tc>
                <w:tcPr>
                  <w:tcW w:w="1052" w:type="dxa"/>
                  <w:tcBorders>
                    <w:tl2br w:val="nil"/>
                    <w:tr2bl w:val="nil"/>
                  </w:tcBorders>
                  <w:vAlign w:val="center"/>
                </w:tcPr>
                <w:p w14:paraId="71C55EAA">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w:t>
                  </w:r>
                </w:p>
              </w:tc>
              <w:tc>
                <w:tcPr>
                  <w:tcW w:w="887" w:type="dxa"/>
                  <w:tcBorders>
                    <w:tl2br w:val="nil"/>
                    <w:tr2bl w:val="nil"/>
                  </w:tcBorders>
                  <w:vAlign w:val="center"/>
                </w:tcPr>
                <w:p w14:paraId="1EDBE9F8">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927" w:type="dxa"/>
                  <w:tcBorders>
                    <w:tl2br w:val="nil"/>
                    <w:tr2bl w:val="nil"/>
                  </w:tcBorders>
                  <w:vAlign w:val="center"/>
                </w:tcPr>
                <w:p w14:paraId="6C804DD0">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114</w:t>
                  </w:r>
                </w:p>
              </w:tc>
              <w:tc>
                <w:tcPr>
                  <w:tcW w:w="913" w:type="dxa"/>
                  <w:tcBorders>
                    <w:tl2br w:val="nil"/>
                    <w:tr2bl w:val="nil"/>
                  </w:tcBorders>
                  <w:vAlign w:val="center"/>
                </w:tcPr>
                <w:p w14:paraId="0122587F">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w:t>
                  </w:r>
                </w:p>
              </w:tc>
              <w:tc>
                <w:tcPr>
                  <w:tcW w:w="996" w:type="dxa"/>
                  <w:tcBorders>
                    <w:tl2br w:val="nil"/>
                    <w:tr2bl w:val="nil"/>
                  </w:tcBorders>
                  <w:vAlign w:val="center"/>
                </w:tcPr>
                <w:p w14:paraId="71EB113E">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1.0</w:t>
                  </w:r>
                </w:p>
              </w:tc>
              <w:tc>
                <w:tcPr>
                  <w:tcW w:w="982" w:type="dxa"/>
                  <w:tcBorders>
                    <w:tl2br w:val="nil"/>
                    <w:tr2bl w:val="nil"/>
                  </w:tcBorders>
                  <w:vAlign w:val="center"/>
                </w:tcPr>
                <w:p w14:paraId="1DC6DD92">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127</w:t>
                  </w:r>
                </w:p>
              </w:tc>
              <w:tc>
                <w:tcPr>
                  <w:tcW w:w="739" w:type="dxa"/>
                  <w:vMerge w:val="continue"/>
                  <w:tcBorders>
                    <w:tl2br w:val="nil"/>
                    <w:tr2bl w:val="nil"/>
                  </w:tcBorders>
                  <w:vAlign w:val="center"/>
                </w:tcPr>
                <w:p w14:paraId="65489F0F">
                  <w:pPr>
                    <w:jc w:val="center"/>
                    <w:rPr>
                      <w:rFonts w:hint="default" w:ascii="Times New Roman" w:hAnsi="Times New Roman" w:eastAsia="宋体" w:cs="Times New Roman"/>
                      <w:b/>
                      <w:bCs/>
                      <w:color w:val="auto"/>
                      <w:sz w:val="21"/>
                      <w:szCs w:val="21"/>
                      <w:vertAlign w:val="baseline"/>
                      <w:lang w:val="en-US" w:eastAsia="zh-CN"/>
                    </w:rPr>
                  </w:pPr>
                </w:p>
              </w:tc>
            </w:tr>
            <w:tr w14:paraId="06DC1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41" w:type="dxa"/>
                  <w:vMerge w:val="continue"/>
                  <w:tcBorders>
                    <w:tl2br w:val="nil"/>
                    <w:tr2bl w:val="nil"/>
                  </w:tcBorders>
                  <w:vAlign w:val="center"/>
                </w:tcPr>
                <w:p w14:paraId="1A1267CF">
                  <w:pPr>
                    <w:jc w:val="center"/>
                    <w:rPr>
                      <w:rFonts w:hint="default" w:ascii="Times New Roman" w:hAnsi="Times New Roman" w:eastAsia="宋体" w:cs="Times New Roman"/>
                      <w:b/>
                      <w:bCs/>
                      <w:color w:val="auto"/>
                      <w:sz w:val="21"/>
                      <w:szCs w:val="21"/>
                      <w:vertAlign w:val="baseline"/>
                      <w:lang w:val="en-US" w:eastAsia="zh-CN"/>
                    </w:rPr>
                  </w:pPr>
                </w:p>
              </w:tc>
              <w:tc>
                <w:tcPr>
                  <w:tcW w:w="764" w:type="dxa"/>
                  <w:tcBorders>
                    <w:tl2br w:val="nil"/>
                    <w:tr2bl w:val="nil"/>
                  </w:tcBorders>
                  <w:vAlign w:val="center"/>
                </w:tcPr>
                <w:p w14:paraId="5EE266D0">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所属类别</w:t>
                  </w:r>
                </w:p>
              </w:tc>
              <w:tc>
                <w:tcPr>
                  <w:tcW w:w="1052" w:type="dxa"/>
                  <w:tcBorders>
                    <w:tl2br w:val="nil"/>
                    <w:tr2bl w:val="nil"/>
                  </w:tcBorders>
                  <w:vAlign w:val="center"/>
                </w:tcPr>
                <w:p w14:paraId="3D9E38BF">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887" w:type="dxa"/>
                  <w:tcBorders>
                    <w:tl2br w:val="nil"/>
                    <w:tr2bl w:val="nil"/>
                  </w:tcBorders>
                  <w:vAlign w:val="center"/>
                </w:tcPr>
                <w:p w14:paraId="43069D97">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27" w:type="dxa"/>
                  <w:tcBorders>
                    <w:tl2br w:val="nil"/>
                    <w:tr2bl w:val="nil"/>
                  </w:tcBorders>
                  <w:vAlign w:val="center"/>
                </w:tcPr>
                <w:p w14:paraId="535BBC40">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913" w:type="dxa"/>
                  <w:tcBorders>
                    <w:tl2br w:val="nil"/>
                    <w:tr2bl w:val="nil"/>
                  </w:tcBorders>
                  <w:vAlign w:val="center"/>
                </w:tcPr>
                <w:p w14:paraId="07E30A25">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996" w:type="dxa"/>
                  <w:tcBorders>
                    <w:tl2br w:val="nil"/>
                    <w:tr2bl w:val="nil"/>
                  </w:tcBorders>
                  <w:vAlign w:val="center"/>
                </w:tcPr>
                <w:p w14:paraId="6E77DEC3">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一级</w:t>
                  </w:r>
                </w:p>
              </w:tc>
              <w:tc>
                <w:tcPr>
                  <w:tcW w:w="982" w:type="dxa"/>
                  <w:tcBorders>
                    <w:tl2br w:val="nil"/>
                    <w:tr2bl w:val="nil"/>
                  </w:tcBorders>
                  <w:vAlign w:val="center"/>
                </w:tcPr>
                <w:p w14:paraId="45295186">
                  <w:pPr>
                    <w:pStyle w:val="30"/>
                    <w:spacing w:before="38"/>
                    <w:ind w:left="31" w:leftChars="0" w:right="15"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二级</w:t>
                  </w:r>
                </w:p>
              </w:tc>
              <w:tc>
                <w:tcPr>
                  <w:tcW w:w="739" w:type="dxa"/>
                  <w:vMerge w:val="continue"/>
                  <w:tcBorders>
                    <w:tl2br w:val="nil"/>
                    <w:tr2bl w:val="nil"/>
                  </w:tcBorders>
                  <w:vAlign w:val="center"/>
                </w:tcPr>
                <w:p w14:paraId="3AD69080">
                  <w:pPr>
                    <w:jc w:val="center"/>
                    <w:rPr>
                      <w:rFonts w:hint="default" w:ascii="Times New Roman" w:hAnsi="Times New Roman" w:eastAsia="宋体" w:cs="Times New Roman"/>
                      <w:b/>
                      <w:bCs/>
                      <w:color w:val="auto"/>
                      <w:sz w:val="21"/>
                      <w:szCs w:val="21"/>
                      <w:vertAlign w:val="baseline"/>
                      <w:lang w:val="en-US" w:eastAsia="zh-CN"/>
                    </w:rPr>
                  </w:pPr>
                </w:p>
              </w:tc>
            </w:tr>
          </w:tbl>
          <w:p w14:paraId="34567F4B">
            <w:pPr>
              <w:spacing w:line="360" w:lineRule="auto"/>
              <w:ind w:firstLine="48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根据上表，芒市</w:t>
            </w:r>
            <w:r>
              <w:rPr>
                <w:rFonts w:hint="default" w:ascii="Times New Roman" w:hAnsi="Times New Roman" w:eastAsia="宋体" w:cs="Times New Roman"/>
                <w:lang w:val="en-US" w:eastAsia="zh-CN"/>
              </w:rPr>
              <w:t>的 SO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 xml:space="preserve"> 、NO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 xml:space="preserve"> 、PM</w:t>
            </w:r>
            <w:r>
              <w:rPr>
                <w:rFonts w:hint="default" w:ascii="Times New Roman" w:hAnsi="Times New Roman" w:eastAsia="宋体" w:cs="Times New Roman"/>
                <w:vertAlign w:val="subscript"/>
                <w:lang w:val="en-US" w:eastAsia="zh-CN"/>
              </w:rPr>
              <w:t>2.5</w:t>
            </w:r>
            <w:r>
              <w:rPr>
                <w:rFonts w:hint="default" w:ascii="Times New Roman" w:hAnsi="Times New Roman" w:eastAsia="宋体" w:cs="Times New Roman"/>
                <w:lang w:val="en-US" w:eastAsia="zh-CN"/>
              </w:rPr>
              <w:t xml:space="preserve"> 、PM</w:t>
            </w:r>
            <w:r>
              <w:rPr>
                <w:rFonts w:hint="default" w:ascii="Times New Roman" w:hAnsi="Times New Roman" w:eastAsia="宋体" w:cs="Times New Roman"/>
                <w:vertAlign w:val="subscript"/>
                <w:lang w:val="en-US" w:eastAsia="zh-CN"/>
              </w:rPr>
              <w:t>10</w:t>
            </w:r>
            <w:r>
              <w:rPr>
                <w:rFonts w:hint="default" w:ascii="Times New Roman" w:hAnsi="Times New Roman" w:eastAsia="宋体" w:cs="Times New Roman"/>
                <w:lang w:val="en-US" w:eastAsia="zh-CN"/>
              </w:rPr>
              <w:t>、CO和O</w:t>
            </w:r>
            <w:r>
              <w:rPr>
                <w:rFonts w:hint="default" w:ascii="Times New Roman" w:hAnsi="Times New Roman" w:eastAsia="宋体" w:cs="Times New Roman"/>
                <w:vertAlign w:val="subscript"/>
                <w:lang w:val="en-US" w:eastAsia="zh-CN"/>
              </w:rPr>
              <w:t>3</w:t>
            </w:r>
            <w:r>
              <w:rPr>
                <w:rFonts w:hint="default" w:ascii="Times New Roman" w:hAnsi="Times New Roman" w:eastAsia="宋体" w:cs="Times New Roman"/>
                <w:lang w:val="en-US" w:eastAsia="zh-CN"/>
              </w:rPr>
              <w:t>浓度值满足《环境空气质量标准》（GB3095-2012）二级标准要求。</w:t>
            </w:r>
          </w:p>
          <w:p w14:paraId="2671F15E">
            <w:pPr>
              <w:spacing w:line="360" w:lineRule="auto"/>
              <w:ind w:firstLine="480" w:firstLineChars="200"/>
              <w:jc w:val="left"/>
              <w:rPr>
                <w:rFonts w:hint="default"/>
                <w:lang w:val="en-US" w:eastAsia="zh-CN"/>
              </w:rPr>
            </w:pPr>
            <w:r>
              <w:rPr>
                <w:rFonts w:hint="default" w:ascii="Times New Roman" w:hAnsi="Times New Roman" w:eastAsia="宋体" w:cs="Times New Roman"/>
                <w:lang w:val="en-US" w:eastAsia="zh-CN"/>
              </w:rPr>
              <w:t>本项目地处地农村区域，周边没有大的环境空气污染源，项目区域内环境空气质量良好，项目区能满足《环境空气质量标准》（GB3095-2012）二级标准要求。</w:t>
            </w:r>
          </w:p>
          <w:p w14:paraId="54F0A3BF">
            <w:pPr>
              <w:spacing w:line="360" w:lineRule="auto"/>
              <w:ind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6.2 </w:t>
            </w:r>
            <w:r>
              <w:rPr>
                <w:rFonts w:hint="default" w:ascii="Times New Roman" w:hAnsi="Times New Roman" w:eastAsia="宋体" w:cs="Times New Roman"/>
                <w:b/>
                <w:bCs/>
                <w:lang w:val="en-US" w:eastAsia="zh-CN"/>
              </w:rPr>
              <w:t>地表水环境质量现状</w:t>
            </w:r>
          </w:p>
          <w:p w14:paraId="5BB5811D">
            <w:pPr>
              <w:spacing w:before="10" w:line="360" w:lineRule="auto"/>
              <w:ind w:right="18" w:firstLine="480" w:firstLineChars="200"/>
              <w:jc w:val="left"/>
              <w:rPr>
                <w:rFonts w:hint="default" w:ascii="Times New Roman" w:hAnsi="Times New Roman" w:eastAsia="宋体" w:cs="Times New Roman"/>
                <w:b w:val="0"/>
                <w:bCs w:val="0"/>
                <w:spacing w:val="0"/>
                <w:kern w:val="2"/>
                <w:sz w:val="24"/>
                <w:szCs w:val="24"/>
                <w:lang w:val="en-US" w:eastAsia="zh-CN" w:bidi="ar-SA"/>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p>
          <w:p w14:paraId="142C5386">
            <w:pPr>
              <w:spacing w:before="10" w:line="360" w:lineRule="auto"/>
              <w:ind w:left="110" w:right="18" w:firstLine="478"/>
              <w:rPr>
                <w:rFonts w:hint="eastAsia" w:ascii="Times New Roman" w:hAnsi="Times New Roman" w:eastAsia="宋体" w:cs="Times New Roman"/>
                <w:spacing w:val="-2"/>
                <w:sz w:val="24"/>
                <w:szCs w:val="24"/>
                <w:lang w:val="en-US" w:eastAsia="zh-CN"/>
              </w:rPr>
            </w:pPr>
            <w:r>
              <w:rPr>
                <w:rFonts w:hint="default" w:ascii="Times New Roman" w:hAnsi="Times New Roman" w:eastAsia="宋体" w:cs="Times New Roman"/>
                <w:spacing w:val="-1"/>
                <w:sz w:val="24"/>
                <w:szCs w:val="24"/>
              </w:rPr>
              <w:t>根据</w:t>
            </w:r>
            <w:r>
              <w:rPr>
                <w:rFonts w:hint="default" w:ascii="宋体" w:hAnsi="宋体" w:eastAsia="宋体" w:cs="宋体"/>
                <w:b w:val="0"/>
                <w:bCs w:val="0"/>
                <w:spacing w:val="0"/>
                <w:kern w:val="2"/>
                <w:sz w:val="24"/>
                <w:szCs w:val="24"/>
                <w:lang w:val="en-US" w:eastAsia="zh-CN" w:bidi="ar-SA"/>
              </w:rPr>
              <w:t>《德宏州 20</w:t>
            </w:r>
            <w:r>
              <w:rPr>
                <w:rFonts w:hint="eastAsia" w:ascii="宋体" w:hAnsi="宋体" w:eastAsia="宋体" w:cs="宋体"/>
                <w:b w:val="0"/>
                <w:bCs w:val="0"/>
                <w:spacing w:val="0"/>
                <w:kern w:val="2"/>
                <w:sz w:val="24"/>
                <w:szCs w:val="24"/>
                <w:lang w:val="en-US" w:eastAsia="zh-CN" w:bidi="ar-SA"/>
              </w:rPr>
              <w:t>21</w:t>
            </w:r>
            <w:r>
              <w:rPr>
                <w:rFonts w:hint="default" w:ascii="宋体" w:hAnsi="宋体" w:eastAsia="宋体" w:cs="宋体"/>
                <w:b w:val="0"/>
                <w:bCs w:val="0"/>
                <w:spacing w:val="0"/>
                <w:kern w:val="2"/>
                <w:sz w:val="24"/>
                <w:szCs w:val="24"/>
                <w:lang w:val="en-US" w:eastAsia="zh-CN" w:bidi="ar-SA"/>
              </w:rPr>
              <w:t>年环境质量状况公报》</w:t>
            </w:r>
            <w:r>
              <w:rPr>
                <w:rFonts w:hint="eastAsia" w:ascii="宋体" w:hAnsi="宋体" w:eastAsia="宋体" w:cs="宋体"/>
                <w:b w:val="0"/>
                <w:bCs w:val="0"/>
                <w:spacing w:val="0"/>
                <w:kern w:val="2"/>
                <w:sz w:val="24"/>
                <w:szCs w:val="24"/>
                <w:lang w:val="en-US" w:eastAsia="zh-CN" w:bidi="ar-SA"/>
              </w:rPr>
              <w:t>主要河流（出境河流）水环境质量状况</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全州6条河流</w:t>
            </w:r>
            <w:r>
              <w:rPr>
                <w:rFonts w:hint="default" w:ascii="Times New Roman" w:hAnsi="Times New Roman" w:eastAsia="宋体" w:cs="Times New Roman"/>
                <w:b w:val="0"/>
                <w:bCs w:val="0"/>
                <w:spacing w:val="0"/>
                <w:kern w:val="2"/>
                <w:sz w:val="24"/>
                <w:szCs w:val="24"/>
                <w:lang w:val="en-US" w:eastAsia="zh-CN" w:bidi="ar-SA"/>
              </w:rPr>
              <w:t>水质总体良好。大盈江、瑞丽江、槟榔江和户撒河水质均为优，南畹河、芒市大河水质为良好。2021年，全州河流断面水质类别Ⅰ～Ⅲ类，其中，Ⅰ～Ⅱ类水质占比72.7%，水质状况优；Ⅲ类水质类别占比27.3%，水质状况良。全州水质状况优良率100%。芒市大河3个监测断面为2个Ⅱ类、1个Ⅲ类。故项目地表水芒市大河水质满足《地表水环境质量标准》（GB3838-2002）标准中的Ⅲ类水质标准</w:t>
            </w:r>
            <w:r>
              <w:rPr>
                <w:rFonts w:hint="eastAsia" w:ascii="宋体" w:hAnsi="宋体" w:eastAsia="宋体" w:cs="宋体"/>
                <w:b w:val="0"/>
                <w:bCs w:val="0"/>
                <w:spacing w:val="0"/>
                <w:kern w:val="2"/>
                <w:sz w:val="24"/>
                <w:szCs w:val="24"/>
                <w:lang w:val="en-US" w:eastAsia="zh-CN" w:bidi="ar-SA"/>
              </w:rPr>
              <w:t>。</w:t>
            </w:r>
          </w:p>
          <w:p w14:paraId="4F55E26E">
            <w:pPr>
              <w:spacing w:line="360" w:lineRule="auto"/>
              <w:ind w:firstLine="48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 xml:space="preserve">6.3声环境质量现状 </w:t>
            </w:r>
          </w:p>
          <w:p w14:paraId="5C8CD5AC">
            <w:pPr>
              <w:spacing w:line="360" w:lineRule="auto"/>
              <w:ind w:firstLine="424" w:firstLineChars="200"/>
              <w:jc w:val="left"/>
              <w:rPr>
                <w:rFonts w:hint="default" w:ascii="Times New Roman" w:hAnsi="Times New Roman" w:eastAsia="宋体" w:cs="Times New Roman"/>
                <w:spacing w:val="-18"/>
                <w:sz w:val="24"/>
                <w:szCs w:val="24"/>
              </w:rPr>
            </w:pPr>
            <w:r>
              <w:rPr>
                <w:rFonts w:hint="default" w:ascii="Times New Roman" w:hAnsi="Times New Roman" w:eastAsia="宋体" w:cs="Times New Roman"/>
                <w:spacing w:val="-14"/>
                <w:sz w:val="24"/>
                <w:szCs w:val="24"/>
              </w:rPr>
              <w:t>本项目地处山区，</w:t>
            </w:r>
            <w:r>
              <w:rPr>
                <w:rFonts w:hint="default" w:ascii="Times New Roman" w:hAnsi="Times New Roman" w:eastAsia="宋体" w:cs="Times New Roman"/>
                <w:color w:val="auto"/>
                <w:kern w:val="0"/>
                <w:sz w:val="24"/>
                <w:szCs w:val="24"/>
                <w:lang w:bidi="ar"/>
              </w:rPr>
              <w:t>根据《芒市声环境功能区划分（2019~2029）》</w:t>
            </w:r>
            <w:r>
              <w:rPr>
                <w:rFonts w:hint="default" w:ascii="Times New Roman" w:hAnsi="Times New Roman" w:eastAsia="宋体" w:cs="Times New Roman"/>
                <w:bCs/>
                <w:color w:val="auto"/>
                <w:sz w:val="24"/>
                <w:szCs w:val="24"/>
                <w:lang w:bidi="ar"/>
              </w:rPr>
              <w:t>项目所在地区规划为2类声环境功能区，执行《声环境质量标准》（GB3096-2008）中的2类声环境功能区环境噪声限值标准</w:t>
            </w:r>
            <w:r>
              <w:rPr>
                <w:rFonts w:hint="default" w:ascii="Times New Roman" w:hAnsi="Times New Roman" w:eastAsia="宋体" w:cs="Times New Roman"/>
                <w:spacing w:val="-1"/>
                <w:sz w:val="24"/>
                <w:szCs w:val="24"/>
              </w:rPr>
              <w:t>。为了解项目区域声环境质量现状，本次环评委托云南</w:t>
            </w:r>
            <w:r>
              <w:rPr>
                <w:rFonts w:hint="eastAsia" w:ascii="Times New Roman" w:hAnsi="Times New Roman" w:eastAsia="宋体" w:cs="Times New Roman"/>
                <w:spacing w:val="-1"/>
                <w:sz w:val="24"/>
                <w:szCs w:val="24"/>
                <w:lang w:eastAsia="zh-CN"/>
              </w:rPr>
              <w:t>晟蔚环保科技</w:t>
            </w:r>
            <w:r>
              <w:rPr>
                <w:rFonts w:hint="default" w:ascii="Times New Roman" w:hAnsi="Times New Roman" w:eastAsia="宋体" w:cs="Times New Roman"/>
                <w:spacing w:val="-1"/>
                <w:sz w:val="24"/>
                <w:szCs w:val="24"/>
              </w:rPr>
              <w:t>有限公司对项目区</w:t>
            </w:r>
            <w:r>
              <w:rPr>
                <w:rFonts w:hint="eastAsia" w:ascii="Times New Roman" w:hAnsi="Times New Roman" w:eastAsia="宋体" w:cs="Times New Roman"/>
                <w:spacing w:val="-1"/>
                <w:sz w:val="24"/>
                <w:szCs w:val="24"/>
                <w:lang w:eastAsia="zh-CN"/>
              </w:rPr>
              <w:t>升压站</w:t>
            </w:r>
            <w:r>
              <w:rPr>
                <w:rFonts w:hint="default" w:ascii="Times New Roman" w:hAnsi="Times New Roman" w:eastAsia="宋体" w:cs="Times New Roman"/>
                <w:spacing w:val="-1"/>
                <w:sz w:val="24"/>
                <w:szCs w:val="24"/>
              </w:rPr>
              <w:t>声环境质量现状进行监测，监测内容如</w:t>
            </w:r>
            <w:r>
              <w:rPr>
                <w:rFonts w:hint="default" w:ascii="Times New Roman" w:hAnsi="Times New Roman" w:eastAsia="宋体" w:cs="Times New Roman"/>
                <w:spacing w:val="-18"/>
                <w:sz w:val="24"/>
                <w:szCs w:val="24"/>
              </w:rPr>
              <w:t>下：</w:t>
            </w:r>
          </w:p>
          <w:p w14:paraId="675C6FEA">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（1）监测因子：等效A声级LAeq</w:t>
            </w:r>
          </w:p>
          <w:p w14:paraId="0CC45DF3">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 xml:space="preserve">（2）监测点位： </w:t>
            </w:r>
            <w:r>
              <w:rPr>
                <w:rFonts w:hint="eastAsia" w:ascii="Times New Roman" w:hAnsi="Times New Roman" w:eastAsia="宋体" w:cs="Times New Roman"/>
                <w:spacing w:val="-11"/>
                <w:sz w:val="24"/>
                <w:szCs w:val="24"/>
                <w:lang w:val="en-US" w:eastAsia="zh-CN"/>
              </w:rPr>
              <w:t>110kv升压站站址厂界四周，噪声监测点位图见图3-1</w:t>
            </w:r>
            <w:r>
              <w:rPr>
                <w:rFonts w:hint="default" w:ascii="Times New Roman" w:hAnsi="Times New Roman" w:eastAsia="宋体" w:cs="Times New Roman"/>
                <w:spacing w:val="-11"/>
                <w:sz w:val="24"/>
                <w:szCs w:val="24"/>
              </w:rPr>
              <w:t>。</w:t>
            </w:r>
          </w:p>
          <w:p w14:paraId="4F419C04">
            <w:pPr>
              <w:pStyle w:val="10"/>
              <w:jc w:val="center"/>
              <w:rPr>
                <w:rFonts w:hint="default" w:ascii="Times New Roman" w:hAnsi="Times New Roman" w:eastAsia="宋体" w:cs="Times New Roman"/>
                <w:spacing w:val="-11"/>
                <w:sz w:val="24"/>
                <w:szCs w:val="24"/>
              </w:rPr>
            </w:pPr>
            <w:r>
              <w:drawing>
                <wp:inline distT="0" distB="0" distL="114300" distR="114300">
                  <wp:extent cx="4967605" cy="2973070"/>
                  <wp:effectExtent l="0" t="0" r="4445" b="1778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27"/>
                          <a:stretch>
                            <a:fillRect/>
                          </a:stretch>
                        </pic:blipFill>
                        <pic:spPr>
                          <a:xfrm>
                            <a:off x="0" y="0"/>
                            <a:ext cx="4967605" cy="2973070"/>
                          </a:xfrm>
                          <a:prstGeom prst="rect">
                            <a:avLst/>
                          </a:prstGeom>
                          <a:noFill/>
                          <a:ln>
                            <a:noFill/>
                          </a:ln>
                        </pic:spPr>
                      </pic:pic>
                    </a:graphicData>
                  </a:graphic>
                </wp:inline>
              </w:drawing>
            </w:r>
            <w:r>
              <w:rPr>
                <w:rFonts w:hint="default" w:ascii="Times New Roman" w:hAnsi="Times New Roman" w:eastAsia="宋体" w:cs="Times New Roman"/>
                <w:b/>
                <w:bCs/>
                <w:spacing w:val="-1"/>
                <w:sz w:val="21"/>
                <w:szCs w:val="21"/>
                <w:lang w:eastAsia="zh-CN"/>
              </w:rPr>
              <w:t>图</w:t>
            </w:r>
            <w:r>
              <w:rPr>
                <w:rFonts w:hint="default" w:ascii="Times New Roman" w:hAnsi="Times New Roman" w:eastAsia="宋体" w:cs="Times New Roman"/>
                <w:b/>
                <w:bCs/>
                <w:spacing w:val="-1"/>
                <w:sz w:val="21"/>
                <w:szCs w:val="21"/>
                <w:lang w:val="en-US" w:eastAsia="zh-CN"/>
              </w:rPr>
              <w:t>3-1 噪声监测布点图</w:t>
            </w:r>
          </w:p>
          <w:p w14:paraId="4B80BB05">
            <w:pPr>
              <w:spacing w:before="10" w:line="360" w:lineRule="auto"/>
              <w:ind w:left="110" w:right="18" w:firstLine="478"/>
              <w:rPr>
                <w:rFonts w:hint="default" w:ascii="Times New Roman" w:hAnsi="Times New Roman" w:eastAsia="宋体" w:cs="Times New Roman"/>
                <w:spacing w:val="-11"/>
                <w:sz w:val="24"/>
                <w:szCs w:val="24"/>
              </w:rPr>
            </w:pPr>
            <w:r>
              <w:rPr>
                <w:rFonts w:hint="default" w:ascii="Times New Roman" w:hAnsi="Times New Roman" w:eastAsia="宋体" w:cs="Times New Roman"/>
                <w:spacing w:val="-11"/>
                <w:sz w:val="24"/>
                <w:szCs w:val="24"/>
              </w:rPr>
              <w:t>（3）监测频次：昼夜各1次，监测1天。</w:t>
            </w:r>
          </w:p>
          <w:p w14:paraId="772FC45D">
            <w:pPr>
              <w:spacing w:before="10" w:line="360" w:lineRule="auto"/>
              <w:ind w:left="110" w:right="18" w:firstLine="478"/>
              <w:rPr>
                <w:rFonts w:hint="default"/>
              </w:rPr>
            </w:pPr>
            <w:r>
              <w:rPr>
                <w:rFonts w:hint="default" w:ascii="Times New Roman" w:hAnsi="Times New Roman" w:eastAsia="宋体" w:cs="Times New Roman"/>
                <w:spacing w:val="-11"/>
                <w:sz w:val="24"/>
                <w:szCs w:val="24"/>
              </w:rPr>
              <w:t>（</w:t>
            </w:r>
            <w:r>
              <w:rPr>
                <w:rFonts w:hint="eastAsia" w:ascii="Times New Roman" w:hAnsi="Times New Roman" w:eastAsia="宋体" w:cs="Times New Roman"/>
                <w:spacing w:val="-11"/>
                <w:sz w:val="24"/>
                <w:szCs w:val="24"/>
                <w:lang w:val="en-US" w:eastAsia="zh-CN"/>
              </w:rPr>
              <w:t>4</w:t>
            </w:r>
            <w:r>
              <w:rPr>
                <w:rFonts w:hint="default" w:ascii="Times New Roman" w:hAnsi="Times New Roman" w:eastAsia="宋体" w:cs="Times New Roman"/>
                <w:spacing w:val="-11"/>
                <w:sz w:val="24"/>
                <w:szCs w:val="24"/>
              </w:rPr>
              <w:t>）监测结果：</w:t>
            </w:r>
            <w:r>
              <w:rPr>
                <w:rFonts w:hint="eastAsia" w:ascii="Times New Roman" w:hAnsi="Times New Roman" w:eastAsia="宋体" w:cs="Times New Roman"/>
                <w:spacing w:val="-11"/>
                <w:sz w:val="24"/>
                <w:szCs w:val="24"/>
                <w:lang w:eastAsia="zh-CN"/>
              </w:rPr>
              <w:t>升压站</w:t>
            </w:r>
            <w:r>
              <w:rPr>
                <w:rFonts w:hint="default" w:ascii="Times New Roman" w:hAnsi="Times New Roman" w:eastAsia="宋体" w:cs="Times New Roman"/>
                <w:spacing w:val="-11"/>
                <w:sz w:val="24"/>
                <w:szCs w:val="24"/>
              </w:rPr>
              <w:t>环境噪声现状监测结果见下表。</w:t>
            </w:r>
          </w:p>
          <w:p w14:paraId="1875E6D4">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表 3-2 声环境质量现状监测及评价结果单位： dB(A)</w:t>
            </w:r>
          </w:p>
          <w:tbl>
            <w:tblPr>
              <w:tblStyle w:val="22"/>
              <w:tblW w:w="79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844"/>
              <w:gridCol w:w="2064"/>
              <w:gridCol w:w="1582"/>
              <w:gridCol w:w="1582"/>
            </w:tblGrid>
            <w:tr w14:paraId="75048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2DECEBE5">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序号</w:t>
                  </w:r>
                </w:p>
              </w:tc>
              <w:tc>
                <w:tcPr>
                  <w:tcW w:w="1844" w:type="dxa"/>
                  <w:tcBorders>
                    <w:tl2br w:val="nil"/>
                    <w:tr2bl w:val="nil"/>
                  </w:tcBorders>
                  <w:vAlign w:val="center"/>
                </w:tcPr>
                <w:p w14:paraId="78D02F06">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监测点位</w:t>
                  </w:r>
                </w:p>
              </w:tc>
              <w:tc>
                <w:tcPr>
                  <w:tcW w:w="2064" w:type="dxa"/>
                  <w:tcBorders>
                    <w:tl2br w:val="nil"/>
                    <w:tr2bl w:val="nil"/>
                  </w:tcBorders>
                  <w:vAlign w:val="center"/>
                </w:tcPr>
                <w:p w14:paraId="58DC69BE">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监测日期</w:t>
                  </w:r>
                </w:p>
              </w:tc>
              <w:tc>
                <w:tcPr>
                  <w:tcW w:w="1582" w:type="dxa"/>
                  <w:tcBorders>
                    <w:tl2br w:val="nil"/>
                    <w:tr2bl w:val="nil"/>
                  </w:tcBorders>
                  <w:vAlign w:val="center"/>
                </w:tcPr>
                <w:p w14:paraId="24072EC8">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昼间</w:t>
                  </w:r>
                </w:p>
              </w:tc>
              <w:tc>
                <w:tcPr>
                  <w:tcW w:w="1582" w:type="dxa"/>
                  <w:tcBorders>
                    <w:tl2br w:val="nil"/>
                    <w:tr2bl w:val="nil"/>
                  </w:tcBorders>
                  <w:vAlign w:val="center"/>
                </w:tcPr>
                <w:p w14:paraId="5B06B73D">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夜间</w:t>
                  </w:r>
                </w:p>
              </w:tc>
            </w:tr>
            <w:tr w14:paraId="0FE80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39F6DEE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44" w:type="dxa"/>
                  <w:tcBorders>
                    <w:tl2br w:val="nil"/>
                    <w:tr2bl w:val="nil"/>
                  </w:tcBorders>
                  <w:vAlign w:val="center"/>
                </w:tcPr>
                <w:p w14:paraId="7127DDB3">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升压站厂界东</w:t>
                  </w:r>
                </w:p>
              </w:tc>
              <w:tc>
                <w:tcPr>
                  <w:tcW w:w="2064" w:type="dxa"/>
                  <w:tcBorders>
                    <w:tl2br w:val="nil"/>
                    <w:tr2bl w:val="nil"/>
                  </w:tcBorders>
                  <w:vAlign w:val="center"/>
                </w:tcPr>
                <w:p w14:paraId="5094B4C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12B368A7">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38</w:t>
                  </w:r>
                </w:p>
              </w:tc>
              <w:tc>
                <w:tcPr>
                  <w:tcW w:w="1582" w:type="dxa"/>
                  <w:tcBorders>
                    <w:tl2br w:val="nil"/>
                    <w:tr2bl w:val="nil"/>
                  </w:tcBorders>
                  <w:vAlign w:val="center"/>
                </w:tcPr>
                <w:p w14:paraId="1C0DCA1B">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r>
            <w:tr w14:paraId="4AF28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3C77195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44" w:type="dxa"/>
                  <w:tcBorders>
                    <w:tl2br w:val="nil"/>
                    <w:tr2bl w:val="nil"/>
                  </w:tcBorders>
                  <w:vAlign w:val="center"/>
                </w:tcPr>
                <w:p w14:paraId="0B534D18">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升压站厂界南</w:t>
                  </w:r>
                </w:p>
              </w:tc>
              <w:tc>
                <w:tcPr>
                  <w:tcW w:w="2064" w:type="dxa"/>
                  <w:tcBorders>
                    <w:tl2br w:val="nil"/>
                    <w:tr2bl w:val="nil"/>
                  </w:tcBorders>
                  <w:vAlign w:val="center"/>
                </w:tcPr>
                <w:p w14:paraId="1534CF06">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7DD20D85">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39</w:t>
                  </w:r>
                </w:p>
              </w:tc>
              <w:tc>
                <w:tcPr>
                  <w:tcW w:w="1582" w:type="dxa"/>
                  <w:tcBorders>
                    <w:tl2br w:val="nil"/>
                    <w:tr2bl w:val="nil"/>
                  </w:tcBorders>
                  <w:vAlign w:val="center"/>
                </w:tcPr>
                <w:p w14:paraId="37834A18">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15D9F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68FA90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44" w:type="dxa"/>
                  <w:tcBorders>
                    <w:tl2br w:val="nil"/>
                    <w:tr2bl w:val="nil"/>
                  </w:tcBorders>
                  <w:vAlign w:val="center"/>
                </w:tcPr>
                <w:p w14:paraId="1342F102">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升压站厂界西</w:t>
                  </w:r>
                </w:p>
              </w:tc>
              <w:tc>
                <w:tcPr>
                  <w:tcW w:w="2064" w:type="dxa"/>
                  <w:tcBorders>
                    <w:tl2br w:val="nil"/>
                    <w:tr2bl w:val="nil"/>
                  </w:tcBorders>
                  <w:vAlign w:val="center"/>
                </w:tcPr>
                <w:p w14:paraId="250ECEA9">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6ECB2C9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1582" w:type="dxa"/>
                  <w:tcBorders>
                    <w:tl2br w:val="nil"/>
                    <w:tr2bl w:val="nil"/>
                  </w:tcBorders>
                  <w:vAlign w:val="center"/>
                </w:tcPr>
                <w:p w14:paraId="396E047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42ED9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25203E9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44" w:type="dxa"/>
                  <w:tcBorders>
                    <w:tl2br w:val="nil"/>
                    <w:tr2bl w:val="nil"/>
                  </w:tcBorders>
                  <w:vAlign w:val="center"/>
                </w:tcPr>
                <w:p w14:paraId="34A6E86A">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升压站厂界北</w:t>
                  </w:r>
                </w:p>
              </w:tc>
              <w:tc>
                <w:tcPr>
                  <w:tcW w:w="2064" w:type="dxa"/>
                  <w:tcBorders>
                    <w:tl2br w:val="nil"/>
                    <w:tr2bl w:val="nil"/>
                  </w:tcBorders>
                  <w:vAlign w:val="center"/>
                </w:tcPr>
                <w:p w14:paraId="72EF24EA">
                  <w:pPr>
                    <w:spacing w:line="240" w:lineRule="auto"/>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3D5CF55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37</w:t>
                  </w:r>
                </w:p>
              </w:tc>
              <w:tc>
                <w:tcPr>
                  <w:tcW w:w="1582" w:type="dxa"/>
                  <w:tcBorders>
                    <w:tl2br w:val="nil"/>
                    <w:tr2bl w:val="nil"/>
                  </w:tcBorders>
                  <w:vAlign w:val="center"/>
                </w:tcPr>
                <w:p w14:paraId="3CDE65EF">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w:t>
                  </w:r>
                </w:p>
              </w:tc>
            </w:tr>
            <w:tr w14:paraId="69083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65899EEA">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44" w:type="dxa"/>
                  <w:tcBorders>
                    <w:tl2br w:val="nil"/>
                    <w:tr2bl w:val="nil"/>
                  </w:tcBorders>
                  <w:vAlign w:val="center"/>
                </w:tcPr>
                <w:p w14:paraId="5D3A04F8">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kern w:val="2"/>
                      <w:sz w:val="21"/>
                      <w:szCs w:val="21"/>
                      <w:lang w:val="en-US" w:eastAsia="zh-CN" w:bidi="ar-SA"/>
                    </w:rPr>
                    <w:t>道坡村</w:t>
                  </w:r>
                </w:p>
              </w:tc>
              <w:tc>
                <w:tcPr>
                  <w:tcW w:w="2064" w:type="dxa"/>
                  <w:tcBorders>
                    <w:tl2br w:val="nil"/>
                    <w:tr2bl w:val="nil"/>
                  </w:tcBorders>
                  <w:vAlign w:val="center"/>
                </w:tcPr>
                <w:p w14:paraId="43FC31E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25B9EF7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47</w:t>
                  </w:r>
                </w:p>
              </w:tc>
              <w:tc>
                <w:tcPr>
                  <w:tcW w:w="1582" w:type="dxa"/>
                  <w:tcBorders>
                    <w:tl2br w:val="nil"/>
                    <w:tr2bl w:val="nil"/>
                  </w:tcBorders>
                  <w:vAlign w:val="center"/>
                </w:tcPr>
                <w:p w14:paraId="22C91D0D">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r>
            <w:tr w14:paraId="34FB2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2" w:type="dxa"/>
                  <w:tcBorders>
                    <w:tl2br w:val="nil"/>
                    <w:tr2bl w:val="nil"/>
                  </w:tcBorders>
                  <w:vAlign w:val="center"/>
                </w:tcPr>
                <w:p w14:paraId="755750A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w:t>
                  </w:r>
                </w:p>
              </w:tc>
              <w:tc>
                <w:tcPr>
                  <w:tcW w:w="1844" w:type="dxa"/>
                  <w:tcBorders>
                    <w:tl2br w:val="nil"/>
                    <w:tr2bl w:val="nil"/>
                  </w:tcBorders>
                  <w:vAlign w:val="center"/>
                </w:tcPr>
                <w:p w14:paraId="7BA1C6B9">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color w:val="auto"/>
                      <w:kern w:val="2"/>
                      <w:sz w:val="21"/>
                      <w:szCs w:val="21"/>
                      <w:lang w:val="en-US" w:eastAsia="zh-CN" w:bidi="ar-SA"/>
                    </w:rPr>
                    <w:t>上邦瓦村</w:t>
                  </w:r>
                </w:p>
              </w:tc>
              <w:tc>
                <w:tcPr>
                  <w:tcW w:w="2064" w:type="dxa"/>
                  <w:tcBorders>
                    <w:tl2br w:val="nil"/>
                    <w:tr2bl w:val="nil"/>
                  </w:tcBorders>
                  <w:vAlign w:val="center"/>
                </w:tcPr>
                <w:p w14:paraId="7C04E48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2022年</w:t>
                  </w:r>
                  <w:r>
                    <w:rPr>
                      <w:rFonts w:hint="eastAsia" w:ascii="Times New Roman" w:hAnsi="Times New Roman" w:eastAsia="宋体" w:cs="Times New Roman"/>
                      <w:sz w:val="21"/>
                      <w:szCs w:val="21"/>
                      <w:lang w:val="en-US" w:eastAsia="zh-CN"/>
                    </w:rPr>
                    <w:t>11</w:t>
                  </w:r>
                  <w:r>
                    <w:rPr>
                      <w:rFonts w:hint="default" w:ascii="Times New Roman" w:hAnsi="Times New Roman" w:eastAsia="宋体" w:cs="Times New Roman"/>
                      <w:sz w:val="21"/>
                      <w:szCs w:val="21"/>
                      <w:lang w:val="en-US" w:eastAsia="zh-CN"/>
                    </w:rPr>
                    <w:t>月</w:t>
                  </w:r>
                  <w:r>
                    <w:rPr>
                      <w:rFonts w:hint="eastAsia" w:ascii="Times New Roman" w:hAnsi="Times New Roman" w:eastAsia="宋体" w:cs="Times New Roman"/>
                      <w:sz w:val="21"/>
                      <w:szCs w:val="21"/>
                      <w:lang w:val="en-US" w:eastAsia="zh-CN"/>
                    </w:rPr>
                    <w:t>30</w:t>
                  </w:r>
                  <w:r>
                    <w:rPr>
                      <w:rFonts w:hint="default" w:ascii="Times New Roman" w:hAnsi="Times New Roman" w:eastAsia="宋体" w:cs="Times New Roman"/>
                      <w:sz w:val="21"/>
                      <w:szCs w:val="21"/>
                      <w:lang w:val="en-US" w:eastAsia="zh-CN"/>
                    </w:rPr>
                    <w:t>日</w:t>
                  </w:r>
                </w:p>
              </w:tc>
              <w:tc>
                <w:tcPr>
                  <w:tcW w:w="1582" w:type="dxa"/>
                  <w:tcBorders>
                    <w:tl2br w:val="nil"/>
                    <w:tr2bl w:val="nil"/>
                  </w:tcBorders>
                  <w:vAlign w:val="center"/>
                </w:tcPr>
                <w:p w14:paraId="52FA36C1">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1582" w:type="dxa"/>
                  <w:tcBorders>
                    <w:tl2br w:val="nil"/>
                    <w:tr2bl w:val="nil"/>
                  </w:tcBorders>
                  <w:vAlign w:val="center"/>
                </w:tcPr>
                <w:p w14:paraId="069D8B14">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w:t>
                  </w:r>
                </w:p>
              </w:tc>
            </w:tr>
          </w:tbl>
          <w:p w14:paraId="3384D0E9">
            <w:pPr>
              <w:spacing w:before="35" w:line="359" w:lineRule="auto"/>
              <w:ind w:right="219" w:firstLine="476" w:firstLineChars="200"/>
              <w:rPr>
                <w:rFonts w:ascii="宋体" w:hAnsi="宋体" w:eastAsia="宋体" w:cs="宋体"/>
                <w:sz w:val="24"/>
                <w:szCs w:val="24"/>
              </w:rPr>
            </w:pPr>
            <w:r>
              <w:rPr>
                <w:rFonts w:ascii="宋体" w:hAnsi="宋体" w:eastAsia="宋体" w:cs="宋体"/>
                <w:spacing w:val="-1"/>
                <w:sz w:val="24"/>
                <w:szCs w:val="24"/>
              </w:rPr>
              <w:t>根据监测结果显示，项目区声环境质量现状满足《声环境质</w:t>
            </w:r>
            <w:r>
              <w:rPr>
                <w:rFonts w:ascii="宋体" w:hAnsi="宋体" w:eastAsia="宋体" w:cs="宋体"/>
                <w:spacing w:val="-2"/>
                <w:sz w:val="24"/>
                <w:szCs w:val="24"/>
              </w:rPr>
              <w:t>量标准》（</w:t>
            </w:r>
            <w:r>
              <w:rPr>
                <w:rFonts w:ascii="Times New Roman" w:hAnsi="Times New Roman" w:eastAsia="Times New Roman" w:cs="Times New Roman"/>
                <w:spacing w:val="-2"/>
                <w:sz w:val="24"/>
                <w:szCs w:val="24"/>
              </w:rPr>
              <w:t>B3096-2008</w:t>
            </w: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类标准要求。</w:t>
            </w:r>
          </w:p>
          <w:p w14:paraId="72BBEDCA">
            <w:pPr>
              <w:spacing w:line="360" w:lineRule="auto"/>
              <w:ind w:firstLine="482" w:firstLineChars="200"/>
              <w:jc w:val="left"/>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6.5</w:t>
            </w:r>
            <w:r>
              <w:rPr>
                <w:rFonts w:hint="default" w:ascii="Times New Roman" w:hAnsi="Times New Roman" w:eastAsia="宋体" w:cs="Times New Roman"/>
                <w:b/>
                <w:bCs/>
                <w:lang w:val="en-US" w:eastAsia="zh-CN"/>
              </w:rPr>
              <w:t>环境敏感区</w:t>
            </w:r>
          </w:p>
          <w:p w14:paraId="359E5937">
            <w:pPr>
              <w:spacing w:line="360" w:lineRule="auto"/>
              <w:ind w:firstLine="448" w:firstLineChars="200"/>
              <w:rPr>
                <w:rFonts w:hint="default"/>
                <w:lang w:val="en-US" w:eastAsia="zh-CN"/>
              </w:rPr>
            </w:pPr>
            <w:r>
              <w:rPr>
                <w:rFonts w:hint="default" w:ascii="宋体" w:hAnsi="宋体" w:eastAsia="宋体" w:cs="宋体"/>
                <w:spacing w:val="-8"/>
                <w:sz w:val="24"/>
                <w:szCs w:val="24"/>
              </w:rPr>
              <w:t>经现场调查项目区内未发现文物保护单位，且项目占地不涉及国务院、国家有关部门、省（自治区、直辖市）人民政府、市（州）人民政府、县（区、市）人民政府规定的生态保护区、自然保护区、风景名胜区、文化遗产保护区、水源保护区。根据现场踏勘，项目区内无地质遗迹分布，不属于地质遗迹保护区，项目所在地不属于自然保护区，附近没有国家、省、市级保护文物以及学校、医院等，项目所在区域无古树名树；项目区周围200m的范围区内无国家规定的保护动植物。</w:t>
            </w:r>
          </w:p>
        </w:tc>
      </w:tr>
      <w:tr w14:paraId="72C43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9" w:type="dxa"/>
            <w:gridSpan w:val="2"/>
            <w:vAlign w:val="center"/>
          </w:tcPr>
          <w:p w14:paraId="1AFBB01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ascii="Times New Roman" w:hAnsi="Times New Roman"/>
                <w:bCs/>
                <w:color w:val="000000"/>
                <w:sz w:val="24"/>
              </w:rPr>
              <w:t>与项目有关的原有环境污染和生态破坏问题</w:t>
            </w:r>
          </w:p>
        </w:tc>
        <w:tc>
          <w:tcPr>
            <w:tcW w:w="7793" w:type="dxa"/>
            <w:vAlign w:val="center"/>
          </w:tcPr>
          <w:p w14:paraId="6718EEF8">
            <w:pPr>
              <w:keepNext w:val="0"/>
              <w:keepLines w:val="0"/>
              <w:pageBreakBefore w:val="0"/>
              <w:widowControl w:val="0"/>
              <w:kinsoku/>
              <w:wordWrap/>
              <w:overflowPunct/>
              <w:topLinePunct w:val="0"/>
              <w:autoSpaceDE/>
              <w:autoSpaceDN/>
              <w:bidi w:val="0"/>
              <w:adjustRightInd/>
              <w:snapToGrid/>
              <w:spacing w:line="360" w:lineRule="auto"/>
              <w:ind w:firstLine="472" w:firstLineChars="200"/>
              <w:textAlignment w:val="auto"/>
              <w:rPr>
                <w:rFonts w:ascii="宋体" w:hAnsi="宋体" w:eastAsia="宋体" w:cs="宋体"/>
                <w:spacing w:val="-2"/>
                <w:sz w:val="24"/>
                <w:szCs w:val="24"/>
              </w:rPr>
            </w:pPr>
            <w:r>
              <w:rPr>
                <w:rFonts w:ascii="宋体" w:hAnsi="宋体" w:eastAsia="宋体" w:cs="宋体"/>
                <w:spacing w:val="-2"/>
                <w:sz w:val="24"/>
                <w:szCs w:val="24"/>
              </w:rPr>
              <w:t>本项目为新建项目，无与本项目相关的原有污染和生态破坏问题。</w:t>
            </w:r>
          </w:p>
        </w:tc>
      </w:tr>
      <w:tr w14:paraId="077B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7" w:hRule="atLeast"/>
        </w:trPr>
        <w:tc>
          <w:tcPr>
            <w:tcW w:w="729" w:type="dxa"/>
            <w:gridSpan w:val="2"/>
            <w:vAlign w:val="center"/>
          </w:tcPr>
          <w:p w14:paraId="7F00F89B">
            <w:pPr>
              <w:jc w:val="center"/>
              <w:rPr>
                <w:rFonts w:ascii="Times New Roman" w:hAnsi="Times New Roman"/>
                <w:bCs/>
                <w:color w:val="000000"/>
                <w:sz w:val="24"/>
              </w:rPr>
            </w:pPr>
            <w:r>
              <w:rPr>
                <w:rFonts w:ascii="Times New Roman" w:hAnsi="Times New Roman"/>
                <w:color w:val="000000"/>
                <w:kern w:val="0"/>
                <w:sz w:val="24"/>
              </w:rPr>
              <w:t>生态环境保护目标</w:t>
            </w:r>
          </w:p>
        </w:tc>
        <w:tc>
          <w:tcPr>
            <w:tcW w:w="7793" w:type="dxa"/>
          </w:tcPr>
          <w:p w14:paraId="2DFEEC6C">
            <w:pPr>
              <w:spacing w:line="360" w:lineRule="auto"/>
              <w:rPr>
                <w:rFonts w:hint="default"/>
                <w:b/>
                <w:bCs/>
                <w:lang w:val="en-US" w:eastAsia="zh-CN"/>
              </w:rPr>
            </w:pPr>
            <w:r>
              <w:rPr>
                <w:rFonts w:hint="eastAsia"/>
                <w:b/>
                <w:bCs/>
                <w:lang w:val="en-US" w:eastAsia="zh-CN"/>
              </w:rPr>
              <w:t>一</w:t>
            </w:r>
            <w:r>
              <w:rPr>
                <w:rFonts w:hint="default"/>
                <w:b/>
                <w:bCs/>
                <w:lang w:val="en-US" w:eastAsia="zh-CN"/>
              </w:rPr>
              <w:t>、项目环境保护目标</w:t>
            </w:r>
          </w:p>
          <w:p w14:paraId="044E05E4">
            <w:pPr>
              <w:spacing w:line="360" w:lineRule="auto"/>
              <w:ind w:firstLine="480" w:firstLineChars="200"/>
              <w:rPr>
                <w:rFonts w:hint="default"/>
                <w:lang w:val="en-US" w:eastAsia="zh-CN"/>
              </w:rPr>
            </w:pPr>
            <w:r>
              <w:rPr>
                <w:rFonts w:hint="default"/>
                <w:lang w:val="en-US" w:eastAsia="zh-CN"/>
              </w:rPr>
              <w:t>1、生态环境保护目标</w:t>
            </w:r>
          </w:p>
          <w:p w14:paraId="7A00698D">
            <w:pPr>
              <w:spacing w:line="360" w:lineRule="auto"/>
              <w:ind w:firstLine="480" w:firstLineChars="200"/>
              <w:rPr>
                <w:rFonts w:hint="default" w:ascii="Times New Roman" w:hAnsi="Times New Roman" w:cs="Times New Roman"/>
                <w:color w:val="auto"/>
                <w:lang w:val="en-US" w:eastAsia="zh-CN"/>
              </w:rPr>
            </w:pPr>
            <w:r>
              <w:rPr>
                <w:rFonts w:hint="default"/>
                <w:color w:val="auto"/>
                <w:lang w:val="en-US" w:eastAsia="zh-CN"/>
              </w:rPr>
              <w:t>根据现场踏勘、资料收集和调研工作，本工程不涉及《建设项目环境影响评价分类管理名录</w:t>
            </w:r>
            <w:r>
              <w:rPr>
                <w:rFonts w:hint="default" w:ascii="Times New Roman" w:hAnsi="Times New Roman" w:cs="Times New Roman"/>
                <w:color w:val="auto"/>
                <w:lang w:val="en-US" w:eastAsia="zh-CN"/>
              </w:rPr>
              <w:t>（2021 年版）》(生态环境部令第16号)第三条(一)中的环境敏感区，即不涉及国家公园、自然保护区、风景名胜区、世界文化和自然遗产地、海洋特别保护区、饮用水水源保护区；不涉及《环境影响评价技术导则生态影响》（HJ 19-2011）中</w:t>
            </w:r>
            <w:r>
              <w:rPr>
                <w:rFonts w:hint="default"/>
                <w:color w:val="auto"/>
                <w:lang w:val="en-US" w:eastAsia="zh-CN"/>
              </w:rPr>
              <w:t>规定的自然保护区、世界文化和自然遗产地等特殊生</w:t>
            </w:r>
            <w:r>
              <w:rPr>
                <w:rFonts w:hint="default" w:ascii="Times New Roman" w:hAnsi="Times New Roman" w:cs="Times New Roman"/>
                <w:color w:val="auto"/>
                <w:lang w:val="en-US" w:eastAsia="zh-CN"/>
              </w:rPr>
              <w:t>态敏感区和风景名胜区、森林公园、地质公园等重要生态敏感区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不涉及云南省生态保护红线。且根据《环境影响评价技术导则输变电》（HJ24-2020）升压站生态环境影响评价范围为500m，输电线路地面投影外两侧300m带状区域。本项目升压站500m范围无生态保护目标，本项目不涉及输电线路。</w:t>
            </w:r>
          </w:p>
          <w:p w14:paraId="22F029E3">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2、地表水环境保护目标</w:t>
            </w:r>
          </w:p>
          <w:p w14:paraId="2AB7B9B0">
            <w:pPr>
              <w:spacing w:line="360" w:lineRule="auto"/>
              <w:ind w:firstLine="480" w:firstLineChars="200"/>
              <w:rPr>
                <w:rFonts w:hint="eastAsia" w:ascii="Times New Roman" w:hAnsi="Times New Roman" w:eastAsia="宋体" w:cs="Times New Roman"/>
                <w:color w:val="auto"/>
                <w:lang w:val="en-US" w:eastAsia="zh-CN"/>
              </w:rPr>
            </w:pPr>
            <w:r>
              <w:rPr>
                <w:rFonts w:hint="default" w:ascii="Times New Roman" w:hAnsi="Times New Roman" w:cs="Times New Roman"/>
                <w:color w:val="auto"/>
                <w:sz w:val="24"/>
                <w:szCs w:val="24"/>
                <w:lang w:val="en-US" w:eastAsia="zh-CN"/>
              </w:rPr>
              <w:t>根据《环境影响评价技术导则输变电》（HJ24-2020），项目地表水环境评价范围根据《环境影响评价技术导则地表水环境》(HJ2.3-2018）确定，</w:t>
            </w:r>
            <w:r>
              <w:rPr>
                <w:rFonts w:hint="default" w:ascii="Times New Roman" w:hAnsi="Times New Roman" w:cs="Times New Roman"/>
                <w:color w:val="auto"/>
                <w:lang w:val="en-US" w:eastAsia="zh-CN"/>
              </w:rPr>
              <w:t>本项目地处</w:t>
            </w:r>
            <w:r>
              <w:rPr>
                <w:rFonts w:hint="default" w:ascii="Times New Roman" w:hAnsi="Times New Roman" w:eastAsia="宋体" w:cs="Times New Roman"/>
                <w:b w:val="0"/>
                <w:bCs w:val="0"/>
                <w:spacing w:val="0"/>
                <w:kern w:val="2"/>
                <w:sz w:val="24"/>
                <w:szCs w:val="24"/>
                <w:lang w:val="en-US" w:eastAsia="zh-CN" w:bidi="ar-SA"/>
              </w:rPr>
              <w:t>芒市大河属于伊洛瓦底江流域</w:t>
            </w:r>
            <w:r>
              <w:rPr>
                <w:rFonts w:hint="default" w:ascii="Times New Roman" w:hAnsi="Times New Roman" w:cs="Times New Roman"/>
                <w:color w:val="auto"/>
                <w:lang w:val="en-US" w:eastAsia="zh-CN"/>
              </w:rPr>
              <w:t>，项目周边地表水环境保护目标如下表所示。</w:t>
            </w:r>
            <w:r>
              <w:rPr>
                <w:rFonts w:hint="default" w:ascii="Times New Roman" w:hAnsi="Times New Roman" w:eastAsia="宋体" w:cs="Times New Roman"/>
                <w:b w:val="0"/>
                <w:bCs w:val="0"/>
                <w:spacing w:val="0"/>
                <w:kern w:val="2"/>
                <w:sz w:val="24"/>
                <w:szCs w:val="24"/>
                <w:lang w:val="en-US" w:eastAsia="zh-CN" w:bidi="ar-SA"/>
              </w:rPr>
              <w:t>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default" w:ascii="Times New Roman" w:hAnsi="Times New Roman" w:eastAsia="宋体" w:cs="Times New Roman"/>
                <w:b w:val="0"/>
                <w:bCs w:val="0"/>
                <w:spacing w:val="0"/>
                <w:kern w:val="2"/>
                <w:sz w:val="24"/>
                <w:szCs w:val="24"/>
                <w:lang w:val="en-US" w:eastAsia="zh-CN" w:bidi="ar-SA"/>
              </w:rPr>
              <w:t>芒市大河</w:t>
            </w:r>
            <w:r>
              <w:rPr>
                <w:rFonts w:hint="eastAsia" w:ascii="Times New Roman" w:hAnsi="Times New Roman" w:eastAsia="宋体" w:cs="Times New Roman"/>
                <w:b w:val="0"/>
                <w:bCs w:val="0"/>
                <w:spacing w:val="0"/>
                <w:kern w:val="2"/>
                <w:sz w:val="24"/>
                <w:szCs w:val="24"/>
                <w:lang w:val="en-US" w:eastAsia="zh-CN" w:bidi="ar-SA"/>
              </w:rPr>
              <w:t>支流。</w:t>
            </w:r>
          </w:p>
          <w:p w14:paraId="0BEE1A1F">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w:t>
            </w:r>
            <w:r>
              <w:rPr>
                <w:rFonts w:hint="default" w:ascii="Times New Roman" w:hAnsi="Times New Roman" w:cs="Times New Roman"/>
                <w:b/>
                <w:bCs/>
                <w:sz w:val="21"/>
                <w:szCs w:val="21"/>
              </w:rPr>
              <w:t>地表水环境保护目标一览表</w:t>
            </w:r>
          </w:p>
          <w:tbl>
            <w:tblPr>
              <w:tblStyle w:val="22"/>
              <w:tblW w:w="7546"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179"/>
              <w:gridCol w:w="1734"/>
              <w:gridCol w:w="895"/>
              <w:gridCol w:w="1337"/>
              <w:gridCol w:w="1775"/>
            </w:tblGrid>
            <w:tr w14:paraId="159B9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32BBDB7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环境要素</w:t>
                  </w:r>
                </w:p>
              </w:tc>
              <w:tc>
                <w:tcPr>
                  <w:tcW w:w="1179" w:type="dxa"/>
                  <w:tcBorders>
                    <w:tl2br w:val="nil"/>
                    <w:tr2bl w:val="nil"/>
                  </w:tcBorders>
                  <w:vAlign w:val="center"/>
                </w:tcPr>
                <w:p w14:paraId="6E472311">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保护对象</w:t>
                  </w:r>
                </w:p>
              </w:tc>
              <w:tc>
                <w:tcPr>
                  <w:tcW w:w="1734" w:type="dxa"/>
                  <w:tcBorders>
                    <w:tl2br w:val="nil"/>
                    <w:tr2bl w:val="nil"/>
                  </w:tcBorders>
                  <w:vAlign w:val="center"/>
                </w:tcPr>
                <w:p w14:paraId="750B0307">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与项目位置关系</w:t>
                  </w:r>
                </w:p>
              </w:tc>
              <w:tc>
                <w:tcPr>
                  <w:tcW w:w="895" w:type="dxa"/>
                  <w:tcBorders>
                    <w:tl2br w:val="nil"/>
                    <w:tr2bl w:val="nil"/>
                  </w:tcBorders>
                  <w:vAlign w:val="center"/>
                </w:tcPr>
                <w:p w14:paraId="16CA7DAC">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距离（m）</w:t>
                  </w:r>
                </w:p>
              </w:tc>
              <w:tc>
                <w:tcPr>
                  <w:tcW w:w="1337" w:type="dxa"/>
                  <w:tcBorders>
                    <w:tl2br w:val="nil"/>
                    <w:tr2bl w:val="nil"/>
                  </w:tcBorders>
                  <w:vAlign w:val="center"/>
                </w:tcPr>
                <w:p w14:paraId="6A6AA046">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特性/规模</w:t>
                  </w:r>
                </w:p>
              </w:tc>
              <w:tc>
                <w:tcPr>
                  <w:tcW w:w="1775" w:type="dxa"/>
                  <w:tcBorders>
                    <w:tl2br w:val="nil"/>
                    <w:tr2bl w:val="nil"/>
                  </w:tcBorders>
                  <w:vAlign w:val="center"/>
                </w:tcPr>
                <w:p w14:paraId="39267162">
                  <w:pPr>
                    <w:spacing w:line="240" w:lineRule="auto"/>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rPr>
                    <w:t>保护级别</w:t>
                  </w:r>
                </w:p>
              </w:tc>
            </w:tr>
            <w:tr w14:paraId="15343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restart"/>
                  <w:tcBorders>
                    <w:tl2br w:val="nil"/>
                    <w:tr2bl w:val="nil"/>
                  </w:tcBorders>
                  <w:vAlign w:val="center"/>
                </w:tcPr>
                <w:p w14:paraId="4CAA00F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水环境</w:t>
                  </w:r>
                </w:p>
              </w:tc>
              <w:tc>
                <w:tcPr>
                  <w:tcW w:w="1179" w:type="dxa"/>
                  <w:tcBorders>
                    <w:tl2br w:val="nil"/>
                    <w:tr2bl w:val="nil"/>
                  </w:tcBorders>
                  <w:vAlign w:val="center"/>
                </w:tcPr>
                <w:p w14:paraId="2450D016">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南懒河</w:t>
                  </w:r>
                </w:p>
              </w:tc>
              <w:tc>
                <w:tcPr>
                  <w:tcW w:w="1734" w:type="dxa"/>
                  <w:tcBorders>
                    <w:tl2br w:val="nil"/>
                    <w:tr2bl w:val="nil"/>
                  </w:tcBorders>
                  <w:vAlign w:val="center"/>
                </w:tcPr>
                <w:p w14:paraId="524BB87C">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光伏区东侧</w:t>
                  </w:r>
                </w:p>
              </w:tc>
              <w:tc>
                <w:tcPr>
                  <w:tcW w:w="895" w:type="dxa"/>
                  <w:tcBorders>
                    <w:tl2br w:val="nil"/>
                    <w:tr2bl w:val="nil"/>
                  </w:tcBorders>
                  <w:vAlign w:val="center"/>
                </w:tcPr>
                <w:p w14:paraId="65A2EFA4">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178</w:t>
                  </w:r>
                </w:p>
              </w:tc>
              <w:tc>
                <w:tcPr>
                  <w:tcW w:w="1337" w:type="dxa"/>
                  <w:vMerge w:val="restart"/>
                  <w:tcBorders>
                    <w:tl2br w:val="nil"/>
                    <w:tr2bl w:val="nil"/>
                  </w:tcBorders>
                  <w:vAlign w:val="center"/>
                </w:tcPr>
                <w:p w14:paraId="1A5033B7">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轩岗河支流</w:t>
                  </w:r>
                </w:p>
                <w:p w14:paraId="3EE350D4">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restart"/>
                  <w:tcBorders>
                    <w:tl2br w:val="nil"/>
                    <w:tr2bl w:val="nil"/>
                  </w:tcBorders>
                  <w:vAlign w:val="center"/>
                </w:tcPr>
                <w:p w14:paraId="22E6A2E9">
                  <w:p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rPr>
                    <w:t>《地表水环境质量标准》  （GB3838-2002） Ⅲ类标准</w:t>
                  </w:r>
                </w:p>
              </w:tc>
            </w:tr>
            <w:tr w14:paraId="6ED08E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4B44D3AE">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3F65F6EC">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南哈河</w:t>
                  </w:r>
                </w:p>
              </w:tc>
              <w:tc>
                <w:tcPr>
                  <w:tcW w:w="1734" w:type="dxa"/>
                  <w:tcBorders>
                    <w:tl2br w:val="nil"/>
                    <w:tr2bl w:val="nil"/>
                  </w:tcBorders>
                  <w:vAlign w:val="center"/>
                </w:tcPr>
                <w:p w14:paraId="3397EDEE">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光伏区东侧</w:t>
                  </w:r>
                </w:p>
              </w:tc>
              <w:tc>
                <w:tcPr>
                  <w:tcW w:w="895" w:type="dxa"/>
                  <w:tcBorders>
                    <w:tl2br w:val="nil"/>
                    <w:tr2bl w:val="nil"/>
                  </w:tcBorders>
                  <w:vAlign w:val="center"/>
                </w:tcPr>
                <w:p w14:paraId="625C3DD8">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617</w:t>
                  </w:r>
                </w:p>
              </w:tc>
              <w:tc>
                <w:tcPr>
                  <w:tcW w:w="1337" w:type="dxa"/>
                  <w:vMerge w:val="continue"/>
                  <w:tcBorders>
                    <w:tl2br w:val="nil"/>
                    <w:tr2bl w:val="nil"/>
                  </w:tcBorders>
                  <w:vAlign w:val="center"/>
                </w:tcPr>
                <w:p w14:paraId="3F677196">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continue"/>
                  <w:tcBorders>
                    <w:tl2br w:val="nil"/>
                    <w:tr2bl w:val="nil"/>
                  </w:tcBorders>
                  <w:vAlign w:val="center"/>
                </w:tcPr>
                <w:p w14:paraId="0019FF3A">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064A5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5B656A0D">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5D5685D2">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南腊河</w:t>
                  </w:r>
                </w:p>
              </w:tc>
              <w:tc>
                <w:tcPr>
                  <w:tcW w:w="1734" w:type="dxa"/>
                  <w:tcBorders>
                    <w:tl2br w:val="nil"/>
                    <w:tr2bl w:val="nil"/>
                  </w:tcBorders>
                  <w:vAlign w:val="center"/>
                </w:tcPr>
                <w:p w14:paraId="67574525">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光伏区南侧</w:t>
                  </w:r>
                </w:p>
              </w:tc>
              <w:tc>
                <w:tcPr>
                  <w:tcW w:w="895" w:type="dxa"/>
                  <w:tcBorders>
                    <w:tl2br w:val="nil"/>
                    <w:tr2bl w:val="nil"/>
                  </w:tcBorders>
                  <w:vAlign w:val="center"/>
                </w:tcPr>
                <w:p w14:paraId="11D216F7">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506</w:t>
                  </w:r>
                </w:p>
              </w:tc>
              <w:tc>
                <w:tcPr>
                  <w:tcW w:w="1337" w:type="dxa"/>
                  <w:vMerge w:val="continue"/>
                  <w:tcBorders>
                    <w:tl2br w:val="nil"/>
                    <w:tr2bl w:val="nil"/>
                  </w:tcBorders>
                  <w:vAlign w:val="center"/>
                </w:tcPr>
                <w:p w14:paraId="599CF9EE">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p>
              </w:tc>
              <w:tc>
                <w:tcPr>
                  <w:tcW w:w="1775" w:type="dxa"/>
                  <w:vMerge w:val="continue"/>
                  <w:tcBorders>
                    <w:tl2br w:val="nil"/>
                    <w:tr2bl w:val="nil"/>
                  </w:tcBorders>
                  <w:vAlign w:val="center"/>
                </w:tcPr>
                <w:p w14:paraId="37B0BCEE">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08C7D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29098A9D">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36C0BA40">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轩岗河</w:t>
                  </w:r>
                </w:p>
              </w:tc>
              <w:tc>
                <w:tcPr>
                  <w:tcW w:w="1734" w:type="dxa"/>
                  <w:tcBorders>
                    <w:tl2br w:val="nil"/>
                    <w:tr2bl w:val="nil"/>
                  </w:tcBorders>
                  <w:vAlign w:val="center"/>
                </w:tcPr>
                <w:p w14:paraId="3314FA8A">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光伏区东南侧</w:t>
                  </w:r>
                </w:p>
              </w:tc>
              <w:tc>
                <w:tcPr>
                  <w:tcW w:w="895" w:type="dxa"/>
                  <w:tcBorders>
                    <w:tl2br w:val="nil"/>
                    <w:tr2bl w:val="nil"/>
                  </w:tcBorders>
                  <w:vAlign w:val="center"/>
                </w:tcPr>
                <w:p w14:paraId="38F1EBCE">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3810</w:t>
                  </w:r>
                </w:p>
              </w:tc>
              <w:tc>
                <w:tcPr>
                  <w:tcW w:w="1337" w:type="dxa"/>
                  <w:tcBorders>
                    <w:tl2br w:val="nil"/>
                    <w:tr2bl w:val="nil"/>
                  </w:tcBorders>
                  <w:vAlign w:val="center"/>
                </w:tcPr>
                <w:p w14:paraId="7F7E8F13">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芒市大河支流</w:t>
                  </w:r>
                </w:p>
              </w:tc>
              <w:tc>
                <w:tcPr>
                  <w:tcW w:w="1775" w:type="dxa"/>
                  <w:vMerge w:val="continue"/>
                  <w:tcBorders>
                    <w:tl2br w:val="nil"/>
                    <w:tr2bl w:val="nil"/>
                  </w:tcBorders>
                  <w:vAlign w:val="center"/>
                </w:tcPr>
                <w:p w14:paraId="7B33CA49">
                  <w:pPr>
                    <w:pStyle w:val="12"/>
                    <w:spacing w:line="240" w:lineRule="auto"/>
                    <w:jc w:val="center"/>
                    <w:rPr>
                      <w:rFonts w:hint="default" w:ascii="Times New Roman" w:hAnsi="Times New Roman" w:eastAsia="宋体" w:cs="Times New Roman"/>
                      <w:sz w:val="21"/>
                      <w:szCs w:val="21"/>
                      <w:vertAlign w:val="baseline"/>
                      <w:lang w:val="en-US" w:eastAsia="zh-CN"/>
                    </w:rPr>
                  </w:pPr>
                </w:p>
              </w:tc>
            </w:tr>
            <w:tr w14:paraId="7B3EC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26" w:type="dxa"/>
                  <w:vMerge w:val="continue"/>
                  <w:tcBorders>
                    <w:tl2br w:val="nil"/>
                    <w:tr2bl w:val="nil"/>
                  </w:tcBorders>
                  <w:vAlign w:val="center"/>
                </w:tcPr>
                <w:p w14:paraId="2E8FAE81">
                  <w:pPr>
                    <w:pStyle w:val="12"/>
                    <w:spacing w:line="240" w:lineRule="auto"/>
                    <w:jc w:val="center"/>
                    <w:rPr>
                      <w:rFonts w:hint="default" w:ascii="Times New Roman" w:hAnsi="Times New Roman" w:eastAsia="宋体" w:cs="Times New Roman"/>
                      <w:sz w:val="21"/>
                      <w:szCs w:val="21"/>
                      <w:vertAlign w:val="baseline"/>
                      <w:lang w:val="en-US" w:eastAsia="zh-CN"/>
                    </w:rPr>
                  </w:pPr>
                </w:p>
              </w:tc>
              <w:tc>
                <w:tcPr>
                  <w:tcW w:w="1179" w:type="dxa"/>
                  <w:tcBorders>
                    <w:tl2br w:val="nil"/>
                    <w:tr2bl w:val="nil"/>
                  </w:tcBorders>
                  <w:vAlign w:val="center"/>
                </w:tcPr>
                <w:p w14:paraId="76D02750">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芒市大河</w:t>
                  </w:r>
                </w:p>
              </w:tc>
              <w:tc>
                <w:tcPr>
                  <w:tcW w:w="1734" w:type="dxa"/>
                  <w:tcBorders>
                    <w:tl2br w:val="nil"/>
                    <w:tr2bl w:val="nil"/>
                  </w:tcBorders>
                  <w:vAlign w:val="center"/>
                </w:tcPr>
                <w:p w14:paraId="7867A4A8">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光伏区</w:t>
                  </w:r>
                  <w:r>
                    <w:rPr>
                      <w:rFonts w:hint="eastAsia" w:ascii="Times New Roman" w:hAnsi="Times New Roman" w:eastAsia="宋体" w:cs="Times New Roman"/>
                      <w:sz w:val="21"/>
                      <w:szCs w:val="21"/>
                      <w:vertAlign w:val="baseline"/>
                      <w:lang w:val="en-US" w:eastAsia="zh-CN"/>
                    </w:rPr>
                    <w:t>南</w:t>
                  </w:r>
                  <w:r>
                    <w:rPr>
                      <w:rFonts w:hint="default" w:ascii="Times New Roman" w:hAnsi="Times New Roman" w:eastAsia="宋体" w:cs="Times New Roman"/>
                      <w:sz w:val="21"/>
                      <w:szCs w:val="21"/>
                      <w:vertAlign w:val="baseline"/>
                      <w:lang w:val="en-US" w:eastAsia="zh-CN"/>
                    </w:rPr>
                    <w:t>侧</w:t>
                  </w:r>
                </w:p>
              </w:tc>
              <w:tc>
                <w:tcPr>
                  <w:tcW w:w="895" w:type="dxa"/>
                  <w:tcBorders>
                    <w:tl2br w:val="nil"/>
                    <w:tr2bl w:val="nil"/>
                  </w:tcBorders>
                  <w:vAlign w:val="center"/>
                </w:tcPr>
                <w:p w14:paraId="2F00D7C7">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7992</w:t>
                  </w:r>
                </w:p>
              </w:tc>
              <w:tc>
                <w:tcPr>
                  <w:tcW w:w="1337" w:type="dxa"/>
                  <w:tcBorders>
                    <w:tl2br w:val="nil"/>
                    <w:tr2bl w:val="nil"/>
                  </w:tcBorders>
                  <w:vAlign w:val="center"/>
                </w:tcPr>
                <w:p w14:paraId="74A1C051">
                  <w:pPr>
                    <w:pStyle w:val="12"/>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伊洛瓦底江流域</w:t>
                  </w:r>
                </w:p>
              </w:tc>
              <w:tc>
                <w:tcPr>
                  <w:tcW w:w="1775" w:type="dxa"/>
                  <w:vMerge w:val="continue"/>
                  <w:tcBorders>
                    <w:tl2br w:val="nil"/>
                    <w:tr2bl w:val="nil"/>
                  </w:tcBorders>
                  <w:vAlign w:val="center"/>
                </w:tcPr>
                <w:p w14:paraId="1C8D3146">
                  <w:pPr>
                    <w:pStyle w:val="12"/>
                    <w:spacing w:line="240" w:lineRule="auto"/>
                    <w:jc w:val="center"/>
                    <w:rPr>
                      <w:rFonts w:hint="default" w:ascii="Times New Roman" w:hAnsi="Times New Roman" w:eastAsia="宋体" w:cs="Times New Roman"/>
                      <w:sz w:val="21"/>
                      <w:szCs w:val="21"/>
                      <w:vertAlign w:val="baseline"/>
                      <w:lang w:val="en-US" w:eastAsia="zh-CN"/>
                    </w:rPr>
                  </w:pPr>
                </w:p>
              </w:tc>
            </w:tr>
          </w:tbl>
          <w:p w14:paraId="4E7C030A">
            <w:pPr>
              <w:pStyle w:val="12"/>
              <w:ind w:left="0" w:leftChars="0" w:firstLine="480" w:firstLineChars="200"/>
              <w:rPr>
                <w:rFonts w:hint="default" w:ascii="Times New Roman" w:hAnsi="Times New Roman" w:cs="Times New Roman"/>
                <w:lang w:val="en-US" w:eastAsia="zh-CN"/>
              </w:rPr>
            </w:pPr>
          </w:p>
          <w:p w14:paraId="6B7C9271">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3、环境空气保护目标</w:t>
            </w:r>
          </w:p>
          <w:p w14:paraId="164EC677">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项目厂界500m范围内环境空气保护目标如下表所示。</w:t>
            </w:r>
          </w:p>
          <w:p w14:paraId="3477709A">
            <w:pPr>
              <w:spacing w:line="240" w:lineRule="auto"/>
              <w:jc w:val="center"/>
              <w:rPr>
                <w:rFonts w:hint="default" w:ascii="Times New Roman" w:hAnsi="Times New Roman" w:cs="Times New Roman"/>
                <w:b/>
                <w:bCs/>
                <w:sz w:val="21"/>
                <w:szCs w:val="21"/>
                <w:lang w:val="en-US" w:eastAsia="zh-CN"/>
              </w:rPr>
            </w:pPr>
          </w:p>
          <w:p w14:paraId="176B2B53">
            <w:pPr>
              <w:spacing w:line="240" w:lineRule="auto"/>
              <w:jc w:val="center"/>
              <w:rPr>
                <w:rFonts w:hint="default" w:ascii="Times New Roman" w:hAnsi="Times New Roman" w:cs="Times New Roman"/>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4</w:t>
            </w:r>
            <w:r>
              <w:rPr>
                <w:rFonts w:hint="default" w:ascii="Times New Roman" w:hAnsi="Times New Roman" w:cs="Times New Roman"/>
                <w:b/>
                <w:bCs/>
                <w:sz w:val="21"/>
                <w:szCs w:val="21"/>
                <w:lang w:eastAsia="zh-CN"/>
              </w:rPr>
              <w:t>大气</w:t>
            </w:r>
            <w:r>
              <w:rPr>
                <w:rFonts w:hint="default" w:ascii="Times New Roman" w:hAnsi="Times New Roman" w:cs="Times New Roman"/>
                <w:b/>
                <w:bCs/>
                <w:sz w:val="21"/>
                <w:szCs w:val="21"/>
              </w:rPr>
              <w:t>环境保护目标一览表</w:t>
            </w:r>
          </w:p>
          <w:tbl>
            <w:tblPr>
              <w:tblStyle w:val="22"/>
              <w:tblW w:w="754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9"/>
              <w:gridCol w:w="1474"/>
              <w:gridCol w:w="1425"/>
              <w:gridCol w:w="569"/>
              <w:gridCol w:w="1023"/>
              <w:gridCol w:w="1773"/>
            </w:tblGrid>
            <w:tr w14:paraId="0BA7A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10" w:type="dxa"/>
                  <w:vMerge w:val="restart"/>
                  <w:tcBorders>
                    <w:tl2br w:val="nil"/>
                    <w:tr2bl w:val="nil"/>
                  </w:tcBorders>
                  <w:vAlign w:val="center"/>
                </w:tcPr>
                <w:p w14:paraId="3D65A6F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片区</w:t>
                  </w:r>
                </w:p>
              </w:tc>
              <w:tc>
                <w:tcPr>
                  <w:tcW w:w="869" w:type="dxa"/>
                  <w:vMerge w:val="restart"/>
                  <w:tcBorders>
                    <w:tl2br w:val="nil"/>
                    <w:tr2bl w:val="nil"/>
                  </w:tcBorders>
                  <w:vAlign w:val="center"/>
                </w:tcPr>
                <w:p w14:paraId="353296D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保护对象</w:t>
                  </w:r>
                </w:p>
              </w:tc>
              <w:tc>
                <w:tcPr>
                  <w:tcW w:w="2899" w:type="dxa"/>
                  <w:gridSpan w:val="2"/>
                  <w:tcBorders>
                    <w:tl2br w:val="nil"/>
                    <w:tr2bl w:val="nil"/>
                  </w:tcBorders>
                  <w:vAlign w:val="center"/>
                </w:tcPr>
                <w:p w14:paraId="5662EA0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坐标</w:t>
                  </w:r>
                </w:p>
              </w:tc>
              <w:tc>
                <w:tcPr>
                  <w:tcW w:w="569" w:type="dxa"/>
                  <w:vMerge w:val="restart"/>
                  <w:tcBorders>
                    <w:tl2br w:val="nil"/>
                    <w:tr2bl w:val="nil"/>
                  </w:tcBorders>
                  <w:vAlign w:val="center"/>
                </w:tcPr>
                <w:p w14:paraId="2897813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规模</w:t>
                  </w:r>
                </w:p>
              </w:tc>
              <w:tc>
                <w:tcPr>
                  <w:tcW w:w="1023" w:type="dxa"/>
                  <w:vMerge w:val="restart"/>
                  <w:tcBorders>
                    <w:tl2br w:val="nil"/>
                    <w:tr2bl w:val="nil"/>
                  </w:tcBorders>
                  <w:vAlign w:val="center"/>
                </w:tcPr>
                <w:p w14:paraId="3E3C025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与项目位置关系</w:t>
                  </w:r>
                </w:p>
              </w:tc>
              <w:tc>
                <w:tcPr>
                  <w:tcW w:w="1773" w:type="dxa"/>
                  <w:vMerge w:val="restart"/>
                  <w:tcBorders>
                    <w:tl2br w:val="nil"/>
                    <w:tr2bl w:val="nil"/>
                  </w:tcBorders>
                  <w:vAlign w:val="center"/>
                </w:tcPr>
                <w:p w14:paraId="6E7424C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保护级别</w:t>
                  </w:r>
                </w:p>
              </w:tc>
            </w:tr>
            <w:tr w14:paraId="75EC16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Merge w:val="continue"/>
                  <w:tcBorders>
                    <w:tl2br w:val="nil"/>
                    <w:tr2bl w:val="nil"/>
                  </w:tcBorders>
                  <w:vAlign w:val="center"/>
                </w:tcPr>
                <w:p w14:paraId="719FB031">
                  <w:pPr>
                    <w:spacing w:line="240" w:lineRule="auto"/>
                    <w:jc w:val="center"/>
                    <w:rPr>
                      <w:rFonts w:hint="default" w:ascii="Times New Roman" w:hAnsi="Times New Roman" w:eastAsia="宋体" w:cs="Times New Roman"/>
                      <w:sz w:val="21"/>
                      <w:szCs w:val="21"/>
                    </w:rPr>
                  </w:pPr>
                </w:p>
              </w:tc>
              <w:tc>
                <w:tcPr>
                  <w:tcW w:w="869" w:type="dxa"/>
                  <w:vMerge w:val="continue"/>
                  <w:tcBorders>
                    <w:tl2br w:val="nil"/>
                    <w:tr2bl w:val="nil"/>
                  </w:tcBorders>
                  <w:vAlign w:val="center"/>
                </w:tcPr>
                <w:p w14:paraId="294D0C02">
                  <w:pPr>
                    <w:spacing w:line="240" w:lineRule="auto"/>
                    <w:jc w:val="center"/>
                    <w:rPr>
                      <w:rFonts w:hint="default" w:ascii="Times New Roman" w:hAnsi="Times New Roman" w:eastAsia="宋体" w:cs="Times New Roman"/>
                      <w:sz w:val="21"/>
                      <w:szCs w:val="21"/>
                    </w:rPr>
                  </w:pPr>
                </w:p>
              </w:tc>
              <w:tc>
                <w:tcPr>
                  <w:tcW w:w="1474" w:type="dxa"/>
                  <w:tcBorders>
                    <w:tl2br w:val="nil"/>
                    <w:tr2bl w:val="nil"/>
                  </w:tcBorders>
                  <w:vAlign w:val="center"/>
                </w:tcPr>
                <w:p w14:paraId="3046F24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X（经度）</w:t>
                  </w:r>
                </w:p>
              </w:tc>
              <w:tc>
                <w:tcPr>
                  <w:tcW w:w="1425" w:type="dxa"/>
                  <w:tcBorders>
                    <w:tl2br w:val="nil"/>
                    <w:tr2bl w:val="nil"/>
                  </w:tcBorders>
                  <w:vAlign w:val="center"/>
                </w:tcPr>
                <w:p w14:paraId="266EB15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Y（纬度）</w:t>
                  </w:r>
                </w:p>
              </w:tc>
              <w:tc>
                <w:tcPr>
                  <w:tcW w:w="569" w:type="dxa"/>
                  <w:vMerge w:val="continue"/>
                  <w:tcBorders>
                    <w:tl2br w:val="nil"/>
                    <w:tr2bl w:val="nil"/>
                  </w:tcBorders>
                  <w:vAlign w:val="center"/>
                </w:tcPr>
                <w:p w14:paraId="5C2CDCF3">
                  <w:pPr>
                    <w:spacing w:line="240" w:lineRule="auto"/>
                    <w:jc w:val="center"/>
                    <w:rPr>
                      <w:rFonts w:hint="default" w:ascii="Times New Roman" w:hAnsi="Times New Roman" w:eastAsia="宋体" w:cs="Times New Roman"/>
                      <w:sz w:val="21"/>
                      <w:szCs w:val="21"/>
                      <w:lang w:val="en-US" w:eastAsia="zh-CN"/>
                    </w:rPr>
                  </w:pPr>
                </w:p>
              </w:tc>
              <w:tc>
                <w:tcPr>
                  <w:tcW w:w="1023" w:type="dxa"/>
                  <w:vMerge w:val="continue"/>
                  <w:tcBorders>
                    <w:tl2br w:val="nil"/>
                    <w:tr2bl w:val="nil"/>
                  </w:tcBorders>
                  <w:vAlign w:val="center"/>
                </w:tcPr>
                <w:p w14:paraId="3E62D37A">
                  <w:pPr>
                    <w:spacing w:line="240" w:lineRule="auto"/>
                    <w:jc w:val="center"/>
                    <w:rPr>
                      <w:rFonts w:hint="default" w:ascii="Times New Roman" w:hAnsi="Times New Roman" w:eastAsia="宋体" w:cs="Times New Roman"/>
                      <w:sz w:val="21"/>
                      <w:szCs w:val="21"/>
                      <w:lang w:val="en-US" w:eastAsia="zh-CN"/>
                    </w:rPr>
                  </w:pPr>
                </w:p>
              </w:tc>
              <w:tc>
                <w:tcPr>
                  <w:tcW w:w="1773" w:type="dxa"/>
                  <w:vMerge w:val="continue"/>
                  <w:tcBorders>
                    <w:tl2br w:val="nil"/>
                    <w:tr2bl w:val="nil"/>
                  </w:tcBorders>
                  <w:vAlign w:val="center"/>
                </w:tcPr>
                <w:p w14:paraId="2B9D6449">
                  <w:pPr>
                    <w:spacing w:line="240" w:lineRule="auto"/>
                    <w:jc w:val="center"/>
                    <w:rPr>
                      <w:rFonts w:hint="default" w:ascii="Times New Roman" w:hAnsi="Times New Roman" w:eastAsia="宋体" w:cs="Times New Roman"/>
                      <w:sz w:val="21"/>
                      <w:szCs w:val="21"/>
                      <w:lang w:val="en-US" w:eastAsia="zh-CN"/>
                    </w:rPr>
                  </w:pPr>
                </w:p>
              </w:tc>
            </w:tr>
            <w:tr w14:paraId="2D0629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vMerge w:val="restart"/>
                  <w:tcBorders>
                    <w:tl2br w:val="nil"/>
                    <w:tr2bl w:val="nil"/>
                  </w:tcBorders>
                  <w:vAlign w:val="center"/>
                </w:tcPr>
                <w:p w14:paraId="0CCB057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金家片区</w:t>
                  </w:r>
                </w:p>
              </w:tc>
              <w:tc>
                <w:tcPr>
                  <w:tcW w:w="869" w:type="dxa"/>
                  <w:tcBorders>
                    <w:tl2br w:val="nil"/>
                    <w:tr2bl w:val="nil"/>
                  </w:tcBorders>
                  <w:vAlign w:val="center"/>
                </w:tcPr>
                <w:p w14:paraId="40FC1B9B">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道坡村</w:t>
                  </w:r>
                </w:p>
              </w:tc>
              <w:tc>
                <w:tcPr>
                  <w:tcW w:w="1474" w:type="dxa"/>
                  <w:tcBorders>
                    <w:tl2br w:val="nil"/>
                    <w:tr2bl w:val="nil"/>
                  </w:tcBorders>
                  <w:vAlign w:val="center"/>
                </w:tcPr>
                <w:p w14:paraId="53032E6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98.411298675</w:t>
                  </w:r>
                </w:p>
              </w:tc>
              <w:tc>
                <w:tcPr>
                  <w:tcW w:w="1425" w:type="dxa"/>
                  <w:tcBorders>
                    <w:tl2br w:val="nil"/>
                    <w:tr2bl w:val="nil"/>
                  </w:tcBorders>
                  <w:vAlign w:val="center"/>
                </w:tcPr>
                <w:p w14:paraId="3A783D8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24.492758468</w:t>
                  </w:r>
                </w:p>
              </w:tc>
              <w:tc>
                <w:tcPr>
                  <w:tcW w:w="569" w:type="dxa"/>
                  <w:tcBorders>
                    <w:tl2br w:val="nil"/>
                    <w:tr2bl w:val="nil"/>
                  </w:tcBorders>
                  <w:vAlign w:val="center"/>
                </w:tcPr>
                <w:p w14:paraId="66284C0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210人</w:t>
                  </w:r>
                </w:p>
              </w:tc>
              <w:tc>
                <w:tcPr>
                  <w:tcW w:w="1023" w:type="dxa"/>
                  <w:tcBorders>
                    <w:tl2br w:val="nil"/>
                    <w:tr2bl w:val="nil"/>
                  </w:tcBorders>
                  <w:vAlign w:val="center"/>
                </w:tcPr>
                <w:p w14:paraId="73C825C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光伏区北侧紧邻</w:t>
                  </w:r>
                </w:p>
              </w:tc>
              <w:tc>
                <w:tcPr>
                  <w:tcW w:w="1773" w:type="dxa"/>
                  <w:vMerge w:val="restart"/>
                  <w:tcBorders>
                    <w:tl2br w:val="nil"/>
                    <w:tr2bl w:val="nil"/>
                  </w:tcBorders>
                  <w:vAlign w:val="center"/>
                </w:tcPr>
                <w:p w14:paraId="6633151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sz w:val="21"/>
                      <w:szCs w:val="21"/>
                      <w:lang w:val="en-US" w:eastAsia="zh-CN"/>
                    </w:rPr>
                    <w:t>环境空气质量标准》（GB3095-2012）二级标准</w:t>
                  </w:r>
                </w:p>
              </w:tc>
            </w:tr>
            <w:tr w14:paraId="208F0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410" w:type="dxa"/>
                  <w:vMerge w:val="continue"/>
                  <w:tcBorders>
                    <w:tl2br w:val="nil"/>
                    <w:tr2bl w:val="nil"/>
                  </w:tcBorders>
                  <w:vAlign w:val="center"/>
                </w:tcPr>
                <w:p w14:paraId="653CBCAC">
                  <w:pPr>
                    <w:spacing w:line="240" w:lineRule="auto"/>
                    <w:jc w:val="center"/>
                    <w:rPr>
                      <w:rFonts w:hint="default" w:ascii="Times New Roman" w:hAnsi="Times New Roman" w:eastAsia="宋体" w:cs="Times New Roman"/>
                      <w:sz w:val="21"/>
                      <w:szCs w:val="21"/>
                      <w:lang w:val="en-US" w:eastAsia="zh-CN"/>
                    </w:rPr>
                  </w:pPr>
                </w:p>
              </w:tc>
              <w:tc>
                <w:tcPr>
                  <w:tcW w:w="869" w:type="dxa"/>
                  <w:tcBorders>
                    <w:tl2br w:val="nil"/>
                    <w:tr2bl w:val="nil"/>
                  </w:tcBorders>
                  <w:vAlign w:val="center"/>
                </w:tcPr>
                <w:p w14:paraId="6E716D3F">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上邦瓦村</w:t>
                  </w:r>
                </w:p>
              </w:tc>
              <w:tc>
                <w:tcPr>
                  <w:tcW w:w="1474" w:type="dxa"/>
                  <w:tcBorders>
                    <w:tl2br w:val="nil"/>
                    <w:tr2bl w:val="nil"/>
                  </w:tcBorders>
                  <w:vAlign w:val="center"/>
                </w:tcPr>
                <w:p w14:paraId="41B3320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98.406406326</w:t>
                  </w:r>
                </w:p>
              </w:tc>
              <w:tc>
                <w:tcPr>
                  <w:tcW w:w="1425" w:type="dxa"/>
                  <w:tcBorders>
                    <w:tl2br w:val="nil"/>
                    <w:tr2bl w:val="nil"/>
                  </w:tcBorders>
                  <w:vAlign w:val="center"/>
                </w:tcPr>
                <w:p w14:paraId="2EFC352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24.463876441</w:t>
                  </w:r>
                </w:p>
              </w:tc>
              <w:tc>
                <w:tcPr>
                  <w:tcW w:w="569" w:type="dxa"/>
                  <w:tcBorders>
                    <w:tl2br w:val="nil"/>
                    <w:tr2bl w:val="nil"/>
                  </w:tcBorders>
                  <w:vAlign w:val="center"/>
                </w:tcPr>
                <w:p w14:paraId="1E29478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420人</w:t>
                  </w:r>
                </w:p>
              </w:tc>
              <w:tc>
                <w:tcPr>
                  <w:tcW w:w="1023" w:type="dxa"/>
                  <w:tcBorders>
                    <w:tl2br w:val="nil"/>
                    <w:tr2bl w:val="nil"/>
                  </w:tcBorders>
                  <w:vAlign w:val="center"/>
                </w:tcPr>
                <w:p w14:paraId="46B62C5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光伏区南侧紧邻</w:t>
                  </w:r>
                </w:p>
              </w:tc>
              <w:tc>
                <w:tcPr>
                  <w:tcW w:w="1773" w:type="dxa"/>
                  <w:vMerge w:val="continue"/>
                  <w:tcBorders>
                    <w:tl2br w:val="nil"/>
                    <w:tr2bl w:val="nil"/>
                  </w:tcBorders>
                  <w:vAlign w:val="center"/>
                </w:tcPr>
                <w:p w14:paraId="31235812">
                  <w:pPr>
                    <w:spacing w:line="240" w:lineRule="auto"/>
                    <w:jc w:val="center"/>
                    <w:rPr>
                      <w:rFonts w:hint="default" w:ascii="Times New Roman" w:hAnsi="Times New Roman" w:eastAsia="宋体" w:cs="Times New Roman"/>
                      <w:sz w:val="21"/>
                      <w:szCs w:val="21"/>
                      <w:lang w:val="en-US" w:eastAsia="zh-CN"/>
                    </w:rPr>
                  </w:pPr>
                </w:p>
              </w:tc>
            </w:tr>
          </w:tbl>
          <w:p w14:paraId="72F0499E">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lang w:val="en-US" w:eastAsia="zh-CN"/>
              </w:rPr>
              <w:t>4、声环境保护目标</w:t>
            </w:r>
          </w:p>
          <w:p w14:paraId="362B85CC">
            <w:p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lang w:val="en-US" w:eastAsia="zh-CN"/>
              </w:rPr>
              <w:t>根据《环境影响评价技术导则输变电》（HJ24-2020）项目升压站声环境评价范围根据《环境影响评价技术导则 声环境》(HJ2.4-2009)确定升压站声环境保护目标为升压站厂界外200m范围。项目升压站200m范围内</w:t>
            </w:r>
            <w:r>
              <w:rPr>
                <w:rFonts w:hint="eastAsia" w:ascii="Times New Roman" w:hAnsi="Times New Roman" w:cs="Times New Roman"/>
                <w:lang w:val="en-US" w:eastAsia="zh-CN"/>
              </w:rPr>
              <w:t>无</w:t>
            </w:r>
            <w:r>
              <w:rPr>
                <w:rFonts w:hint="default" w:ascii="Times New Roman" w:hAnsi="Times New Roman" w:cs="Times New Roman"/>
                <w:lang w:val="en-US" w:eastAsia="zh-CN"/>
              </w:rPr>
              <w:t>声环境保护目标。项目光伏阵列区声环境保护目标</w:t>
            </w:r>
            <w:r>
              <w:rPr>
                <w:rFonts w:hint="default" w:ascii="Times New Roman" w:hAnsi="Times New Roman" w:cs="Times New Roman"/>
                <w:color w:val="auto"/>
                <w:lang w:val="en-US" w:eastAsia="zh-CN"/>
              </w:rPr>
              <w:t>根据《建设项目环境影响报告表编制技 术指南》（污染影响类）确定为光伏阵列区厂界外50m范围，则项目光伏阵列区声环境保护见表 3-</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w:t>
            </w:r>
          </w:p>
          <w:p w14:paraId="452C27D9">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lang w:val="en-US" w:eastAsia="zh-CN"/>
              </w:rPr>
              <w:t>表3-</w:t>
            </w:r>
            <w:r>
              <w:rPr>
                <w:rFonts w:hint="eastAsia" w:ascii="Times New Roman" w:hAnsi="Times New Roman" w:cs="Times New Roman"/>
                <w:b/>
                <w:bCs/>
                <w:color w:val="auto"/>
                <w:sz w:val="21"/>
                <w:szCs w:val="21"/>
                <w:lang w:val="en-US" w:eastAsia="zh-CN"/>
              </w:rPr>
              <w:t>5</w:t>
            </w:r>
            <w:r>
              <w:rPr>
                <w:rFonts w:hint="default" w:ascii="Times New Roman" w:hAnsi="Times New Roman" w:cs="Times New Roman"/>
                <w:b/>
                <w:bCs/>
                <w:color w:val="auto"/>
                <w:sz w:val="21"/>
                <w:szCs w:val="21"/>
                <w:lang w:val="en-US" w:eastAsia="zh-CN"/>
              </w:rPr>
              <w:t xml:space="preserve"> 声</w:t>
            </w:r>
            <w:r>
              <w:rPr>
                <w:rFonts w:hint="default" w:ascii="Times New Roman" w:hAnsi="Times New Roman" w:cs="Times New Roman"/>
                <w:b/>
                <w:bCs/>
                <w:color w:val="auto"/>
                <w:sz w:val="21"/>
                <w:szCs w:val="21"/>
              </w:rPr>
              <w:t>环境保护目标一览</w:t>
            </w:r>
            <w:r>
              <w:rPr>
                <w:rFonts w:hint="default" w:ascii="Times New Roman" w:hAnsi="Times New Roman" w:cs="Times New Roman"/>
                <w:b/>
                <w:bCs/>
                <w:sz w:val="21"/>
                <w:szCs w:val="21"/>
              </w:rPr>
              <w:t>表</w:t>
            </w:r>
          </w:p>
          <w:tbl>
            <w:tblPr>
              <w:tblStyle w:val="22"/>
              <w:tblW w:w="754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869"/>
              <w:gridCol w:w="1474"/>
              <w:gridCol w:w="1425"/>
              <w:gridCol w:w="569"/>
              <w:gridCol w:w="1023"/>
              <w:gridCol w:w="1773"/>
            </w:tblGrid>
            <w:tr w14:paraId="595A0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410" w:type="dxa"/>
                  <w:vMerge w:val="restart"/>
                  <w:tcBorders>
                    <w:tl2br w:val="nil"/>
                    <w:tr2bl w:val="nil"/>
                  </w:tcBorders>
                  <w:vAlign w:val="center"/>
                </w:tcPr>
                <w:p w14:paraId="7FF02E2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片区</w:t>
                  </w:r>
                </w:p>
              </w:tc>
              <w:tc>
                <w:tcPr>
                  <w:tcW w:w="869" w:type="dxa"/>
                  <w:vMerge w:val="restart"/>
                  <w:tcBorders>
                    <w:tl2br w:val="nil"/>
                    <w:tr2bl w:val="nil"/>
                  </w:tcBorders>
                  <w:vAlign w:val="center"/>
                </w:tcPr>
                <w:p w14:paraId="69CBF53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保护对象</w:t>
                  </w:r>
                </w:p>
              </w:tc>
              <w:tc>
                <w:tcPr>
                  <w:tcW w:w="2899" w:type="dxa"/>
                  <w:gridSpan w:val="2"/>
                  <w:tcBorders>
                    <w:tl2br w:val="nil"/>
                    <w:tr2bl w:val="nil"/>
                  </w:tcBorders>
                  <w:vAlign w:val="center"/>
                </w:tcPr>
                <w:p w14:paraId="1E54394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坐标</w:t>
                  </w:r>
                </w:p>
              </w:tc>
              <w:tc>
                <w:tcPr>
                  <w:tcW w:w="569" w:type="dxa"/>
                  <w:vMerge w:val="restart"/>
                  <w:tcBorders>
                    <w:tl2br w:val="nil"/>
                    <w:tr2bl w:val="nil"/>
                  </w:tcBorders>
                  <w:vAlign w:val="center"/>
                </w:tcPr>
                <w:p w14:paraId="6C0D3CC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规模</w:t>
                  </w:r>
                </w:p>
              </w:tc>
              <w:tc>
                <w:tcPr>
                  <w:tcW w:w="1023" w:type="dxa"/>
                  <w:vMerge w:val="restart"/>
                  <w:tcBorders>
                    <w:tl2br w:val="nil"/>
                    <w:tr2bl w:val="nil"/>
                  </w:tcBorders>
                  <w:vAlign w:val="center"/>
                </w:tcPr>
                <w:p w14:paraId="07D0AB7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与项目位置关系</w:t>
                  </w:r>
                </w:p>
              </w:tc>
              <w:tc>
                <w:tcPr>
                  <w:tcW w:w="1773" w:type="dxa"/>
                  <w:vMerge w:val="restart"/>
                  <w:tcBorders>
                    <w:tl2br w:val="nil"/>
                    <w:tr2bl w:val="nil"/>
                  </w:tcBorders>
                  <w:vAlign w:val="center"/>
                </w:tcPr>
                <w:p w14:paraId="505A9A8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保护级别</w:t>
                  </w:r>
                </w:p>
              </w:tc>
            </w:tr>
            <w:tr w14:paraId="2BC32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10" w:type="dxa"/>
                  <w:vMerge w:val="continue"/>
                  <w:tcBorders>
                    <w:tl2br w:val="nil"/>
                    <w:tr2bl w:val="nil"/>
                  </w:tcBorders>
                  <w:vAlign w:val="center"/>
                </w:tcPr>
                <w:p w14:paraId="4FC84E29">
                  <w:pPr>
                    <w:spacing w:line="240" w:lineRule="auto"/>
                    <w:jc w:val="center"/>
                    <w:rPr>
                      <w:rFonts w:hint="default" w:ascii="Times New Roman" w:hAnsi="Times New Roman" w:eastAsia="宋体" w:cs="Times New Roman"/>
                      <w:sz w:val="21"/>
                      <w:szCs w:val="21"/>
                    </w:rPr>
                  </w:pPr>
                </w:p>
              </w:tc>
              <w:tc>
                <w:tcPr>
                  <w:tcW w:w="869" w:type="dxa"/>
                  <w:vMerge w:val="continue"/>
                  <w:tcBorders>
                    <w:tl2br w:val="nil"/>
                    <w:tr2bl w:val="nil"/>
                  </w:tcBorders>
                  <w:vAlign w:val="center"/>
                </w:tcPr>
                <w:p w14:paraId="185729D1">
                  <w:pPr>
                    <w:spacing w:line="240" w:lineRule="auto"/>
                    <w:jc w:val="center"/>
                    <w:rPr>
                      <w:rFonts w:hint="default" w:ascii="Times New Roman" w:hAnsi="Times New Roman" w:eastAsia="宋体" w:cs="Times New Roman"/>
                      <w:sz w:val="21"/>
                      <w:szCs w:val="21"/>
                    </w:rPr>
                  </w:pPr>
                </w:p>
              </w:tc>
              <w:tc>
                <w:tcPr>
                  <w:tcW w:w="1474" w:type="dxa"/>
                  <w:tcBorders>
                    <w:tl2br w:val="nil"/>
                    <w:tr2bl w:val="nil"/>
                  </w:tcBorders>
                  <w:vAlign w:val="center"/>
                </w:tcPr>
                <w:p w14:paraId="27BE845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X（经度）</w:t>
                  </w:r>
                </w:p>
              </w:tc>
              <w:tc>
                <w:tcPr>
                  <w:tcW w:w="1425" w:type="dxa"/>
                  <w:tcBorders>
                    <w:tl2br w:val="nil"/>
                    <w:tr2bl w:val="nil"/>
                  </w:tcBorders>
                  <w:vAlign w:val="center"/>
                </w:tcPr>
                <w:p w14:paraId="69DBEE5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Y（纬度）</w:t>
                  </w:r>
                </w:p>
              </w:tc>
              <w:tc>
                <w:tcPr>
                  <w:tcW w:w="569" w:type="dxa"/>
                  <w:vMerge w:val="continue"/>
                  <w:tcBorders>
                    <w:tl2br w:val="nil"/>
                    <w:tr2bl w:val="nil"/>
                  </w:tcBorders>
                  <w:vAlign w:val="center"/>
                </w:tcPr>
                <w:p w14:paraId="10007089">
                  <w:pPr>
                    <w:spacing w:line="240" w:lineRule="auto"/>
                    <w:jc w:val="center"/>
                    <w:rPr>
                      <w:rFonts w:hint="default" w:ascii="Times New Roman" w:hAnsi="Times New Roman" w:eastAsia="宋体" w:cs="Times New Roman"/>
                      <w:sz w:val="21"/>
                      <w:szCs w:val="21"/>
                      <w:lang w:val="en-US" w:eastAsia="zh-CN"/>
                    </w:rPr>
                  </w:pPr>
                </w:p>
              </w:tc>
              <w:tc>
                <w:tcPr>
                  <w:tcW w:w="1023" w:type="dxa"/>
                  <w:vMerge w:val="continue"/>
                  <w:tcBorders>
                    <w:tl2br w:val="nil"/>
                    <w:tr2bl w:val="nil"/>
                  </w:tcBorders>
                  <w:vAlign w:val="center"/>
                </w:tcPr>
                <w:p w14:paraId="1AB5F246">
                  <w:pPr>
                    <w:spacing w:line="240" w:lineRule="auto"/>
                    <w:jc w:val="center"/>
                    <w:rPr>
                      <w:rFonts w:hint="default" w:ascii="Times New Roman" w:hAnsi="Times New Roman" w:eastAsia="宋体" w:cs="Times New Roman"/>
                      <w:sz w:val="21"/>
                      <w:szCs w:val="21"/>
                      <w:lang w:val="en-US" w:eastAsia="zh-CN"/>
                    </w:rPr>
                  </w:pPr>
                </w:p>
              </w:tc>
              <w:tc>
                <w:tcPr>
                  <w:tcW w:w="1773" w:type="dxa"/>
                  <w:vMerge w:val="continue"/>
                  <w:tcBorders>
                    <w:tl2br w:val="nil"/>
                    <w:tr2bl w:val="nil"/>
                  </w:tcBorders>
                  <w:vAlign w:val="center"/>
                </w:tcPr>
                <w:p w14:paraId="5901FC39">
                  <w:pPr>
                    <w:spacing w:line="240" w:lineRule="auto"/>
                    <w:jc w:val="center"/>
                    <w:rPr>
                      <w:rFonts w:hint="default" w:ascii="Times New Roman" w:hAnsi="Times New Roman" w:eastAsia="宋体" w:cs="Times New Roman"/>
                      <w:sz w:val="21"/>
                      <w:szCs w:val="21"/>
                      <w:lang w:val="en-US" w:eastAsia="zh-CN"/>
                    </w:rPr>
                  </w:pPr>
                </w:p>
              </w:tc>
            </w:tr>
            <w:tr w14:paraId="57123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tcBorders>
                    <w:tl2br w:val="nil"/>
                    <w:tr2bl w:val="nil"/>
                  </w:tcBorders>
                  <w:vAlign w:val="center"/>
                </w:tcPr>
                <w:p w14:paraId="77B0C56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北片区</w:t>
                  </w:r>
                </w:p>
              </w:tc>
              <w:tc>
                <w:tcPr>
                  <w:tcW w:w="869" w:type="dxa"/>
                  <w:tcBorders>
                    <w:tl2br w:val="nil"/>
                    <w:tr2bl w:val="nil"/>
                  </w:tcBorders>
                  <w:vAlign w:val="center"/>
                </w:tcPr>
                <w:p w14:paraId="36AED225">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道坡村</w:t>
                  </w:r>
                </w:p>
              </w:tc>
              <w:tc>
                <w:tcPr>
                  <w:tcW w:w="1474" w:type="dxa"/>
                  <w:tcBorders>
                    <w:tl2br w:val="nil"/>
                    <w:tr2bl w:val="nil"/>
                  </w:tcBorders>
                  <w:vAlign w:val="center"/>
                </w:tcPr>
                <w:p w14:paraId="0C6264C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98.411298675</w:t>
                  </w:r>
                </w:p>
              </w:tc>
              <w:tc>
                <w:tcPr>
                  <w:tcW w:w="1425" w:type="dxa"/>
                  <w:tcBorders>
                    <w:tl2br w:val="nil"/>
                    <w:tr2bl w:val="nil"/>
                  </w:tcBorders>
                  <w:vAlign w:val="center"/>
                </w:tcPr>
                <w:p w14:paraId="6D87B4A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24.492758468</w:t>
                  </w:r>
                </w:p>
              </w:tc>
              <w:tc>
                <w:tcPr>
                  <w:tcW w:w="569" w:type="dxa"/>
                  <w:tcBorders>
                    <w:tl2br w:val="nil"/>
                    <w:tr2bl w:val="nil"/>
                  </w:tcBorders>
                  <w:vAlign w:val="center"/>
                </w:tcPr>
                <w:p w14:paraId="760A9E95">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40户</w:t>
                  </w:r>
                  <w:r>
                    <w:rPr>
                      <w:rFonts w:hint="default" w:ascii="Times New Roman" w:hAnsi="Times New Roman" w:eastAsia="宋体" w:cs="Times New Roman"/>
                      <w:sz w:val="21"/>
                      <w:szCs w:val="21"/>
                      <w:lang w:val="en-US" w:eastAsia="zh-CN"/>
                    </w:rPr>
                    <w:t>210人</w:t>
                  </w:r>
                </w:p>
              </w:tc>
              <w:tc>
                <w:tcPr>
                  <w:tcW w:w="1023" w:type="dxa"/>
                  <w:tcBorders>
                    <w:tl2br w:val="nil"/>
                    <w:tr2bl w:val="nil"/>
                  </w:tcBorders>
                  <w:vAlign w:val="center"/>
                </w:tcPr>
                <w:p w14:paraId="7FFA1FA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光伏区北侧</w:t>
                  </w:r>
                  <w:r>
                    <w:rPr>
                      <w:rFonts w:hint="eastAsia" w:ascii="Times New Roman" w:hAnsi="Times New Roman" w:eastAsia="宋体" w:cs="Times New Roman"/>
                      <w:sz w:val="21"/>
                      <w:szCs w:val="21"/>
                      <w:lang w:val="en-US" w:eastAsia="zh-CN"/>
                    </w:rPr>
                    <w:t>13m</w:t>
                  </w:r>
                </w:p>
              </w:tc>
              <w:tc>
                <w:tcPr>
                  <w:tcW w:w="1773" w:type="dxa"/>
                  <w:vMerge w:val="restart"/>
                  <w:tcBorders>
                    <w:tl2br w:val="nil"/>
                    <w:tr2bl w:val="nil"/>
                  </w:tcBorders>
                  <w:vAlign w:val="center"/>
                </w:tcPr>
                <w:p w14:paraId="7A2D6FFB">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14"/>
                      <w:sz w:val="21"/>
                      <w:szCs w:val="21"/>
                    </w:rPr>
                    <w:t>《声环境质量标准》</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（GB3096-2008）2类区</w:t>
                  </w:r>
                </w:p>
              </w:tc>
            </w:tr>
            <w:tr w14:paraId="64A1D8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0" w:type="dxa"/>
                  <w:tcBorders>
                    <w:tl2br w:val="nil"/>
                    <w:tr2bl w:val="nil"/>
                  </w:tcBorders>
                  <w:vAlign w:val="center"/>
                </w:tcPr>
                <w:p w14:paraId="215650A2">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南片区</w:t>
                  </w:r>
                </w:p>
              </w:tc>
              <w:tc>
                <w:tcPr>
                  <w:tcW w:w="869" w:type="dxa"/>
                  <w:tcBorders>
                    <w:tl2br w:val="nil"/>
                    <w:tr2bl w:val="nil"/>
                  </w:tcBorders>
                  <w:vAlign w:val="center"/>
                </w:tcPr>
                <w:p w14:paraId="74D80773">
                  <w:pPr>
                    <w:keepNext w:val="0"/>
                    <w:keepLines w:val="0"/>
                    <w:pageBreakBefore w:val="0"/>
                    <w:widowControl w:val="0"/>
                    <w:kinsoku/>
                    <w:wordWrap/>
                    <w:overflowPunct/>
                    <w:topLinePunct w:val="0"/>
                    <w:autoSpaceDE/>
                    <w:autoSpaceDN/>
                    <w:bidi w:val="0"/>
                    <w:spacing w:line="4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color w:val="auto"/>
                      <w:kern w:val="2"/>
                      <w:sz w:val="21"/>
                      <w:szCs w:val="21"/>
                      <w:lang w:val="en-US" w:eastAsia="zh-CN" w:bidi="ar-SA"/>
                    </w:rPr>
                    <w:t>上邦瓦村</w:t>
                  </w:r>
                </w:p>
              </w:tc>
              <w:tc>
                <w:tcPr>
                  <w:tcW w:w="1474" w:type="dxa"/>
                  <w:tcBorders>
                    <w:tl2br w:val="nil"/>
                    <w:tr2bl w:val="nil"/>
                  </w:tcBorders>
                  <w:vAlign w:val="center"/>
                </w:tcPr>
                <w:p w14:paraId="68B5FABD">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98.406406326</w:t>
                  </w:r>
                </w:p>
              </w:tc>
              <w:tc>
                <w:tcPr>
                  <w:tcW w:w="1425" w:type="dxa"/>
                  <w:tcBorders>
                    <w:tl2br w:val="nil"/>
                    <w:tr2bl w:val="nil"/>
                  </w:tcBorders>
                  <w:vAlign w:val="center"/>
                </w:tcPr>
                <w:p w14:paraId="030F64A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24.463876441</w:t>
                  </w:r>
                </w:p>
              </w:tc>
              <w:tc>
                <w:tcPr>
                  <w:tcW w:w="569" w:type="dxa"/>
                  <w:tcBorders>
                    <w:tl2br w:val="nil"/>
                    <w:tr2bl w:val="nil"/>
                  </w:tcBorders>
                  <w:vAlign w:val="center"/>
                </w:tcPr>
                <w:p w14:paraId="1F8F6F19">
                  <w:pPr>
                    <w:spacing w:line="240" w:lineRule="auto"/>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75户</w:t>
                  </w:r>
                  <w:r>
                    <w:rPr>
                      <w:rFonts w:hint="default" w:ascii="Times New Roman" w:hAnsi="Times New Roman" w:eastAsia="宋体" w:cs="Times New Roman"/>
                      <w:sz w:val="21"/>
                      <w:szCs w:val="21"/>
                      <w:lang w:val="en-US" w:eastAsia="zh-CN"/>
                    </w:rPr>
                    <w:t>420人</w:t>
                  </w:r>
                </w:p>
              </w:tc>
              <w:tc>
                <w:tcPr>
                  <w:tcW w:w="1023" w:type="dxa"/>
                  <w:tcBorders>
                    <w:tl2br w:val="nil"/>
                    <w:tr2bl w:val="nil"/>
                  </w:tcBorders>
                  <w:vAlign w:val="center"/>
                </w:tcPr>
                <w:p w14:paraId="30CB815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光伏区南侧</w:t>
                  </w:r>
                  <w:r>
                    <w:rPr>
                      <w:rFonts w:hint="eastAsia" w:ascii="Times New Roman" w:hAnsi="Times New Roman" w:eastAsia="宋体" w:cs="Times New Roman"/>
                      <w:sz w:val="21"/>
                      <w:szCs w:val="21"/>
                      <w:lang w:val="en-US" w:eastAsia="zh-CN"/>
                    </w:rPr>
                    <w:t>10m</w:t>
                  </w:r>
                </w:p>
              </w:tc>
              <w:tc>
                <w:tcPr>
                  <w:tcW w:w="1773" w:type="dxa"/>
                  <w:vMerge w:val="continue"/>
                  <w:tcBorders>
                    <w:tl2br w:val="nil"/>
                    <w:tr2bl w:val="nil"/>
                  </w:tcBorders>
                  <w:vAlign w:val="center"/>
                </w:tcPr>
                <w:p w14:paraId="1ECF889D">
                  <w:pPr>
                    <w:spacing w:line="240" w:lineRule="auto"/>
                    <w:jc w:val="center"/>
                    <w:rPr>
                      <w:rFonts w:hint="default" w:ascii="Times New Roman" w:hAnsi="Times New Roman" w:eastAsia="宋体" w:cs="Times New Roman"/>
                      <w:sz w:val="21"/>
                      <w:szCs w:val="21"/>
                      <w:lang w:val="en-US" w:eastAsia="zh-CN"/>
                    </w:rPr>
                  </w:pPr>
                </w:p>
              </w:tc>
            </w:tr>
          </w:tbl>
          <w:p w14:paraId="617A79C2">
            <w:pPr>
              <w:pStyle w:val="12"/>
              <w:rPr>
                <w:rFonts w:hint="default" w:ascii="Times New Roman" w:hAnsi="Times New Roman" w:cs="Times New Roman"/>
                <w:lang w:val="en-US" w:eastAsia="zh-CN"/>
              </w:rPr>
            </w:pPr>
          </w:p>
          <w:p w14:paraId="17D29F17">
            <w:pPr>
              <w:keepNext w:val="0"/>
              <w:keepLines w:val="0"/>
              <w:widowControl/>
              <w:suppressLineNumbers w:val="0"/>
              <w:spacing w:line="360" w:lineRule="auto"/>
              <w:ind w:firstLine="480" w:firstLineChars="200"/>
              <w:jc w:val="left"/>
              <w:rPr>
                <w:rFonts w:hint="default"/>
                <w:lang w:val="en-US" w:eastAsia="zh-CN"/>
              </w:rPr>
            </w:pPr>
            <w:r>
              <w:rPr>
                <w:rFonts w:hint="default" w:ascii="Times New Roman" w:hAnsi="Times New Roman" w:cs="Times New Roman" w:eastAsiaTheme="minorEastAsia"/>
                <w:kern w:val="2"/>
                <w:sz w:val="24"/>
                <w:szCs w:val="24"/>
                <w:lang w:val="en-US" w:eastAsia="zh-CN" w:bidi="ar-SA"/>
              </w:rPr>
              <w:t>根据《环境影响评价技术导则输变电》（HJ24-2020）输电线路评价范 围为边导线地面投影外两侧各30m，本项目不涉及</w:t>
            </w:r>
            <w:r>
              <w:rPr>
                <w:rFonts w:hint="eastAsia" w:ascii="Times New Roman" w:hAnsi="Times New Roman" w:cs="Times New Roman" w:eastAsiaTheme="minorEastAsia"/>
                <w:kern w:val="2"/>
                <w:sz w:val="24"/>
                <w:szCs w:val="24"/>
                <w:lang w:val="en-US" w:eastAsia="zh-CN" w:bidi="ar-SA"/>
              </w:rPr>
              <w:t>输电线路工程。</w:t>
            </w:r>
          </w:p>
        </w:tc>
      </w:tr>
      <w:tr w14:paraId="1495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trPr>
        <w:tc>
          <w:tcPr>
            <w:tcW w:w="729" w:type="dxa"/>
            <w:gridSpan w:val="2"/>
            <w:vAlign w:val="center"/>
          </w:tcPr>
          <w:p w14:paraId="6D8ABD54">
            <w:pPr>
              <w:adjustRightInd w:val="0"/>
              <w:snapToGrid w:val="0"/>
              <w:jc w:val="center"/>
              <w:rPr>
                <w:rFonts w:ascii="Times New Roman" w:hAnsi="Times New Roman"/>
                <w:color w:val="000000"/>
                <w:kern w:val="0"/>
                <w:sz w:val="24"/>
              </w:rPr>
            </w:pPr>
            <w:r>
              <w:rPr>
                <w:rFonts w:ascii="Times New Roman" w:hAnsi="Times New Roman"/>
                <w:color w:val="000000"/>
                <w:kern w:val="0"/>
                <w:sz w:val="24"/>
              </w:rPr>
              <w:t>评价</w:t>
            </w:r>
          </w:p>
          <w:p w14:paraId="1CEED8E5">
            <w:pPr>
              <w:jc w:val="center"/>
              <w:rPr>
                <w:rFonts w:ascii="Times New Roman" w:hAnsi="Times New Roman"/>
                <w:bCs/>
                <w:color w:val="000000"/>
                <w:sz w:val="24"/>
              </w:rPr>
            </w:pPr>
            <w:r>
              <w:rPr>
                <w:rFonts w:ascii="Times New Roman" w:hAnsi="Times New Roman"/>
                <w:color w:val="000000"/>
                <w:kern w:val="0"/>
                <w:sz w:val="24"/>
              </w:rPr>
              <w:t>标准</w:t>
            </w:r>
          </w:p>
        </w:tc>
        <w:tc>
          <w:tcPr>
            <w:tcW w:w="7793" w:type="dxa"/>
          </w:tcPr>
          <w:p w14:paraId="66615B5B">
            <w:pPr>
              <w:pStyle w:val="35"/>
              <w:numPr>
                <w:ilvl w:val="0"/>
                <w:numId w:val="10"/>
              </w:numPr>
              <w:spacing w:line="336" w:lineRule="auto"/>
              <w:ind w:leftChars="0"/>
              <w:rPr>
                <w:rFonts w:hint="default" w:ascii="Times New Roman" w:hAnsi="Times New Roman" w:cs="Times New Roman"/>
              </w:rPr>
            </w:pPr>
            <w:r>
              <w:rPr>
                <w:rFonts w:hint="default" w:ascii="Times New Roman" w:hAnsi="Times New Roman" w:cs="Times New Roman"/>
              </w:rPr>
              <w:t>环境质量标准</w:t>
            </w:r>
          </w:p>
          <w:p w14:paraId="48B4AB47">
            <w:pPr>
              <w:pStyle w:val="35"/>
              <w:numPr>
                <w:ilvl w:val="0"/>
                <w:numId w:val="0"/>
              </w:numPr>
              <w:spacing w:line="336" w:lineRule="auto"/>
              <w:ind w:leftChars="200"/>
              <w:rPr>
                <w:rFonts w:hint="default" w:ascii="Times New Roman" w:hAnsi="Times New Roman" w:cs="Times New Roman"/>
              </w:rPr>
            </w:pPr>
            <w:r>
              <w:rPr>
                <w:rFonts w:hint="default" w:ascii="Times New Roman" w:hAnsi="Times New Roman" w:cs="Times New Roman"/>
              </w:rPr>
              <w:t>（1）环境空气质量标准</w:t>
            </w:r>
          </w:p>
          <w:p w14:paraId="502BB32C">
            <w:pPr>
              <w:pStyle w:val="35"/>
              <w:numPr>
                <w:ilvl w:val="0"/>
                <w:numId w:val="0"/>
              </w:numPr>
              <w:spacing w:line="336" w:lineRule="auto"/>
              <w:ind w:firstLine="480" w:firstLineChars="200"/>
              <w:rPr>
                <w:rFonts w:hint="default"/>
              </w:rPr>
            </w:pPr>
            <w:r>
              <w:rPr>
                <w:rFonts w:hint="default" w:ascii="Times New Roman" w:hAnsi="Times New Roman" w:cs="Times New Roman"/>
              </w:rPr>
              <w:t>项目所在区域属环境空气质量功能二类区</w:t>
            </w:r>
            <w:r>
              <w:rPr>
                <w:rFonts w:hint="eastAsia" w:ascii="Times New Roman" w:hAnsi="Times New Roman" w:cs="Times New Roman"/>
                <w:lang w:eastAsia="zh-CN"/>
              </w:rPr>
              <w:t>，</w:t>
            </w:r>
            <w:r>
              <w:rPr>
                <w:rFonts w:hint="default" w:ascii="Times New Roman" w:hAnsi="Times New Roman" w:cs="Times New Roman"/>
              </w:rPr>
              <w:t>环境空气质量执行（GB3095—2012）《环境空气质量标准》二级标准，具体见表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rPr>
              <w:t>。</w:t>
            </w:r>
          </w:p>
          <w:p w14:paraId="48B9583B">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6</w:t>
            </w:r>
            <w:r>
              <w:rPr>
                <w:rFonts w:hint="default" w:ascii="Times New Roman" w:hAnsi="Times New Roman" w:cs="Times New Roman"/>
                <w:b/>
                <w:bCs/>
                <w:sz w:val="21"/>
                <w:szCs w:val="21"/>
                <w:lang w:val="en-US" w:eastAsia="zh-CN"/>
              </w:rPr>
              <w:t xml:space="preserve"> 环境空气质量标准限值</w:t>
            </w:r>
          </w:p>
          <w:tbl>
            <w:tblPr>
              <w:tblStyle w:val="21"/>
              <w:tblW w:w="75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2752"/>
              <w:gridCol w:w="1997"/>
              <w:gridCol w:w="1734"/>
              <w:gridCol w:w="1060"/>
            </w:tblGrid>
            <w:tr w14:paraId="571C2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tcBorders>
                    <w:tl2br w:val="nil"/>
                    <w:tr2bl w:val="nil"/>
                  </w:tcBorders>
                  <w:vAlign w:val="center"/>
                </w:tcPr>
                <w:p w14:paraId="4BDE6A5F">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污染物项目</w:t>
                  </w:r>
                </w:p>
              </w:tc>
              <w:tc>
                <w:tcPr>
                  <w:tcW w:w="1997" w:type="dxa"/>
                  <w:tcBorders>
                    <w:tl2br w:val="nil"/>
                    <w:tr2bl w:val="nil"/>
                  </w:tcBorders>
                  <w:vAlign w:val="center"/>
                </w:tcPr>
                <w:p w14:paraId="632A34A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平均时间</w:t>
                  </w:r>
                </w:p>
              </w:tc>
              <w:tc>
                <w:tcPr>
                  <w:tcW w:w="1734" w:type="dxa"/>
                  <w:tcBorders>
                    <w:tl2br w:val="nil"/>
                    <w:tr2bl w:val="nil"/>
                  </w:tcBorders>
                  <w:vAlign w:val="center"/>
                </w:tcPr>
                <w:p w14:paraId="1F4DDDF9">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二级</w:t>
                  </w:r>
                  <w:r>
                    <w:rPr>
                      <w:rFonts w:hint="default" w:ascii="Times New Roman" w:hAnsi="Times New Roman" w:cs="Times New Roman"/>
                    </w:rPr>
                    <w:cr/>
                  </w:r>
                  <w:r>
                    <w:rPr>
                      <w:rFonts w:hint="default" w:ascii="Times New Roman" w:hAnsi="Times New Roman" w:cs="Times New Roman"/>
                    </w:rPr>
                    <w:t>准浓度限值</w:t>
                  </w:r>
                </w:p>
              </w:tc>
              <w:tc>
                <w:tcPr>
                  <w:tcW w:w="1060" w:type="dxa"/>
                  <w:tcBorders>
                    <w:tl2br w:val="nil"/>
                    <w:tr2bl w:val="nil"/>
                  </w:tcBorders>
                  <w:vAlign w:val="center"/>
                </w:tcPr>
                <w:p w14:paraId="29A3186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单位</w:t>
                  </w:r>
                </w:p>
              </w:tc>
            </w:tr>
            <w:tr w14:paraId="4441A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2927524F">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颗</w:t>
                  </w:r>
                  <w:r>
                    <w:rPr>
                      <w:rFonts w:hint="default" w:ascii="Times New Roman" w:hAnsi="Times New Roman" w:cs="Times New Roman"/>
                    </w:rPr>
                    <w:cr/>
                  </w:r>
                  <w:r>
                    <w:rPr>
                      <w:rFonts w:hint="default" w:ascii="Times New Roman" w:hAnsi="Times New Roman" w:cs="Times New Roman"/>
                    </w:rPr>
                    <w:t>物（粒径小于等于10μm）</w:t>
                  </w:r>
                </w:p>
              </w:tc>
              <w:tc>
                <w:tcPr>
                  <w:tcW w:w="1997" w:type="dxa"/>
                  <w:tcBorders>
                    <w:tl2br w:val="nil"/>
                    <w:tr2bl w:val="nil"/>
                  </w:tcBorders>
                  <w:vAlign w:val="center"/>
                </w:tcPr>
                <w:p w14:paraId="4925412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1E28C62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70</w:t>
                  </w:r>
                </w:p>
              </w:tc>
              <w:tc>
                <w:tcPr>
                  <w:tcW w:w="1060" w:type="dxa"/>
                  <w:vMerge w:val="restart"/>
                  <w:tcBorders>
                    <w:tl2br w:val="nil"/>
                    <w:tr2bl w:val="nil"/>
                  </w:tcBorders>
                  <w:vAlign w:val="center"/>
                </w:tcPr>
                <w:p w14:paraId="7C27F00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3245F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67E6B6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2F7EFE2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278D8CF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150</w:t>
                  </w:r>
                </w:p>
              </w:tc>
              <w:tc>
                <w:tcPr>
                  <w:tcW w:w="1060" w:type="dxa"/>
                  <w:vMerge w:val="continue"/>
                  <w:tcBorders>
                    <w:tl2br w:val="nil"/>
                    <w:tr2bl w:val="nil"/>
                  </w:tcBorders>
                  <w:vAlign w:val="center"/>
                </w:tcPr>
                <w:p w14:paraId="11987B5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6807C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5E0748BB">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颗</w:t>
                  </w:r>
                  <w:r>
                    <w:rPr>
                      <w:rFonts w:hint="default" w:ascii="Times New Roman" w:hAnsi="Times New Roman" w:cs="Times New Roman"/>
                    </w:rPr>
                    <w:cr/>
                  </w:r>
                  <w:r>
                    <w:rPr>
                      <w:rFonts w:hint="default" w:ascii="Times New Roman" w:hAnsi="Times New Roman" w:cs="Times New Roman"/>
                    </w:rPr>
                    <w:t>物（粒径小于等于2.5μm）</w:t>
                  </w:r>
                </w:p>
              </w:tc>
              <w:tc>
                <w:tcPr>
                  <w:tcW w:w="1997" w:type="dxa"/>
                  <w:tcBorders>
                    <w:tl2br w:val="nil"/>
                    <w:tr2bl w:val="nil"/>
                  </w:tcBorders>
                  <w:vAlign w:val="center"/>
                </w:tcPr>
                <w:p w14:paraId="4612627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12695257">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default" w:ascii="Times New Roman" w:hAnsi="Times New Roman" w:cs="Times New Roman"/>
                    </w:rPr>
                  </w:pPr>
                  <w:r>
                    <w:rPr>
                      <w:rFonts w:hint="default" w:ascii="Times New Roman" w:hAnsi="Times New Roman" w:cs="Times New Roman"/>
                    </w:rPr>
                    <w:t>35</w:t>
                  </w:r>
                </w:p>
              </w:tc>
              <w:tc>
                <w:tcPr>
                  <w:tcW w:w="1060" w:type="dxa"/>
                  <w:vMerge w:val="restart"/>
                  <w:tcBorders>
                    <w:tl2br w:val="nil"/>
                    <w:tr2bl w:val="nil"/>
                  </w:tcBorders>
                  <w:vAlign w:val="center"/>
                </w:tcPr>
                <w:p w14:paraId="1BA09619">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446C8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5F81AAD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487E58E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456F48BB">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75</w:t>
                  </w:r>
                </w:p>
              </w:tc>
              <w:tc>
                <w:tcPr>
                  <w:tcW w:w="1060" w:type="dxa"/>
                  <w:vMerge w:val="continue"/>
                  <w:tcBorders>
                    <w:tl2br w:val="nil"/>
                    <w:tr2bl w:val="nil"/>
                  </w:tcBorders>
                  <w:vAlign w:val="center"/>
                </w:tcPr>
                <w:p w14:paraId="0BC85B7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51A36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64CD045F">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二氧化氮（NO</w:t>
                  </w:r>
                  <w:r>
                    <w:rPr>
                      <w:rFonts w:hint="default" w:ascii="Times New Roman" w:hAnsi="Times New Roman" w:cs="Times New Roman"/>
                      <w:vertAlign w:val="subscript"/>
                    </w:rPr>
                    <w:t>2</w:t>
                  </w:r>
                  <w:r>
                    <w:rPr>
                      <w:rFonts w:hint="default" w:ascii="Times New Roman" w:hAnsi="Times New Roman" w:cs="Times New Roman"/>
                    </w:rPr>
                    <w:t>）</w:t>
                  </w:r>
                </w:p>
              </w:tc>
              <w:tc>
                <w:tcPr>
                  <w:tcW w:w="1997" w:type="dxa"/>
                  <w:tcBorders>
                    <w:tl2br w:val="nil"/>
                    <w:tr2bl w:val="nil"/>
                  </w:tcBorders>
                  <w:vAlign w:val="center"/>
                </w:tcPr>
                <w:p w14:paraId="797439D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2A9BE1F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40</w:t>
                  </w:r>
                </w:p>
              </w:tc>
              <w:tc>
                <w:tcPr>
                  <w:tcW w:w="1060" w:type="dxa"/>
                  <w:vMerge w:val="restart"/>
                  <w:tcBorders>
                    <w:tl2br w:val="nil"/>
                    <w:tr2bl w:val="nil"/>
                  </w:tcBorders>
                  <w:vAlign w:val="center"/>
                </w:tcPr>
                <w:p w14:paraId="233F8D79">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2D2E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488B8B8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1AAC418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50547A6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80</w:t>
                  </w:r>
                </w:p>
              </w:tc>
              <w:tc>
                <w:tcPr>
                  <w:tcW w:w="1060" w:type="dxa"/>
                  <w:vMerge w:val="continue"/>
                  <w:tcBorders>
                    <w:tl2br w:val="nil"/>
                    <w:tr2bl w:val="nil"/>
                  </w:tcBorders>
                  <w:vAlign w:val="center"/>
                </w:tcPr>
                <w:p w14:paraId="5D3868F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785C0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0D2DF0D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688C132B">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09A09CDB">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2CF1D78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23767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5C46DD7A">
                  <w:pPr>
                    <w:pStyle w:val="40"/>
                    <w:keepNext w:val="0"/>
                    <w:keepLines w:val="0"/>
                    <w:pageBreakBefore w:val="0"/>
                    <w:widowControl w:val="0"/>
                    <w:kinsoku/>
                    <w:wordWrap/>
                    <w:overflowPunct/>
                    <w:topLinePunct w:val="0"/>
                    <w:autoSpaceDE/>
                    <w:autoSpaceDN/>
                    <w:bidi w:val="0"/>
                    <w:adjustRightInd w:val="0"/>
                    <w:snapToGrid w:val="0"/>
                    <w:spacing w:beforeLines="0" w:afterLines="0"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二氧化硫（SO</w:t>
                  </w:r>
                  <w:r>
                    <w:rPr>
                      <w:rFonts w:hint="default" w:ascii="Times New Roman" w:hAnsi="Times New Roman" w:cs="Times New Roman"/>
                      <w:vertAlign w:val="subscript"/>
                    </w:rPr>
                    <w:t>2</w:t>
                  </w:r>
                  <w:r>
                    <w:rPr>
                      <w:rFonts w:hint="default" w:ascii="Times New Roman" w:hAnsi="Times New Roman" w:cs="Times New Roman"/>
                    </w:rPr>
                    <w:t>）</w:t>
                  </w:r>
                </w:p>
              </w:tc>
              <w:tc>
                <w:tcPr>
                  <w:tcW w:w="1997" w:type="dxa"/>
                  <w:tcBorders>
                    <w:tl2br w:val="nil"/>
                    <w:tr2bl w:val="nil"/>
                  </w:tcBorders>
                  <w:vAlign w:val="center"/>
                </w:tcPr>
                <w:p w14:paraId="277FD47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年平均</w:t>
                  </w:r>
                </w:p>
              </w:tc>
              <w:tc>
                <w:tcPr>
                  <w:tcW w:w="1734" w:type="dxa"/>
                  <w:tcBorders>
                    <w:tl2br w:val="nil"/>
                    <w:tr2bl w:val="nil"/>
                  </w:tcBorders>
                  <w:vAlign w:val="center"/>
                </w:tcPr>
                <w:p w14:paraId="1D93880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60</w:t>
                  </w:r>
                </w:p>
              </w:tc>
              <w:tc>
                <w:tcPr>
                  <w:tcW w:w="1060" w:type="dxa"/>
                  <w:vMerge w:val="restart"/>
                  <w:tcBorders>
                    <w:tl2br w:val="nil"/>
                    <w:tr2bl w:val="nil"/>
                  </w:tcBorders>
                  <w:vAlign w:val="center"/>
                </w:tcPr>
                <w:p w14:paraId="26B9D602">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781E3D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6A98B53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17860C5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5D47D70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150</w:t>
                  </w:r>
                </w:p>
              </w:tc>
              <w:tc>
                <w:tcPr>
                  <w:tcW w:w="1060" w:type="dxa"/>
                  <w:vMerge w:val="continue"/>
                  <w:tcBorders>
                    <w:tl2br w:val="nil"/>
                    <w:tr2bl w:val="nil"/>
                  </w:tcBorders>
                  <w:vAlign w:val="center"/>
                </w:tcPr>
                <w:p w14:paraId="028604A8">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0E2008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33413DC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687C6EAB">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64D38951">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500</w:t>
                  </w:r>
                </w:p>
              </w:tc>
              <w:tc>
                <w:tcPr>
                  <w:tcW w:w="1060" w:type="dxa"/>
                  <w:vMerge w:val="continue"/>
                  <w:tcBorders>
                    <w:tl2br w:val="nil"/>
                    <w:tr2bl w:val="nil"/>
                  </w:tcBorders>
                  <w:vAlign w:val="center"/>
                </w:tcPr>
                <w:p w14:paraId="3EADEDC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4A688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451FB866">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一氧化碳（CO）</w:t>
                  </w:r>
                </w:p>
              </w:tc>
              <w:tc>
                <w:tcPr>
                  <w:tcW w:w="1997" w:type="dxa"/>
                  <w:tcBorders>
                    <w:tl2br w:val="nil"/>
                    <w:tr2bl w:val="nil"/>
                  </w:tcBorders>
                  <w:vAlign w:val="center"/>
                </w:tcPr>
                <w:p w14:paraId="150689BD">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24小时平均</w:t>
                  </w:r>
                </w:p>
              </w:tc>
              <w:tc>
                <w:tcPr>
                  <w:tcW w:w="1734" w:type="dxa"/>
                  <w:tcBorders>
                    <w:tl2br w:val="nil"/>
                    <w:tr2bl w:val="nil"/>
                  </w:tcBorders>
                  <w:vAlign w:val="center"/>
                </w:tcPr>
                <w:p w14:paraId="24DC93E1">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4</w:t>
                  </w:r>
                </w:p>
              </w:tc>
              <w:tc>
                <w:tcPr>
                  <w:tcW w:w="1060" w:type="dxa"/>
                  <w:vMerge w:val="restart"/>
                  <w:tcBorders>
                    <w:tl2br w:val="nil"/>
                    <w:tr2bl w:val="nil"/>
                  </w:tcBorders>
                  <w:vAlign w:val="center"/>
                </w:tcPr>
                <w:p w14:paraId="4FDBBD25">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mg/m</w:t>
                  </w:r>
                  <w:r>
                    <w:rPr>
                      <w:rFonts w:hint="default" w:ascii="Times New Roman" w:hAnsi="Times New Roman" w:cs="Times New Roman"/>
                      <w:vertAlign w:val="superscript"/>
                    </w:rPr>
                    <w:t>3</w:t>
                  </w:r>
                </w:p>
              </w:tc>
            </w:tr>
            <w:tr w14:paraId="511124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74D6878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341F91DC">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77E69C4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10</w:t>
                  </w:r>
                </w:p>
              </w:tc>
              <w:tc>
                <w:tcPr>
                  <w:tcW w:w="1060" w:type="dxa"/>
                  <w:vMerge w:val="continue"/>
                  <w:tcBorders>
                    <w:tl2br w:val="nil"/>
                    <w:tr2bl w:val="nil"/>
                  </w:tcBorders>
                  <w:vAlign w:val="center"/>
                </w:tcPr>
                <w:p w14:paraId="298573BA">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r w14:paraId="14276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restart"/>
                  <w:tcBorders>
                    <w:tl2br w:val="nil"/>
                    <w:tr2bl w:val="nil"/>
                  </w:tcBorders>
                  <w:vAlign w:val="center"/>
                </w:tcPr>
                <w:p w14:paraId="785DA7A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臭氧（O</w:t>
                  </w:r>
                  <w:r>
                    <w:rPr>
                      <w:rFonts w:hint="default" w:ascii="Times New Roman" w:hAnsi="Times New Roman" w:cs="Times New Roman"/>
                      <w:vertAlign w:val="subscript"/>
                    </w:rPr>
                    <w:t>3</w:t>
                  </w:r>
                  <w:r>
                    <w:rPr>
                      <w:rFonts w:hint="default" w:ascii="Times New Roman" w:hAnsi="Times New Roman" w:cs="Times New Roman"/>
                    </w:rPr>
                    <w:t>）</w:t>
                  </w:r>
                </w:p>
              </w:tc>
              <w:tc>
                <w:tcPr>
                  <w:tcW w:w="1997" w:type="dxa"/>
                  <w:tcBorders>
                    <w:tl2br w:val="nil"/>
                    <w:tr2bl w:val="nil"/>
                  </w:tcBorders>
                  <w:vAlign w:val="center"/>
                </w:tcPr>
                <w:p w14:paraId="54C87BB0">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日最大8小时平均</w:t>
                  </w:r>
                </w:p>
              </w:tc>
              <w:tc>
                <w:tcPr>
                  <w:tcW w:w="1734" w:type="dxa"/>
                  <w:tcBorders>
                    <w:tl2br w:val="nil"/>
                    <w:tr2bl w:val="nil"/>
                  </w:tcBorders>
                  <w:vAlign w:val="center"/>
                </w:tcPr>
                <w:p w14:paraId="46E0EE4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160</w:t>
                  </w:r>
                </w:p>
              </w:tc>
              <w:tc>
                <w:tcPr>
                  <w:tcW w:w="1060" w:type="dxa"/>
                  <w:vMerge w:val="restart"/>
                  <w:tcBorders>
                    <w:tl2br w:val="nil"/>
                    <w:tr2bl w:val="nil"/>
                  </w:tcBorders>
                  <w:vAlign w:val="center"/>
                </w:tcPr>
                <w:p w14:paraId="68262D17">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μg/m</w:t>
                  </w:r>
                  <w:r>
                    <w:rPr>
                      <w:rFonts w:hint="default" w:ascii="Times New Roman" w:hAnsi="Times New Roman" w:cs="Times New Roman"/>
                      <w:vertAlign w:val="superscript"/>
                    </w:rPr>
                    <w:t>3</w:t>
                  </w:r>
                </w:p>
              </w:tc>
            </w:tr>
            <w:tr w14:paraId="10001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40" w:hRule="atLeast"/>
                <w:jc w:val="center"/>
              </w:trPr>
              <w:tc>
                <w:tcPr>
                  <w:tcW w:w="2752" w:type="dxa"/>
                  <w:vMerge w:val="continue"/>
                  <w:tcBorders>
                    <w:tl2br w:val="nil"/>
                    <w:tr2bl w:val="nil"/>
                  </w:tcBorders>
                  <w:vAlign w:val="center"/>
                </w:tcPr>
                <w:p w14:paraId="1B2B471E">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c>
                <w:tcPr>
                  <w:tcW w:w="1997" w:type="dxa"/>
                  <w:tcBorders>
                    <w:tl2br w:val="nil"/>
                    <w:tr2bl w:val="nil"/>
                  </w:tcBorders>
                  <w:vAlign w:val="center"/>
                </w:tcPr>
                <w:p w14:paraId="0E2809CF">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1小时平均</w:t>
                  </w:r>
                </w:p>
              </w:tc>
              <w:tc>
                <w:tcPr>
                  <w:tcW w:w="1734" w:type="dxa"/>
                  <w:tcBorders>
                    <w:tl2br w:val="nil"/>
                    <w:tr2bl w:val="nil"/>
                  </w:tcBorders>
                  <w:vAlign w:val="center"/>
                </w:tcPr>
                <w:p w14:paraId="249EDEC4">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r>
                    <w:rPr>
                      <w:rFonts w:hint="default" w:ascii="Times New Roman" w:hAnsi="Times New Roman" w:cs="Times New Roman"/>
                    </w:rPr>
                    <w:t>200</w:t>
                  </w:r>
                </w:p>
              </w:tc>
              <w:tc>
                <w:tcPr>
                  <w:tcW w:w="1060" w:type="dxa"/>
                  <w:vMerge w:val="continue"/>
                  <w:tcBorders>
                    <w:tl2br w:val="nil"/>
                    <w:tr2bl w:val="nil"/>
                  </w:tcBorders>
                  <w:vAlign w:val="center"/>
                </w:tcPr>
                <w:p w14:paraId="063888B3">
                  <w:pPr>
                    <w:pStyle w:val="44"/>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default" w:ascii="Times New Roman" w:hAnsi="Times New Roman" w:cs="Times New Roman"/>
                    </w:rPr>
                  </w:pPr>
                </w:p>
              </w:tc>
            </w:tr>
          </w:tbl>
          <w:p w14:paraId="65145D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（2）地表水环境质量标准</w:t>
            </w:r>
          </w:p>
          <w:p w14:paraId="154E60D2">
            <w:pPr>
              <w:spacing w:before="10" w:line="360" w:lineRule="auto"/>
              <w:ind w:right="18" w:firstLine="480" w:firstLineChars="200"/>
              <w:jc w:val="left"/>
              <w:rPr>
                <w:rFonts w:hint="default" w:ascii="Times New Roman" w:hAnsi="Times New Roman" w:cs="Times New Roman"/>
                <w:lang w:val="en-US" w:eastAsia="zh-CN"/>
              </w:rPr>
            </w:pPr>
            <w:r>
              <w:rPr>
                <w:rFonts w:hint="default" w:ascii="宋体" w:hAnsi="宋体" w:eastAsia="宋体" w:cs="宋体"/>
                <w:b w:val="0"/>
                <w:bCs w:val="0"/>
                <w:spacing w:val="0"/>
                <w:kern w:val="2"/>
                <w:sz w:val="24"/>
                <w:szCs w:val="24"/>
                <w:lang w:val="en-US" w:eastAsia="zh-CN" w:bidi="ar-SA"/>
              </w:rPr>
              <w:t>本项目位于芒市</w:t>
            </w:r>
            <w:r>
              <w:rPr>
                <w:rFonts w:hint="eastAsia" w:ascii="宋体" w:hAnsi="宋体" w:eastAsia="宋体" w:cs="宋体"/>
                <w:color w:val="000000"/>
                <w:kern w:val="0"/>
                <w:sz w:val="24"/>
                <w:szCs w:val="24"/>
                <w:lang w:val="en-US" w:eastAsia="zh-CN" w:bidi="ar"/>
              </w:rPr>
              <w:t>江东乡</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宋体" w:hAnsi="宋体" w:eastAsia="宋体" w:cs="宋体"/>
                <w:b w:val="0"/>
                <w:bCs w:val="0"/>
                <w:spacing w:val="0"/>
                <w:kern w:val="2"/>
                <w:sz w:val="24"/>
                <w:szCs w:val="24"/>
                <w:lang w:val="en-US" w:eastAsia="zh-CN" w:bidi="ar-SA"/>
              </w:rPr>
              <w:t>，</w:t>
            </w:r>
            <w:r>
              <w:rPr>
                <w:rFonts w:hint="eastAsia" w:ascii="宋体" w:hAnsi="宋体" w:eastAsia="宋体" w:cs="宋体"/>
                <w:b w:val="0"/>
                <w:bCs w:val="0"/>
                <w:spacing w:val="0"/>
                <w:kern w:val="2"/>
                <w:sz w:val="24"/>
                <w:szCs w:val="24"/>
                <w:lang w:val="en-US" w:eastAsia="zh-CN" w:bidi="ar-SA"/>
              </w:rPr>
              <w:t>到2030年水质目标为</w:t>
            </w:r>
            <w:r>
              <w:rPr>
                <w:rFonts w:hint="default" w:ascii="宋体" w:hAnsi="宋体" w:eastAsia="宋体" w:cs="宋体"/>
                <w:b w:val="0"/>
                <w:bCs w:val="0"/>
                <w:spacing w:val="0"/>
                <w:kern w:val="2"/>
                <w:sz w:val="24"/>
                <w:szCs w:val="24"/>
                <w:lang w:val="en-US" w:eastAsia="zh-CN" w:bidi="ar-SA"/>
              </w:rPr>
              <w:t>Ⅲ类，水质执行《地表水环境质量标准》（</w:t>
            </w:r>
            <w:r>
              <w:rPr>
                <w:rFonts w:hint="default" w:ascii="Times New Roman" w:hAnsi="Times New Roman" w:eastAsia="宋体" w:cs="Times New Roman"/>
                <w:b w:val="0"/>
                <w:bCs w:val="0"/>
                <w:spacing w:val="0"/>
                <w:kern w:val="2"/>
                <w:sz w:val="24"/>
                <w:szCs w:val="24"/>
                <w:lang w:val="en-US" w:eastAsia="zh-CN" w:bidi="ar-SA"/>
              </w:rPr>
              <w:t>GB3838－2002）Ⅲ类标准要求。根据支流不低于干流的原则，项目地表水执行《地表水环境质量标准》（GB3838-2002）标准中的Ⅲ类水质标准。</w:t>
            </w:r>
            <w:r>
              <w:rPr>
                <w:rFonts w:hint="default" w:ascii="Times New Roman" w:hAnsi="Times New Roman" w:cs="Times New Roman"/>
              </w:rPr>
              <w:t>具体见表</w:t>
            </w:r>
            <w:r>
              <w:rPr>
                <w:rFonts w:hint="default" w:ascii="Times New Roman" w:hAnsi="Times New Roman" w:cs="Times New Roman"/>
                <w:lang w:val="en-US" w:eastAsia="zh-CN"/>
              </w:rPr>
              <w:t>3-</w:t>
            </w:r>
            <w:r>
              <w:rPr>
                <w:rFonts w:hint="eastAsia" w:ascii="Times New Roman" w:hAnsi="Times New Roman" w:cs="Times New Roman"/>
                <w:lang w:val="en-US" w:eastAsia="zh-CN"/>
              </w:rPr>
              <w:t>7</w:t>
            </w:r>
            <w:r>
              <w:rPr>
                <w:rFonts w:hint="default" w:ascii="Times New Roman" w:hAnsi="Times New Roman" w:cs="Times New Roman"/>
                <w:lang w:val="en-US" w:eastAsia="zh-CN"/>
              </w:rPr>
              <w:t>：</w:t>
            </w:r>
          </w:p>
          <w:p w14:paraId="0D1215E9">
            <w:pPr>
              <w:spacing w:line="240" w:lineRule="auto"/>
              <w:jc w:val="center"/>
              <w:rPr>
                <w:rFonts w:hint="default"/>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lang w:val="en-US" w:eastAsia="zh-CN"/>
              </w:rPr>
              <w:t>地表水环境质量标准   （单位：mg/L，pH无量纲</w:t>
            </w:r>
            <w:r>
              <w:rPr>
                <w:rFonts w:hint="default"/>
                <w:lang w:val="en-US" w:eastAsia="zh-CN"/>
              </w:rPr>
              <w:t>）</w:t>
            </w:r>
          </w:p>
          <w:tbl>
            <w:tblPr>
              <w:tblStyle w:val="21"/>
              <w:tblW w:w="754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1068"/>
              <w:gridCol w:w="820"/>
              <w:gridCol w:w="858"/>
              <w:gridCol w:w="780"/>
              <w:gridCol w:w="1106"/>
              <w:gridCol w:w="691"/>
              <w:gridCol w:w="1152"/>
            </w:tblGrid>
            <w:tr w14:paraId="6F6A7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6760D32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w:t>
                  </w:r>
                </w:p>
              </w:tc>
              <w:tc>
                <w:tcPr>
                  <w:tcW w:w="1068" w:type="dxa"/>
                  <w:tcBorders>
                    <w:tl2br w:val="nil"/>
                    <w:tr2bl w:val="nil"/>
                  </w:tcBorders>
                  <w:vAlign w:val="center"/>
                </w:tcPr>
                <w:p w14:paraId="5F9B536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p w14:paraId="4D7688D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(无量纲)</w:t>
                  </w:r>
                </w:p>
              </w:tc>
              <w:tc>
                <w:tcPr>
                  <w:tcW w:w="820" w:type="dxa"/>
                  <w:tcBorders>
                    <w:tl2br w:val="nil"/>
                    <w:tr2bl w:val="nil"/>
                  </w:tcBorders>
                  <w:vAlign w:val="center"/>
                </w:tcPr>
                <w:p w14:paraId="1B64D58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NH</w:t>
                  </w:r>
                  <w:r>
                    <w:rPr>
                      <w:rFonts w:hint="default" w:ascii="Times New Roman" w:hAnsi="Times New Roman" w:eastAsia="宋体" w:cs="Times New Roman"/>
                      <w:sz w:val="21"/>
                      <w:szCs w:val="21"/>
                      <w:vertAlign w:val="subscript"/>
                    </w:rPr>
                    <w:t>3</w:t>
                  </w:r>
                  <w:r>
                    <w:rPr>
                      <w:rFonts w:hint="default" w:ascii="Times New Roman" w:hAnsi="Times New Roman" w:eastAsia="宋体" w:cs="Times New Roman"/>
                      <w:sz w:val="21"/>
                      <w:szCs w:val="21"/>
                    </w:rPr>
                    <w:t>-N</w:t>
                  </w:r>
                </w:p>
              </w:tc>
              <w:tc>
                <w:tcPr>
                  <w:tcW w:w="858" w:type="dxa"/>
                  <w:tcBorders>
                    <w:tl2br w:val="nil"/>
                    <w:tr2bl w:val="nil"/>
                  </w:tcBorders>
                  <w:vAlign w:val="center"/>
                </w:tcPr>
                <w:p w14:paraId="29673BC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w:t>
                  </w:r>
                </w:p>
              </w:tc>
              <w:tc>
                <w:tcPr>
                  <w:tcW w:w="780" w:type="dxa"/>
                  <w:tcBorders>
                    <w:tl2br w:val="nil"/>
                    <w:tr2bl w:val="nil"/>
                  </w:tcBorders>
                  <w:vAlign w:val="center"/>
                </w:tcPr>
                <w:p w14:paraId="1409934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106" w:type="dxa"/>
                  <w:tcBorders>
                    <w:tl2br w:val="nil"/>
                    <w:tr2bl w:val="nil"/>
                  </w:tcBorders>
                  <w:vAlign w:val="center"/>
                </w:tcPr>
                <w:p w14:paraId="2B34CBC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691" w:type="dxa"/>
                  <w:tcBorders>
                    <w:tl2br w:val="nil"/>
                    <w:tr2bl w:val="nil"/>
                  </w:tcBorders>
                  <w:vAlign w:val="center"/>
                </w:tcPr>
                <w:p w14:paraId="76420AD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152" w:type="dxa"/>
                  <w:tcBorders>
                    <w:tl2br w:val="nil"/>
                    <w:tr2bl w:val="nil"/>
                  </w:tcBorders>
                  <w:vAlign w:val="center"/>
                </w:tcPr>
                <w:p w14:paraId="3F2916F8">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w:t>
                  </w:r>
                  <w:r>
                    <w:rPr>
                      <w:rFonts w:hint="default" w:ascii="Times New Roman" w:hAnsi="Times New Roman" w:eastAsia="宋体" w:cs="Times New Roman"/>
                      <w:sz w:val="21"/>
                      <w:szCs w:val="21"/>
                      <w:lang w:eastAsia="zh-CN"/>
                    </w:rPr>
                    <w:t>群</w:t>
                  </w:r>
                  <w:r>
                    <w:rPr>
                      <w:rFonts w:hint="default" w:ascii="Times New Roman" w:hAnsi="Times New Roman" w:eastAsia="宋体" w:cs="Times New Roman"/>
                      <w:sz w:val="21"/>
                      <w:szCs w:val="21"/>
                    </w:rPr>
                    <w:t>(个/L)</w:t>
                  </w:r>
                </w:p>
              </w:tc>
            </w:tr>
            <w:tr w14:paraId="5A326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1066" w:type="dxa"/>
                  <w:tcBorders>
                    <w:tl2br w:val="nil"/>
                    <w:tr2bl w:val="nil"/>
                  </w:tcBorders>
                  <w:vAlign w:val="center"/>
                </w:tcPr>
                <w:p w14:paraId="370856B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Ⅲ类标准</w:t>
                  </w:r>
                </w:p>
              </w:tc>
              <w:tc>
                <w:tcPr>
                  <w:tcW w:w="1068" w:type="dxa"/>
                  <w:tcBorders>
                    <w:tl2br w:val="nil"/>
                    <w:tr2bl w:val="nil"/>
                  </w:tcBorders>
                  <w:vAlign w:val="center"/>
                </w:tcPr>
                <w:p w14:paraId="61C2416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820" w:type="dxa"/>
                  <w:tcBorders>
                    <w:tl2br w:val="nil"/>
                    <w:tr2bl w:val="nil"/>
                  </w:tcBorders>
                  <w:vAlign w:val="center"/>
                </w:tcPr>
                <w:p w14:paraId="1C19B8A9">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858" w:type="dxa"/>
                  <w:tcBorders>
                    <w:tl2br w:val="nil"/>
                    <w:tr2bl w:val="nil"/>
                  </w:tcBorders>
                  <w:vAlign w:val="center"/>
                </w:tcPr>
                <w:p w14:paraId="545614DA">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20</w:t>
                  </w:r>
                </w:p>
              </w:tc>
              <w:tc>
                <w:tcPr>
                  <w:tcW w:w="780" w:type="dxa"/>
                  <w:tcBorders>
                    <w:tl2br w:val="nil"/>
                    <w:tr2bl w:val="nil"/>
                  </w:tcBorders>
                  <w:vAlign w:val="center"/>
                </w:tcPr>
                <w:p w14:paraId="41EE12D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4</w:t>
                  </w:r>
                </w:p>
              </w:tc>
              <w:tc>
                <w:tcPr>
                  <w:tcW w:w="1106" w:type="dxa"/>
                  <w:tcBorders>
                    <w:tl2br w:val="nil"/>
                    <w:tr2bl w:val="nil"/>
                  </w:tcBorders>
                  <w:vAlign w:val="center"/>
                </w:tcPr>
                <w:p w14:paraId="68589D3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0.2</w:t>
                  </w:r>
                </w:p>
                <w:p w14:paraId="219BA3BC">
                  <w:pPr>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（湖、库</w:t>
                  </w:r>
                  <w:r>
                    <w:rPr>
                      <w:rFonts w:hint="default" w:ascii="Times New Roman" w:hAnsi="Times New Roman" w:eastAsia="宋体" w:cs="Times New Roman"/>
                      <w:sz w:val="21"/>
                      <w:szCs w:val="21"/>
                      <w:lang w:val="en-US" w:eastAsia="zh-CN"/>
                    </w:rPr>
                    <w:t>0.05</w:t>
                  </w:r>
                  <w:r>
                    <w:rPr>
                      <w:rFonts w:hint="default" w:ascii="Times New Roman" w:hAnsi="Times New Roman" w:eastAsia="宋体" w:cs="Times New Roman"/>
                      <w:sz w:val="21"/>
                      <w:szCs w:val="21"/>
                      <w:lang w:eastAsia="zh-CN"/>
                    </w:rPr>
                    <w:t>）</w:t>
                  </w:r>
                </w:p>
              </w:tc>
              <w:tc>
                <w:tcPr>
                  <w:tcW w:w="691" w:type="dxa"/>
                  <w:tcBorders>
                    <w:tl2br w:val="nil"/>
                    <w:tr2bl w:val="nil"/>
                  </w:tcBorders>
                  <w:vAlign w:val="center"/>
                </w:tcPr>
                <w:p w14:paraId="1D405B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w:t>
                  </w:r>
                </w:p>
              </w:tc>
              <w:tc>
                <w:tcPr>
                  <w:tcW w:w="1152" w:type="dxa"/>
                  <w:tcBorders>
                    <w:tl2br w:val="nil"/>
                    <w:tr2bl w:val="nil"/>
                  </w:tcBorders>
                  <w:vAlign w:val="center"/>
                </w:tcPr>
                <w:p w14:paraId="1B5D44F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10000</w:t>
                  </w:r>
                </w:p>
              </w:tc>
            </w:tr>
          </w:tbl>
          <w:p w14:paraId="556507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（3）声环境质量标准</w:t>
            </w:r>
          </w:p>
          <w:p w14:paraId="5690EE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sz w:val="21"/>
                <w:szCs w:val="21"/>
                <w:lang w:val="en-US" w:eastAsia="zh-CN"/>
              </w:rPr>
            </w:pPr>
            <w:r>
              <w:rPr>
                <w:rFonts w:hint="default"/>
                <w:lang w:val="en-US" w:eastAsia="zh-CN"/>
              </w:rPr>
              <w:t>项目区</w:t>
            </w:r>
            <w:r>
              <w:rPr>
                <w:rFonts w:hint="default" w:ascii="Times New Roman" w:hAnsi="Times New Roman" w:cs="Times New Roman"/>
                <w:lang w:val="en-US" w:eastAsia="zh-CN"/>
              </w:rPr>
              <w:t>为2类声环境功能区，执行《声环境质量标准》（GB3096-2008）中2类区标准，具体标准值见下表3-</w:t>
            </w:r>
            <w:r>
              <w:rPr>
                <w:rFonts w:hint="eastAsia" w:ascii="Times New Roman" w:hAnsi="Times New Roman" w:cs="Times New Roman"/>
                <w:lang w:val="en-US" w:eastAsia="zh-CN"/>
              </w:rPr>
              <w:t>8</w:t>
            </w:r>
            <w:r>
              <w:rPr>
                <w:rFonts w:hint="default" w:ascii="Times New Roman" w:hAnsi="Times New Roman" w:cs="Times New Roman"/>
                <w:lang w:val="en-US" w:eastAsia="zh-CN"/>
              </w:rPr>
              <w:t>。</w:t>
            </w:r>
          </w:p>
          <w:p w14:paraId="03F24544">
            <w:pPr>
              <w:spacing w:line="240" w:lineRule="auto"/>
              <w:jc w:val="center"/>
              <w:rPr>
                <w:rFonts w:hint="default" w:ascii="Times New Roman" w:hAnsi="Times New Roman" w:cs="Times New Roman"/>
                <w:b/>
                <w:bCs/>
                <w:sz w:val="21"/>
                <w:szCs w:val="21"/>
                <w:lang w:val="en-US" w:eastAsia="zh-CN"/>
              </w:rPr>
            </w:pPr>
          </w:p>
          <w:p w14:paraId="0FD2FAB0">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表3-</w:t>
            </w:r>
            <w:r>
              <w:rPr>
                <w:rFonts w:hint="eastAsia" w:ascii="Times New Roman" w:hAnsi="Times New Roman" w:cs="Times New Roman"/>
                <w:b/>
                <w:bCs/>
                <w:sz w:val="21"/>
                <w:szCs w:val="21"/>
                <w:lang w:val="en-US" w:eastAsia="zh-CN"/>
              </w:rPr>
              <w:t>8</w:t>
            </w:r>
            <w:r>
              <w:rPr>
                <w:rFonts w:hint="default" w:ascii="Times New Roman" w:hAnsi="Times New Roman" w:cs="Times New Roman"/>
                <w:b/>
                <w:bCs/>
                <w:sz w:val="21"/>
                <w:szCs w:val="21"/>
                <w:lang w:val="en-US" w:eastAsia="zh-CN"/>
              </w:rPr>
              <w:t xml:space="preserve">  声环境噪声标准   </w:t>
            </w:r>
            <w:r>
              <w:rPr>
                <w:rFonts w:hint="default" w:ascii="Times New Roman" w:hAnsi="Times New Roman" w:cs="Times New Roman"/>
                <w:b/>
                <w:bCs/>
                <w:sz w:val="21"/>
                <w:szCs w:val="21"/>
                <w:lang w:val="zh-CN" w:eastAsia="zh-CN"/>
              </w:rPr>
              <w:t>单位：</w:t>
            </w:r>
            <w:r>
              <w:rPr>
                <w:rFonts w:hint="default" w:ascii="Times New Roman" w:hAnsi="Times New Roman" w:cs="Times New Roman"/>
                <w:b/>
                <w:bCs/>
                <w:sz w:val="21"/>
                <w:szCs w:val="21"/>
                <w:lang w:val="en-US" w:eastAsia="zh-CN"/>
              </w:rPr>
              <w:t>dB(A)</w:t>
            </w:r>
          </w:p>
          <w:tbl>
            <w:tblPr>
              <w:tblStyle w:val="21"/>
              <w:tblW w:w="7548"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599"/>
              <w:gridCol w:w="2351"/>
              <w:gridCol w:w="2598"/>
            </w:tblGrid>
            <w:tr w14:paraId="0FC0181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715A7A10">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rPr>
                    <w:t>声环境功能区类别</w:t>
                  </w:r>
                </w:p>
              </w:tc>
              <w:tc>
                <w:tcPr>
                  <w:tcW w:w="2351" w:type="dxa"/>
                  <w:tcBorders>
                    <w:tl2br w:val="nil"/>
                    <w:tr2bl w:val="nil"/>
                  </w:tcBorders>
                  <w:vAlign w:val="center"/>
                </w:tcPr>
                <w:p w14:paraId="309C0D45">
                  <w:pPr>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昼间</w:t>
                  </w:r>
                </w:p>
              </w:tc>
              <w:tc>
                <w:tcPr>
                  <w:tcW w:w="2598" w:type="dxa"/>
                  <w:tcBorders>
                    <w:tl2br w:val="nil"/>
                    <w:tr2bl w:val="nil"/>
                  </w:tcBorders>
                  <w:vAlign w:val="center"/>
                </w:tcPr>
                <w:p w14:paraId="63059A97">
                  <w:pPr>
                    <w:spacing w:line="240" w:lineRule="auto"/>
                    <w:jc w:val="center"/>
                    <w:rPr>
                      <w:rFonts w:hint="default" w:ascii="Times New Roman" w:hAnsi="Times New Roman" w:cs="Times New Roman"/>
                      <w:b/>
                      <w:bCs/>
                      <w:sz w:val="21"/>
                      <w:szCs w:val="21"/>
                      <w:lang w:val="zh-CN"/>
                    </w:rPr>
                  </w:pPr>
                  <w:r>
                    <w:rPr>
                      <w:rFonts w:hint="default" w:ascii="Times New Roman" w:hAnsi="Times New Roman" w:cs="Times New Roman"/>
                      <w:b/>
                      <w:bCs/>
                      <w:sz w:val="21"/>
                      <w:szCs w:val="21"/>
                    </w:rPr>
                    <w:t>夜间</w:t>
                  </w:r>
                </w:p>
              </w:tc>
            </w:tr>
            <w:tr w14:paraId="3A950B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40" w:hRule="atLeast"/>
                <w:jc w:val="center"/>
              </w:trPr>
              <w:tc>
                <w:tcPr>
                  <w:tcW w:w="2599" w:type="dxa"/>
                  <w:tcBorders>
                    <w:tl2br w:val="nil"/>
                    <w:tr2bl w:val="nil"/>
                  </w:tcBorders>
                  <w:vAlign w:val="center"/>
                </w:tcPr>
                <w:p w14:paraId="18625E98">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2</w:t>
                  </w:r>
                </w:p>
              </w:tc>
              <w:tc>
                <w:tcPr>
                  <w:tcW w:w="2351" w:type="dxa"/>
                  <w:tcBorders>
                    <w:tl2br w:val="nil"/>
                    <w:tr2bl w:val="nil"/>
                  </w:tcBorders>
                  <w:vAlign w:val="center"/>
                </w:tcPr>
                <w:p w14:paraId="0BFA0D53">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60</w:t>
                  </w:r>
                </w:p>
              </w:tc>
              <w:tc>
                <w:tcPr>
                  <w:tcW w:w="2598" w:type="dxa"/>
                  <w:tcBorders>
                    <w:tl2br w:val="nil"/>
                    <w:tr2bl w:val="nil"/>
                  </w:tcBorders>
                  <w:vAlign w:val="center"/>
                </w:tcPr>
                <w:p w14:paraId="2961D201">
                  <w:pPr>
                    <w:spacing w:line="240" w:lineRule="auto"/>
                    <w:jc w:val="center"/>
                    <w:rPr>
                      <w:rFonts w:hint="default" w:ascii="Times New Roman" w:hAnsi="Times New Roman" w:cs="Times New Roman"/>
                      <w:sz w:val="21"/>
                      <w:szCs w:val="21"/>
                      <w:lang w:val="zh-CN"/>
                    </w:rPr>
                  </w:pPr>
                  <w:r>
                    <w:rPr>
                      <w:rFonts w:hint="default" w:ascii="Times New Roman" w:hAnsi="Times New Roman" w:cs="Times New Roman"/>
                      <w:sz w:val="21"/>
                      <w:szCs w:val="21"/>
                    </w:rPr>
                    <w:t>50</w:t>
                  </w:r>
                </w:p>
              </w:tc>
            </w:tr>
          </w:tbl>
          <w:p w14:paraId="32AA73A7">
            <w:pPr>
              <w:numPr>
                <w:ilvl w:val="0"/>
                <w:numId w:val="10"/>
              </w:numPr>
              <w:spacing w:line="360" w:lineRule="auto"/>
              <w:ind w:left="0" w:leftChars="0"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污染物排放标准</w:t>
            </w:r>
          </w:p>
          <w:p w14:paraId="736C1383">
            <w:pPr>
              <w:spacing w:line="360" w:lineRule="auto"/>
              <w:ind w:firstLine="240" w:firstLineChars="1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）大气污染物排放标准</w:t>
            </w:r>
          </w:p>
          <w:p w14:paraId="7D92851C">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eastAsia="zh-CN"/>
              </w:rPr>
              <w:t>施工期</w:t>
            </w:r>
            <w:r>
              <w:rPr>
                <w:rFonts w:hint="default" w:ascii="Times New Roman" w:hAnsi="Times New Roman" w:cs="Times New Roman"/>
                <w:color w:val="auto"/>
                <w:sz w:val="24"/>
                <w:szCs w:val="24"/>
              </w:rPr>
              <w:t>产生的无组织粉尘排放执行GB16297－1996《大气污染物综合排放标准》表2中无组织排放监控浓度限值，</w:t>
            </w:r>
            <w:r>
              <w:rPr>
                <w:rFonts w:hint="default" w:ascii="Times New Roman" w:hAnsi="Times New Roman" w:cs="Times New Roman"/>
                <w:snapToGrid w:val="0"/>
                <w:color w:val="auto"/>
                <w:kern w:val="0"/>
                <w:sz w:val="24"/>
              </w:rPr>
              <w:t>具体见表</w:t>
            </w:r>
            <w:r>
              <w:rPr>
                <w:rFonts w:hint="eastAsia" w:ascii="Times New Roman" w:hAnsi="Times New Roman" w:cs="Times New Roman"/>
                <w:color w:val="auto"/>
                <w:sz w:val="24"/>
                <w:szCs w:val="24"/>
                <w:lang w:val="en-US" w:eastAsia="zh-CN"/>
              </w:rPr>
              <w:t>3-9。</w:t>
            </w:r>
          </w:p>
          <w:p w14:paraId="15750C9E">
            <w:pPr>
              <w:spacing w:line="240" w:lineRule="auto"/>
              <w:jc w:val="center"/>
              <w:rPr>
                <w:rFonts w:hint="default" w:ascii="Times New Roman" w:hAnsi="Times New Roman" w:cs="Times New Roman"/>
                <w:b/>
                <w:bCs/>
                <w:sz w:val="21"/>
                <w:szCs w:val="21"/>
                <w:lang w:val="en-US" w:eastAsia="zh-CN"/>
              </w:rPr>
            </w:pPr>
            <w:bookmarkStart w:id="21" w:name="_Toc203272495"/>
            <w:bookmarkStart w:id="22" w:name="_Toc203274961"/>
            <w:bookmarkStart w:id="23" w:name="_Toc203273730"/>
            <w:r>
              <w:rPr>
                <w:rFonts w:hint="default" w:ascii="Times New Roman" w:hAnsi="Times New Roman" w:cs="Times New Roman"/>
                <w:b/>
                <w:bCs/>
                <w:sz w:val="21"/>
                <w:szCs w:val="21"/>
                <w:lang w:val="en-US" w:eastAsia="zh-CN"/>
              </w:rPr>
              <w:t>表</w:t>
            </w:r>
            <w:r>
              <w:rPr>
                <w:rFonts w:hint="eastAsia" w:ascii="Times New Roman" w:hAnsi="Times New Roman" w:cs="Times New Roman"/>
                <w:b/>
                <w:bCs/>
                <w:sz w:val="21"/>
                <w:szCs w:val="21"/>
                <w:lang w:val="en-US" w:eastAsia="zh-CN"/>
              </w:rPr>
              <w:t>3-9</w:t>
            </w:r>
            <w:r>
              <w:rPr>
                <w:rFonts w:hint="default" w:ascii="Times New Roman" w:hAnsi="Times New Roman" w:cs="Times New Roman"/>
                <w:b/>
                <w:bCs/>
                <w:sz w:val="21"/>
                <w:szCs w:val="21"/>
                <w:lang w:val="en-US" w:eastAsia="zh-CN"/>
              </w:rPr>
              <w:t>大气污染物综合排放标准</w:t>
            </w:r>
            <w:bookmarkEnd w:id="21"/>
            <w:bookmarkEnd w:id="22"/>
            <w:bookmarkEnd w:id="23"/>
          </w:p>
          <w:tbl>
            <w:tblPr>
              <w:tblStyle w:val="21"/>
              <w:tblW w:w="754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3"/>
              <w:gridCol w:w="2407"/>
              <w:gridCol w:w="2687"/>
            </w:tblGrid>
            <w:tr w14:paraId="6A758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restart"/>
                  <w:vAlign w:val="center"/>
                </w:tcPr>
                <w:p w14:paraId="06AC939D">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5094" w:type="dxa"/>
                  <w:gridSpan w:val="2"/>
                  <w:vAlign w:val="center"/>
                </w:tcPr>
                <w:p w14:paraId="4E8F9821">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无组织排放监控浓度限值</w:t>
                  </w:r>
                </w:p>
              </w:tc>
            </w:tr>
            <w:tr w14:paraId="780F28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Merge w:val="continue"/>
                  <w:vAlign w:val="center"/>
                </w:tcPr>
                <w:p w14:paraId="16CF3DE1">
                  <w:pPr>
                    <w:widowControl/>
                    <w:jc w:val="left"/>
                    <w:rPr>
                      <w:rFonts w:hint="default" w:ascii="Times New Roman" w:hAnsi="Times New Roman" w:cs="Times New Roman"/>
                      <w:b/>
                      <w:bCs/>
                      <w:color w:val="auto"/>
                      <w:sz w:val="21"/>
                      <w:szCs w:val="21"/>
                    </w:rPr>
                  </w:pPr>
                </w:p>
              </w:tc>
              <w:tc>
                <w:tcPr>
                  <w:tcW w:w="2407" w:type="dxa"/>
                  <w:vAlign w:val="center"/>
                </w:tcPr>
                <w:p w14:paraId="552F6925">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监控点</w:t>
                  </w:r>
                </w:p>
              </w:tc>
              <w:tc>
                <w:tcPr>
                  <w:tcW w:w="2687" w:type="dxa"/>
                  <w:vAlign w:val="center"/>
                </w:tcPr>
                <w:p w14:paraId="3220139C">
                  <w:pPr>
                    <w:spacing w:line="240" w:lineRule="atLeas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浓度mg/m</w:t>
                  </w:r>
                  <w:r>
                    <w:rPr>
                      <w:rFonts w:hint="default" w:ascii="Times New Roman" w:hAnsi="Times New Roman" w:cs="Times New Roman"/>
                      <w:b/>
                      <w:bCs/>
                      <w:color w:val="auto"/>
                      <w:sz w:val="21"/>
                      <w:szCs w:val="21"/>
                      <w:vertAlign w:val="superscript"/>
                    </w:rPr>
                    <w:t>3</w:t>
                  </w:r>
                </w:p>
              </w:tc>
            </w:tr>
            <w:tr w14:paraId="3D50C0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453" w:type="dxa"/>
                  <w:vAlign w:val="center"/>
                </w:tcPr>
                <w:p w14:paraId="6C214611">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颗粒物</w:t>
                  </w:r>
                </w:p>
              </w:tc>
              <w:tc>
                <w:tcPr>
                  <w:tcW w:w="2407" w:type="dxa"/>
                  <w:vAlign w:val="center"/>
                </w:tcPr>
                <w:p w14:paraId="16B35806">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周界外浓度最高点</w:t>
                  </w:r>
                </w:p>
              </w:tc>
              <w:tc>
                <w:tcPr>
                  <w:tcW w:w="2687" w:type="dxa"/>
                  <w:vAlign w:val="center"/>
                </w:tcPr>
                <w:p w14:paraId="723D5322">
                  <w:pPr>
                    <w:spacing w:line="24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bl>
          <w:p w14:paraId="13AD1B6E">
            <w:pPr>
              <w:spacing w:line="360" w:lineRule="auto"/>
              <w:ind w:firstLine="240" w:firstLineChars="100"/>
              <w:rPr>
                <w:rFonts w:hint="default" w:ascii="Times New Roman" w:hAnsi="Times New Roman" w:cs="Times New Roman"/>
                <w:lang w:eastAsia="zh-CN"/>
              </w:rPr>
            </w:pPr>
            <w:r>
              <w:rPr>
                <w:rFonts w:hint="default" w:ascii="Times New Roman" w:hAnsi="Times New Roman" w:cs="Times New Roman"/>
                <w:lang w:eastAsia="zh-CN"/>
              </w:rPr>
              <w:t>（</w:t>
            </w:r>
            <w:r>
              <w:rPr>
                <w:rFonts w:hint="eastAsia" w:ascii="Times New Roman" w:hAnsi="Times New Roman" w:cs="Times New Roman"/>
                <w:lang w:val="en-US" w:eastAsia="zh-CN"/>
              </w:rPr>
              <w:t>2</w:t>
            </w:r>
            <w:r>
              <w:rPr>
                <w:rFonts w:hint="default" w:ascii="Times New Roman" w:hAnsi="Times New Roman" w:cs="Times New Roman"/>
                <w:lang w:eastAsia="zh-CN"/>
              </w:rPr>
              <w:t>）</w:t>
            </w:r>
            <w:r>
              <w:rPr>
                <w:rFonts w:hint="eastAsia" w:ascii="Times New Roman" w:hAnsi="Times New Roman" w:cs="Times New Roman"/>
                <w:lang w:eastAsia="zh-CN"/>
              </w:rPr>
              <w:t>废水</w:t>
            </w:r>
            <w:r>
              <w:rPr>
                <w:rFonts w:hint="default" w:ascii="Times New Roman" w:hAnsi="Times New Roman" w:cs="Times New Roman"/>
                <w:lang w:eastAsia="zh-CN"/>
              </w:rPr>
              <w:t>排放标准</w:t>
            </w:r>
          </w:p>
          <w:p w14:paraId="094E69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lang w:val="en-US" w:eastAsia="zh-CN"/>
              </w:rPr>
              <w:t xml:space="preserve">施工期设置旱厕，生活污水排入旱厕后，用于周边农田灌溉。施工生产废水经沉淀池处理后，回用于洒水降尘及施工工序，废水不外排。 </w:t>
            </w:r>
          </w:p>
          <w:p w14:paraId="1ADA92AB">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lang w:eastAsia="zh-CN"/>
              </w:rPr>
              <w:t>运营期升压站实行</w:t>
            </w:r>
            <w:r>
              <w:rPr>
                <w:rFonts w:hint="default" w:ascii="Times New Roman" w:hAnsi="Times New Roman" w:eastAsia="宋体" w:cs="Times New Roman"/>
                <w:color w:val="auto"/>
                <w:kern w:val="0"/>
                <w:sz w:val="24"/>
                <w:szCs w:val="24"/>
                <w:lang w:val="en-US" w:eastAsia="zh-CN"/>
              </w:rPr>
              <w:t>雨污</w:t>
            </w:r>
            <w:r>
              <w:rPr>
                <w:rFonts w:hint="default" w:ascii="Times New Roman" w:hAnsi="Times New Roman" w:eastAsia="宋体" w:cs="Times New Roman"/>
                <w:color w:val="auto"/>
                <w:kern w:val="0"/>
                <w:sz w:val="24"/>
                <w:szCs w:val="24"/>
              </w:rPr>
              <w:t>分流制，</w:t>
            </w:r>
            <w:r>
              <w:rPr>
                <w:rFonts w:hint="default" w:ascii="Times New Roman" w:hAnsi="Times New Roman" w:eastAsia="宋体" w:cs="Times New Roman"/>
                <w:color w:val="auto"/>
                <w:sz w:val="24"/>
                <w:szCs w:val="24"/>
                <w:lang w:val="en-US" w:eastAsia="zh-CN"/>
              </w:rPr>
              <w:t>升压</w:t>
            </w:r>
            <w:r>
              <w:rPr>
                <w:rFonts w:hint="default" w:ascii="Times New Roman" w:hAnsi="Times New Roman" w:eastAsia="宋体" w:cs="Times New Roman"/>
                <w:color w:val="auto"/>
                <w:kern w:val="0"/>
                <w:sz w:val="24"/>
                <w:szCs w:val="24"/>
                <w:lang w:val="en-US" w:eastAsia="zh-CN"/>
              </w:rPr>
              <w:t>站内</w:t>
            </w:r>
            <w:r>
              <w:rPr>
                <w:rFonts w:hint="default" w:ascii="Times New Roman" w:hAnsi="Times New Roman" w:eastAsia="宋体" w:cs="Times New Roman"/>
                <w:color w:val="auto"/>
                <w:kern w:val="0"/>
                <w:sz w:val="24"/>
                <w:szCs w:val="24"/>
              </w:rPr>
              <w:t>雨水经过雨水管网排放至站外</w:t>
            </w:r>
            <w:r>
              <w:rPr>
                <w:rFonts w:hint="default" w:ascii="Times New Roman" w:hAnsi="Times New Roman" w:eastAsia="宋体" w:cs="Times New Roman"/>
                <w:color w:val="auto"/>
                <w:kern w:val="0"/>
                <w:sz w:val="24"/>
                <w:szCs w:val="24"/>
                <w:lang w:val="en-US" w:eastAsia="zh-CN"/>
              </w:rPr>
              <w:t>雨水沟</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运营期</w:t>
            </w:r>
            <w:r>
              <w:rPr>
                <w:rFonts w:hint="default" w:ascii="Times New Roman" w:hAnsi="Times New Roman" w:eastAsia="宋体" w:cs="Times New Roman"/>
                <w:color w:val="auto"/>
                <w:sz w:val="24"/>
                <w:szCs w:val="24"/>
                <w:lang w:val="en-US" w:eastAsia="zh-CN"/>
              </w:rPr>
              <w:t>升压站</w:t>
            </w:r>
            <w:r>
              <w:rPr>
                <w:rFonts w:hint="default" w:ascii="Times New Roman" w:hAnsi="Times New Roman" w:eastAsia="宋体" w:cs="Times New Roman"/>
                <w:color w:val="auto"/>
                <w:sz w:val="24"/>
                <w:szCs w:val="24"/>
              </w:rPr>
              <w:t>产生的生活</w:t>
            </w:r>
            <w:r>
              <w:rPr>
                <w:rFonts w:hint="eastAsia" w:ascii="Times New Roman" w:hAnsi="Times New Roman" w:eastAsia="宋体" w:cs="Times New Roman"/>
                <w:color w:val="auto"/>
                <w:sz w:val="24"/>
                <w:szCs w:val="24"/>
                <w:lang w:eastAsia="zh-CN"/>
              </w:rPr>
              <w:t>污水</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eastAsia="zh-CN"/>
              </w:rPr>
              <w:t>隔油池、</w:t>
            </w:r>
            <w:r>
              <w:rPr>
                <w:rFonts w:hint="default" w:ascii="Times New Roman" w:hAnsi="Times New Roman" w:eastAsia="宋体" w:cs="Times New Roman"/>
                <w:color w:val="auto"/>
                <w:sz w:val="24"/>
                <w:szCs w:val="24"/>
              </w:rPr>
              <w:t>化粪池处理</w:t>
            </w:r>
            <w:r>
              <w:rPr>
                <w:rFonts w:hint="eastAsia" w:ascii="Times New Roman" w:hAnsi="Times New Roman" w:eastAsia="宋体" w:cs="Times New Roman"/>
                <w:color w:val="auto"/>
                <w:sz w:val="24"/>
                <w:szCs w:val="24"/>
                <w:lang w:eastAsia="zh-CN"/>
              </w:rPr>
              <w:t>后暂存于废水收集池，</w:t>
            </w:r>
            <w:r>
              <w:rPr>
                <w:rFonts w:hint="default" w:ascii="Times New Roman" w:hAnsi="Times New Roman" w:eastAsia="宋体" w:cs="Times New Roman"/>
                <w:color w:val="auto"/>
                <w:sz w:val="24"/>
                <w:szCs w:val="24"/>
              </w:rPr>
              <w:t>用于项目升压站</w:t>
            </w:r>
            <w:r>
              <w:rPr>
                <w:rFonts w:hint="eastAsia" w:ascii="Times New Roman" w:hAnsi="Times New Roman" w:eastAsia="宋体" w:cs="Times New Roman"/>
                <w:color w:val="auto"/>
                <w:sz w:val="24"/>
                <w:szCs w:val="24"/>
                <w:lang w:eastAsia="zh-CN"/>
              </w:rPr>
              <w:t>绿化</w:t>
            </w:r>
            <w:r>
              <w:rPr>
                <w:rFonts w:hint="default" w:ascii="Times New Roman" w:hAnsi="Times New Roman" w:eastAsia="宋体" w:cs="Times New Roman"/>
                <w:color w:val="auto"/>
                <w:sz w:val="24"/>
                <w:szCs w:val="24"/>
              </w:rPr>
              <w:t>，不外排</w:t>
            </w:r>
            <w:r>
              <w:rPr>
                <w:rFonts w:hint="eastAsia" w:ascii="Times New Roman" w:hAnsi="Times New Roman" w:eastAsia="宋体" w:cs="Times New Roman"/>
                <w:color w:val="auto"/>
                <w:kern w:val="0"/>
                <w:sz w:val="24"/>
                <w:szCs w:val="24"/>
                <w:lang w:eastAsia="zh-CN"/>
              </w:rPr>
              <w:t>。</w:t>
            </w:r>
          </w:p>
          <w:p w14:paraId="54F028F0">
            <w:pPr>
              <w:adjustRightInd w:val="0"/>
              <w:snapToGrid w:val="0"/>
              <w:spacing w:line="360" w:lineRule="auto"/>
              <w:ind w:firstLine="480" w:firstLineChars="200"/>
            </w:pPr>
            <w:r>
              <w:rPr>
                <w:rFonts w:hint="eastAsia" w:ascii="Times New Roman" w:hAnsi="Times New Roman" w:eastAsia="宋体" w:cs="Times New Roman"/>
                <w:color w:val="auto"/>
                <w:kern w:val="0"/>
                <w:sz w:val="24"/>
                <w:szCs w:val="24"/>
                <w:lang w:eastAsia="zh-CN"/>
              </w:rPr>
              <w:t>运营期</w:t>
            </w:r>
            <w:r>
              <w:rPr>
                <w:rFonts w:hint="default" w:ascii="Times New Roman" w:hAnsi="Times New Roman" w:eastAsia="宋体" w:cs="Times New Roman"/>
                <w:color w:val="auto"/>
                <w:kern w:val="0"/>
                <w:sz w:val="24"/>
                <w:szCs w:val="24"/>
              </w:rPr>
              <w:t>光伏阵列</w:t>
            </w:r>
            <w:r>
              <w:rPr>
                <w:rFonts w:hint="default" w:ascii="Times New Roman" w:hAnsi="Times New Roman" w:eastAsia="宋体" w:cs="Times New Roman"/>
                <w:color w:val="auto"/>
                <w:kern w:val="0"/>
                <w:sz w:val="24"/>
                <w:szCs w:val="24"/>
                <w:lang w:val="en-US" w:eastAsia="zh-CN"/>
              </w:rPr>
              <w:t>产生的</w:t>
            </w:r>
            <w:r>
              <w:rPr>
                <w:rFonts w:hint="default" w:ascii="Times New Roman" w:hAnsi="Times New Roman" w:eastAsia="宋体" w:cs="Times New Roman"/>
                <w:color w:val="auto"/>
                <w:kern w:val="0"/>
                <w:sz w:val="24"/>
                <w:szCs w:val="24"/>
              </w:rPr>
              <w:t>清洁废水</w:t>
            </w:r>
            <w:r>
              <w:rPr>
                <w:rFonts w:hint="eastAsia" w:ascii="Times New Roman" w:hAnsi="Times New Roman" w:eastAsia="宋体" w:cs="Times New Roman"/>
                <w:color w:val="auto"/>
                <w:kern w:val="0"/>
                <w:sz w:val="24"/>
                <w:szCs w:val="24"/>
                <w:lang w:eastAsia="zh-CN"/>
              </w:rPr>
              <w:t>经沉淀池处理后</w:t>
            </w:r>
            <w:r>
              <w:rPr>
                <w:rFonts w:hint="default" w:ascii="Times New Roman" w:hAnsi="Times New Roman" w:eastAsia="宋体" w:cs="Times New Roman"/>
                <w:color w:val="auto"/>
                <w:kern w:val="0"/>
                <w:sz w:val="24"/>
                <w:szCs w:val="24"/>
              </w:rPr>
              <w:t>用于光伏板区</w:t>
            </w:r>
            <w:r>
              <w:rPr>
                <w:rFonts w:hint="eastAsia" w:ascii="Times New Roman" w:hAnsi="Times New Roman" w:eastAsia="宋体" w:cs="Times New Roman"/>
                <w:color w:val="auto"/>
                <w:kern w:val="0"/>
                <w:sz w:val="24"/>
                <w:szCs w:val="24"/>
                <w:lang w:eastAsia="zh-CN"/>
              </w:rPr>
              <w:t>植被</w:t>
            </w:r>
            <w:r>
              <w:rPr>
                <w:rFonts w:hint="default" w:ascii="Times New Roman" w:hAnsi="Times New Roman" w:eastAsia="宋体" w:cs="Times New Roman"/>
                <w:color w:val="auto"/>
                <w:kern w:val="0"/>
                <w:sz w:val="24"/>
                <w:szCs w:val="24"/>
              </w:rPr>
              <w:t>绿化，无废水外排</w:t>
            </w:r>
            <w:r>
              <w:rPr>
                <w:rFonts w:hint="eastAsia"/>
                <w:lang w:val="en-US" w:eastAsia="zh-CN"/>
              </w:rPr>
              <w:t>。本项目不设废水排放标准。</w:t>
            </w:r>
            <w:r>
              <w:rPr>
                <w:rFonts w:hint="eastAsia" w:ascii="宋体" w:hAnsi="宋体" w:eastAsia="宋体" w:cs="宋体"/>
                <w:color w:val="000000"/>
                <w:kern w:val="0"/>
                <w:sz w:val="24"/>
                <w:szCs w:val="24"/>
                <w:lang w:val="en-US" w:eastAsia="zh-CN" w:bidi="ar"/>
              </w:rPr>
              <w:t xml:space="preserve"> </w:t>
            </w:r>
          </w:p>
          <w:p w14:paraId="31F38C28">
            <w:pPr>
              <w:numPr>
                <w:ilvl w:val="0"/>
                <w:numId w:val="0"/>
              </w:numPr>
              <w:spacing w:line="360" w:lineRule="auto"/>
              <w:ind w:firstLine="480" w:firstLineChars="200"/>
              <w:rPr>
                <w:rFonts w:hint="eastAsia"/>
                <w:lang w:val="en-US" w:eastAsia="zh-CN"/>
              </w:rPr>
            </w:pPr>
            <w:r>
              <w:rPr>
                <w:rFonts w:hint="eastAsia"/>
                <w:lang w:val="en-US" w:eastAsia="zh-CN"/>
              </w:rPr>
              <w:t>（3）噪声排放标准</w:t>
            </w:r>
          </w:p>
          <w:p w14:paraId="602DAFC6">
            <w:pPr>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项目施工期噪声执行《建筑施工场界环境噪声排放标准》（GB 12523-2011）见表3-</w:t>
            </w:r>
            <w:r>
              <w:rPr>
                <w:rFonts w:hint="eastAsia" w:ascii="Times New Roman" w:hAnsi="Times New Roman" w:cs="Times New Roman"/>
                <w:color w:val="auto"/>
                <w:kern w:val="0"/>
                <w:sz w:val="24"/>
                <w:lang w:val="en-US" w:eastAsia="zh-CN"/>
              </w:rPr>
              <w:t>10</w:t>
            </w:r>
            <w:r>
              <w:rPr>
                <w:rFonts w:hint="default" w:ascii="Times New Roman" w:hAnsi="Times New Roman" w:cs="Times New Roman"/>
                <w:color w:val="auto"/>
                <w:kern w:val="0"/>
                <w:sz w:val="24"/>
              </w:rPr>
              <w:t>。</w:t>
            </w:r>
          </w:p>
          <w:p w14:paraId="6DC7E8ED">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表3-</w:t>
            </w:r>
            <w:r>
              <w:rPr>
                <w:rFonts w:hint="default" w:ascii="Times New Roman" w:hAnsi="Times New Roman"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0</w:t>
            </w:r>
            <w:r>
              <w:rPr>
                <w:rFonts w:hint="default" w:ascii="Times New Roman" w:hAnsi="Times New Roman" w:cs="Times New Roman"/>
                <w:b/>
                <w:bCs/>
                <w:color w:val="auto"/>
                <w:sz w:val="21"/>
                <w:szCs w:val="21"/>
              </w:rPr>
              <w:t xml:space="preserve"> 建筑施工噪声执行标准限值 单位：dB（A）</w:t>
            </w:r>
          </w:p>
          <w:tbl>
            <w:tblPr>
              <w:tblStyle w:val="21"/>
              <w:tblW w:w="754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54"/>
              <w:gridCol w:w="2487"/>
              <w:gridCol w:w="2705"/>
            </w:tblGrid>
            <w:tr w14:paraId="67D4F4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26C7A30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时段</w:t>
                  </w:r>
                </w:p>
              </w:tc>
              <w:tc>
                <w:tcPr>
                  <w:tcW w:w="2487" w:type="dxa"/>
                  <w:vAlign w:val="center"/>
                </w:tcPr>
                <w:p w14:paraId="7CF027E8">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705" w:type="dxa"/>
                  <w:vAlign w:val="center"/>
                </w:tcPr>
                <w:p w14:paraId="64F0C518">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14:paraId="111CC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2354" w:type="dxa"/>
                  <w:vAlign w:val="center"/>
                </w:tcPr>
                <w:p w14:paraId="79E191F5">
                  <w:pPr>
                    <w:adjustRightInd w:val="0"/>
                    <w:snapToGrid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单位dB(A)</w:t>
                  </w:r>
                </w:p>
              </w:tc>
              <w:tc>
                <w:tcPr>
                  <w:tcW w:w="2487" w:type="dxa"/>
                  <w:vAlign w:val="center"/>
                </w:tcPr>
                <w:p w14:paraId="7786E6CF">
                  <w:pPr>
                    <w:adjustRightInd w:val="0"/>
                    <w:snapToGrid w:val="0"/>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70</w:t>
                  </w:r>
                </w:p>
              </w:tc>
              <w:tc>
                <w:tcPr>
                  <w:tcW w:w="2705" w:type="dxa"/>
                  <w:vAlign w:val="center"/>
                </w:tcPr>
                <w:p w14:paraId="1B9C3D0F">
                  <w:pPr>
                    <w:adjustRightInd w:val="0"/>
                    <w:snapToGrid w:val="0"/>
                    <w:ind w:firstLine="420" w:firstLineChars="20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55</w:t>
                  </w:r>
                </w:p>
              </w:tc>
            </w:tr>
          </w:tbl>
          <w:p w14:paraId="1D435DA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项目运营期厂界噪声执行《工业企业厂界环境噪声排放标准》（GB12348-2008）中</w:t>
            </w:r>
            <w:r>
              <w:rPr>
                <w:rFonts w:hint="eastAsia" w:ascii="Times New Roman" w:hAnsi="Times New Roman" w:cs="Times New Roman"/>
                <w:lang w:val="en-US" w:eastAsia="zh-CN"/>
              </w:rPr>
              <w:t>2</w:t>
            </w:r>
            <w:r>
              <w:rPr>
                <w:rFonts w:hint="default" w:ascii="Times New Roman" w:hAnsi="Times New Roman" w:cs="Times New Roman"/>
                <w:lang w:val="en-US" w:eastAsia="zh-CN"/>
              </w:rPr>
              <w:t>类标准，具体见表</w:t>
            </w:r>
            <w:r>
              <w:rPr>
                <w:rFonts w:hint="eastAsia" w:ascii="Times New Roman" w:hAnsi="Times New Roman" w:cs="Times New Roman"/>
                <w:lang w:val="en-US" w:eastAsia="zh-CN"/>
              </w:rPr>
              <w:t>3-11。</w:t>
            </w:r>
          </w:p>
          <w:p w14:paraId="07776BF9">
            <w:pPr>
              <w:adjustRightInd w:val="0"/>
              <w:snapToGrid w:val="0"/>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 xml:space="preserve">3-11   </w:t>
            </w:r>
            <w:r>
              <w:rPr>
                <w:rFonts w:hint="default" w:ascii="Times New Roman" w:hAnsi="Times New Roman" w:cs="Times New Roman"/>
                <w:b/>
                <w:bCs/>
                <w:color w:val="auto"/>
                <w:sz w:val="21"/>
                <w:szCs w:val="21"/>
              </w:rPr>
              <w:t>项目噪声排放标准限值</w:t>
            </w:r>
          </w:p>
          <w:tbl>
            <w:tblPr>
              <w:tblStyle w:val="21"/>
              <w:tblW w:w="75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851"/>
              <w:gridCol w:w="1822"/>
              <w:gridCol w:w="1823"/>
            </w:tblGrid>
            <w:tr w14:paraId="4FFA42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restart"/>
                  <w:tcBorders>
                    <w:tl2br w:val="nil"/>
                    <w:tr2bl w:val="nil"/>
                  </w:tcBorders>
                  <w:vAlign w:val="center"/>
                </w:tcPr>
                <w:p w14:paraId="3653D4FE">
                  <w:pPr>
                    <w:adjustRightInd w:val="0"/>
                    <w:snapToGrid w:val="0"/>
                    <w:spacing w:line="240" w:lineRule="auto"/>
                    <w:jc w:val="center"/>
                    <w:rPr>
                      <w:b/>
                      <w:bCs/>
                      <w:color w:val="auto"/>
                      <w:sz w:val="21"/>
                      <w:szCs w:val="21"/>
                    </w:rPr>
                  </w:pPr>
                  <w:r>
                    <w:rPr>
                      <w:b/>
                      <w:bCs/>
                      <w:color w:val="auto"/>
                      <w:sz w:val="21"/>
                      <w:szCs w:val="21"/>
                    </w:rPr>
                    <w:t>类别</w:t>
                  </w:r>
                </w:p>
              </w:tc>
              <w:tc>
                <w:tcPr>
                  <w:tcW w:w="2851" w:type="dxa"/>
                  <w:vMerge w:val="restart"/>
                  <w:tcBorders>
                    <w:tl2br w:val="nil"/>
                    <w:tr2bl w:val="nil"/>
                  </w:tcBorders>
                  <w:vAlign w:val="center"/>
                </w:tcPr>
                <w:p w14:paraId="2F909B5C">
                  <w:pPr>
                    <w:adjustRightInd w:val="0"/>
                    <w:snapToGrid w:val="0"/>
                    <w:spacing w:line="240" w:lineRule="auto"/>
                    <w:jc w:val="center"/>
                    <w:rPr>
                      <w:b/>
                      <w:bCs/>
                      <w:color w:val="auto"/>
                      <w:sz w:val="21"/>
                      <w:szCs w:val="21"/>
                    </w:rPr>
                  </w:pPr>
                  <w:r>
                    <w:rPr>
                      <w:b/>
                      <w:bCs/>
                      <w:color w:val="auto"/>
                      <w:sz w:val="21"/>
                      <w:szCs w:val="21"/>
                    </w:rPr>
                    <w:t>厂界</w:t>
                  </w:r>
                </w:p>
              </w:tc>
              <w:tc>
                <w:tcPr>
                  <w:tcW w:w="3645" w:type="dxa"/>
                  <w:gridSpan w:val="2"/>
                  <w:tcBorders>
                    <w:tl2br w:val="nil"/>
                    <w:tr2bl w:val="nil"/>
                  </w:tcBorders>
                  <w:vAlign w:val="center"/>
                </w:tcPr>
                <w:p w14:paraId="3484B6E7">
                  <w:pPr>
                    <w:adjustRightInd w:val="0"/>
                    <w:snapToGrid w:val="0"/>
                    <w:spacing w:line="240" w:lineRule="auto"/>
                    <w:jc w:val="center"/>
                    <w:rPr>
                      <w:b/>
                      <w:bCs/>
                      <w:color w:val="auto"/>
                      <w:sz w:val="21"/>
                      <w:szCs w:val="21"/>
                    </w:rPr>
                  </w:pPr>
                  <w:r>
                    <w:rPr>
                      <w:b/>
                      <w:bCs/>
                      <w:color w:val="auto"/>
                      <w:sz w:val="21"/>
                      <w:szCs w:val="21"/>
                    </w:rPr>
                    <w:t>等效声级[dB(A)]</w:t>
                  </w:r>
                </w:p>
              </w:tc>
            </w:tr>
            <w:tr w14:paraId="50DE9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1045" w:type="dxa"/>
                  <w:vMerge w:val="continue"/>
                  <w:tcBorders>
                    <w:tl2br w:val="nil"/>
                    <w:tr2bl w:val="nil"/>
                  </w:tcBorders>
                  <w:vAlign w:val="center"/>
                </w:tcPr>
                <w:p w14:paraId="25A96EF5">
                  <w:pPr>
                    <w:widowControl/>
                    <w:adjustRightInd w:val="0"/>
                    <w:snapToGrid w:val="0"/>
                    <w:spacing w:line="240" w:lineRule="auto"/>
                    <w:jc w:val="center"/>
                    <w:rPr>
                      <w:b/>
                      <w:bCs/>
                      <w:color w:val="auto"/>
                      <w:sz w:val="21"/>
                      <w:szCs w:val="21"/>
                    </w:rPr>
                  </w:pPr>
                </w:p>
              </w:tc>
              <w:tc>
                <w:tcPr>
                  <w:tcW w:w="2851" w:type="dxa"/>
                  <w:vMerge w:val="continue"/>
                  <w:tcBorders>
                    <w:tl2br w:val="nil"/>
                    <w:tr2bl w:val="nil"/>
                  </w:tcBorders>
                  <w:vAlign w:val="center"/>
                </w:tcPr>
                <w:p w14:paraId="67E8C21D">
                  <w:pPr>
                    <w:widowControl/>
                    <w:adjustRightInd w:val="0"/>
                    <w:snapToGrid w:val="0"/>
                    <w:spacing w:line="240" w:lineRule="auto"/>
                    <w:jc w:val="center"/>
                    <w:rPr>
                      <w:b/>
                      <w:bCs/>
                      <w:color w:val="auto"/>
                      <w:sz w:val="21"/>
                      <w:szCs w:val="21"/>
                    </w:rPr>
                  </w:pPr>
                </w:p>
              </w:tc>
              <w:tc>
                <w:tcPr>
                  <w:tcW w:w="1822" w:type="dxa"/>
                  <w:tcBorders>
                    <w:tl2br w:val="nil"/>
                    <w:tr2bl w:val="nil"/>
                  </w:tcBorders>
                  <w:vAlign w:val="center"/>
                </w:tcPr>
                <w:p w14:paraId="475023FF">
                  <w:pPr>
                    <w:adjustRightInd w:val="0"/>
                    <w:snapToGrid w:val="0"/>
                    <w:spacing w:line="240" w:lineRule="auto"/>
                    <w:jc w:val="center"/>
                    <w:rPr>
                      <w:b/>
                      <w:bCs/>
                      <w:color w:val="auto"/>
                      <w:sz w:val="21"/>
                      <w:szCs w:val="21"/>
                    </w:rPr>
                  </w:pPr>
                  <w:r>
                    <w:rPr>
                      <w:b/>
                      <w:bCs/>
                      <w:color w:val="auto"/>
                      <w:sz w:val="21"/>
                      <w:szCs w:val="21"/>
                    </w:rPr>
                    <w:t>昼间</w:t>
                  </w:r>
                </w:p>
              </w:tc>
              <w:tc>
                <w:tcPr>
                  <w:tcW w:w="1823" w:type="dxa"/>
                  <w:tcBorders>
                    <w:tl2br w:val="nil"/>
                    <w:tr2bl w:val="nil"/>
                  </w:tcBorders>
                  <w:vAlign w:val="center"/>
                </w:tcPr>
                <w:p w14:paraId="67FA443E">
                  <w:pPr>
                    <w:adjustRightInd w:val="0"/>
                    <w:snapToGrid w:val="0"/>
                    <w:spacing w:line="240" w:lineRule="auto"/>
                    <w:jc w:val="center"/>
                    <w:rPr>
                      <w:b/>
                      <w:bCs/>
                      <w:color w:val="auto"/>
                      <w:sz w:val="21"/>
                      <w:szCs w:val="21"/>
                    </w:rPr>
                  </w:pPr>
                  <w:r>
                    <w:rPr>
                      <w:b/>
                      <w:bCs/>
                      <w:color w:val="auto"/>
                      <w:sz w:val="21"/>
                      <w:szCs w:val="21"/>
                    </w:rPr>
                    <w:t>夜间</w:t>
                  </w:r>
                </w:p>
              </w:tc>
            </w:tr>
            <w:tr w14:paraId="636F0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045" w:type="dxa"/>
                  <w:tcBorders>
                    <w:tl2br w:val="nil"/>
                    <w:tr2bl w:val="nil"/>
                  </w:tcBorders>
                  <w:vAlign w:val="center"/>
                </w:tcPr>
                <w:p w14:paraId="5205470D">
                  <w:pPr>
                    <w:adjustRightInd w:val="0"/>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2类</w:t>
                  </w:r>
                </w:p>
              </w:tc>
              <w:tc>
                <w:tcPr>
                  <w:tcW w:w="2851" w:type="dxa"/>
                  <w:tcBorders>
                    <w:tl2br w:val="nil"/>
                    <w:tr2bl w:val="nil"/>
                  </w:tcBorders>
                  <w:vAlign w:val="center"/>
                </w:tcPr>
                <w:p w14:paraId="589D299D">
                  <w:pPr>
                    <w:adjustRightInd w:val="0"/>
                    <w:snapToGrid w:val="0"/>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其他厂界</w:t>
                  </w:r>
                </w:p>
              </w:tc>
              <w:tc>
                <w:tcPr>
                  <w:tcW w:w="1822" w:type="dxa"/>
                  <w:tcBorders>
                    <w:tl2br w:val="nil"/>
                    <w:tr2bl w:val="nil"/>
                  </w:tcBorders>
                  <w:vAlign w:val="center"/>
                </w:tcPr>
                <w:p w14:paraId="30A28AE3">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823" w:type="dxa"/>
                  <w:tcBorders>
                    <w:tl2br w:val="nil"/>
                    <w:tr2bl w:val="nil"/>
                  </w:tcBorders>
                  <w:vAlign w:val="center"/>
                </w:tcPr>
                <w:p w14:paraId="3CB33A8C">
                  <w:pPr>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bl>
          <w:p w14:paraId="3B149DFA">
            <w:pPr>
              <w:numPr>
                <w:ilvl w:val="0"/>
                <w:numId w:val="0"/>
              </w:numPr>
              <w:spacing w:line="360" w:lineRule="auto"/>
              <w:ind w:firstLine="480" w:firstLineChars="200"/>
              <w:rPr>
                <w:rFonts w:hint="eastAsia"/>
                <w:lang w:val="en-US" w:eastAsia="zh-CN"/>
              </w:rPr>
            </w:pPr>
            <w:r>
              <w:rPr>
                <w:rFonts w:hint="eastAsia"/>
                <w:lang w:val="en-US" w:eastAsia="zh-CN"/>
              </w:rPr>
              <w:t>（4）固体废物控制标准</w:t>
            </w:r>
          </w:p>
          <w:p w14:paraId="3F44DDF2">
            <w:pPr>
              <w:spacing w:line="360" w:lineRule="auto"/>
              <w:ind w:firstLine="480" w:firstLineChars="200"/>
              <w:rPr>
                <w:rFonts w:hint="default" w:ascii="Times New Roman" w:hAnsi="Times New Roman" w:cs="Times New Roman"/>
                <w:bCs/>
                <w:color w:val="auto"/>
                <w:sz w:val="24"/>
              </w:rPr>
            </w:pPr>
            <w:r>
              <w:rPr>
                <w:color w:val="auto"/>
                <w:kern w:val="0"/>
                <w:sz w:val="24"/>
                <w:lang w:bidi="ar"/>
              </w:rPr>
              <w:t>项</w:t>
            </w:r>
            <w:r>
              <w:rPr>
                <w:rFonts w:hint="default" w:ascii="Times New Roman" w:hAnsi="Times New Roman" w:cs="Times New Roman"/>
                <w:color w:val="auto"/>
                <w:kern w:val="0"/>
                <w:sz w:val="24"/>
                <w:lang w:bidi="ar"/>
              </w:rPr>
              <w:t>目运营期产生的固体废物处置执行《一般工业固体废物贮存和填埋污染控制标准》</w:t>
            </w:r>
            <w:r>
              <w:rPr>
                <w:rFonts w:hint="default" w:ascii="Times New Roman" w:hAnsi="Times New Roman" w:cs="Times New Roman"/>
                <w:color w:val="auto"/>
                <w:sz w:val="24"/>
              </w:rPr>
              <w:t>（GB18599-2020）</w:t>
            </w:r>
            <w:r>
              <w:rPr>
                <w:rFonts w:hint="default" w:ascii="Times New Roman" w:hAnsi="Times New Roman" w:cs="Times New Roman"/>
                <w:bCs/>
                <w:color w:val="auto"/>
                <w:sz w:val="24"/>
              </w:rPr>
              <w:t>。</w:t>
            </w:r>
          </w:p>
          <w:p w14:paraId="566286C6">
            <w:pPr>
              <w:spacing w:line="360" w:lineRule="auto"/>
              <w:ind w:firstLine="480" w:firstLineChars="200"/>
              <w:rPr>
                <w:rFonts w:hint="default"/>
                <w:lang w:val="en-US" w:eastAsia="zh-CN"/>
              </w:rPr>
            </w:pPr>
            <w:r>
              <w:rPr>
                <w:rFonts w:hint="default" w:ascii="Times New Roman" w:hAnsi="Times New Roman" w:cs="Times New Roman"/>
                <w:bCs/>
                <w:color w:val="auto"/>
                <w:sz w:val="24"/>
              </w:rPr>
              <w:t>危险废物执行GB18597-2001《危险废物贮存污染控制标准》及其修改单中的要求。</w:t>
            </w:r>
          </w:p>
        </w:tc>
      </w:tr>
      <w:tr w14:paraId="7008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729" w:type="dxa"/>
            <w:gridSpan w:val="2"/>
            <w:vAlign w:val="center"/>
          </w:tcPr>
          <w:p w14:paraId="77771811">
            <w:pPr>
              <w:jc w:val="center"/>
              <w:rPr>
                <w:rFonts w:hint="eastAsia" w:ascii="Times New Roman" w:hAnsi="Times New Roman" w:eastAsiaTheme="minorEastAsia"/>
                <w:color w:val="000000"/>
                <w:kern w:val="0"/>
                <w:sz w:val="24"/>
                <w:lang w:eastAsia="zh-CN"/>
              </w:rPr>
            </w:pPr>
            <w:r>
              <w:rPr>
                <w:rFonts w:hint="eastAsia" w:ascii="Times New Roman" w:hAnsi="Times New Roman"/>
                <w:color w:val="000000"/>
                <w:kern w:val="0"/>
                <w:sz w:val="24"/>
                <w:lang w:eastAsia="zh-CN"/>
              </w:rPr>
              <w:t>其他</w:t>
            </w:r>
          </w:p>
        </w:tc>
        <w:tc>
          <w:tcPr>
            <w:tcW w:w="7793" w:type="dxa"/>
            <w:vAlign w:val="center"/>
          </w:tcPr>
          <w:p w14:paraId="4145280E">
            <w:pPr>
              <w:adjustRightInd w:val="0"/>
              <w:snapToGrid w:val="0"/>
              <w:spacing w:line="336" w:lineRule="auto"/>
              <w:ind w:firstLine="480" w:firstLineChars="200"/>
              <w:outlineLvl w:val="1"/>
              <w:rPr>
                <w:rFonts w:hint="eastAsia" w:ascii="Times New Roman" w:hAnsi="Times New Roman"/>
                <w:color w:val="000000"/>
                <w:kern w:val="0"/>
                <w:sz w:val="24"/>
              </w:rPr>
            </w:pPr>
            <w:r>
              <w:rPr>
                <w:rFonts w:hint="eastAsia" w:ascii="Times New Roman" w:hAnsi="Times New Roman"/>
                <w:color w:val="000000"/>
                <w:kern w:val="0"/>
                <w:sz w:val="24"/>
              </w:rPr>
              <w:t>项目运营期升压站仅有少量的油烟排放，无生产废气排放</w:t>
            </w:r>
            <w:r>
              <w:rPr>
                <w:rFonts w:hint="eastAsia" w:ascii="Times New Roman" w:hAnsi="Times New Roman"/>
                <w:color w:val="000000"/>
                <w:kern w:val="0"/>
                <w:sz w:val="24"/>
                <w:lang w:eastAsia="zh-CN"/>
              </w:rPr>
              <w:t>；</w:t>
            </w:r>
            <w:r>
              <w:rPr>
                <w:rFonts w:hint="eastAsia" w:ascii="Times New Roman" w:hAnsi="Times New Roman"/>
                <w:color w:val="000000"/>
                <w:kern w:val="0"/>
                <w:sz w:val="24"/>
              </w:rPr>
              <w:t>废水经处</w:t>
            </w:r>
          </w:p>
          <w:p w14:paraId="3847771C">
            <w:pPr>
              <w:adjustRightInd w:val="0"/>
              <w:snapToGrid w:val="0"/>
              <w:spacing w:line="336" w:lineRule="auto"/>
              <w:outlineLvl w:val="1"/>
              <w:rPr>
                <w:rFonts w:hint="eastAsia" w:ascii="Times New Roman" w:hAnsi="Times New Roman"/>
                <w:color w:val="000000"/>
                <w:kern w:val="0"/>
                <w:sz w:val="24"/>
              </w:rPr>
            </w:pPr>
            <w:r>
              <w:rPr>
                <w:rFonts w:hint="eastAsia" w:ascii="Times New Roman" w:hAnsi="Times New Roman"/>
                <w:color w:val="000000"/>
                <w:kern w:val="0"/>
                <w:sz w:val="24"/>
              </w:rPr>
              <w:t>理后回用，不外排</w:t>
            </w:r>
            <w:r>
              <w:rPr>
                <w:rFonts w:hint="eastAsia" w:ascii="Times New Roman" w:hAnsi="Times New Roman"/>
                <w:color w:val="000000"/>
                <w:kern w:val="0"/>
                <w:sz w:val="24"/>
                <w:lang w:eastAsia="zh-CN"/>
              </w:rPr>
              <w:t>；</w:t>
            </w:r>
            <w:r>
              <w:rPr>
                <w:rFonts w:hint="eastAsia" w:ascii="Times New Roman" w:hAnsi="Times New Roman"/>
                <w:color w:val="000000"/>
                <w:kern w:val="0"/>
                <w:sz w:val="24"/>
              </w:rPr>
              <w:t>固体废物处置率为100%</w:t>
            </w:r>
            <w:r>
              <w:rPr>
                <w:rFonts w:hint="eastAsia" w:ascii="Times New Roman" w:hAnsi="Times New Roman"/>
                <w:color w:val="000000"/>
                <w:kern w:val="0"/>
                <w:sz w:val="24"/>
                <w:lang w:eastAsia="zh-CN"/>
              </w:rPr>
              <w:t>；</w:t>
            </w:r>
            <w:r>
              <w:rPr>
                <w:rFonts w:hint="eastAsia" w:ascii="Times New Roman" w:hAnsi="Times New Roman"/>
                <w:color w:val="000000"/>
                <w:kern w:val="0"/>
                <w:sz w:val="24"/>
              </w:rPr>
              <w:t>故本次环评建议不设总量指标。</w:t>
            </w:r>
          </w:p>
          <w:p w14:paraId="2DBA9695">
            <w:pPr>
              <w:adjustRightInd w:val="0"/>
              <w:snapToGrid w:val="0"/>
              <w:spacing w:line="336" w:lineRule="auto"/>
              <w:outlineLvl w:val="1"/>
              <w:rPr>
                <w:rFonts w:ascii="Times New Roman" w:hAnsi="Times New Roman"/>
                <w:color w:val="000000"/>
                <w:kern w:val="0"/>
                <w:sz w:val="24"/>
              </w:rPr>
            </w:pPr>
          </w:p>
        </w:tc>
      </w:tr>
    </w:tbl>
    <w:p w14:paraId="52605A8A">
      <w:pPr>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6E58290">
      <w:pPr>
        <w:pStyle w:val="20"/>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四、生态环境影响分析</w:t>
      </w:r>
    </w:p>
    <w:tbl>
      <w:tblPr>
        <w:tblStyle w:val="21"/>
        <w:tblW w:w="922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56"/>
        <w:gridCol w:w="8766"/>
      </w:tblGrid>
      <w:tr w14:paraId="56DE47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04" w:hRule="atLeast"/>
          <w:jc w:val="center"/>
        </w:trPr>
        <w:tc>
          <w:tcPr>
            <w:tcW w:w="456" w:type="dxa"/>
            <w:tcBorders>
              <w:tl2br w:val="nil"/>
              <w:tr2bl w:val="nil"/>
            </w:tcBorders>
            <w:tcMar>
              <w:left w:w="28" w:type="dxa"/>
              <w:right w:w="28" w:type="dxa"/>
            </w:tcMar>
            <w:vAlign w:val="center"/>
          </w:tcPr>
          <w:p w14:paraId="5620402B">
            <w:pPr>
              <w:pStyle w:val="20"/>
              <w:adjustRightInd w:val="0"/>
              <w:snapToGrid w:val="0"/>
              <w:spacing w:before="0" w:beforeAutospacing="0" w:after="0" w:afterAutospacing="0"/>
              <w:jc w:val="center"/>
              <w:rPr>
                <w:rFonts w:cs="宋体"/>
                <w:bCs/>
                <w:kern w:val="2"/>
                <w:szCs w:val="24"/>
                <w:lang w:val="en-US" w:eastAsia="zh-CN"/>
              </w:rPr>
            </w:pPr>
            <w:bookmarkStart w:id="24" w:name="_Hlk49796138"/>
            <w:r>
              <w:rPr>
                <w:rFonts w:hint="eastAsia" w:cs="宋体"/>
                <w:bCs/>
                <w:spacing w:val="10"/>
                <w:kern w:val="2"/>
                <w:szCs w:val="24"/>
                <w:lang w:val="en-US" w:eastAsia="zh-CN"/>
              </w:rPr>
              <w:t>施工期生态环境影响分析</w:t>
            </w:r>
            <w:bookmarkEnd w:id="24"/>
          </w:p>
        </w:tc>
        <w:tc>
          <w:tcPr>
            <w:tcW w:w="8766" w:type="dxa"/>
            <w:tcBorders>
              <w:tl2br w:val="nil"/>
              <w:tr2bl w:val="nil"/>
            </w:tcBorders>
            <w:vAlign w:val="top"/>
          </w:tcPr>
          <w:p w14:paraId="51B619F0">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1、施工期产污环节及影响因素</w:t>
            </w:r>
          </w:p>
          <w:p w14:paraId="29D8641C">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）施工期产污环节</w:t>
            </w:r>
          </w:p>
          <w:p w14:paraId="6F7B12A1">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本项目的施工包括场内道路的施工、光伏阵列基础的开挖、</w:t>
            </w:r>
            <w:r>
              <w:rPr>
                <w:rFonts w:hint="eastAsia" w:ascii="Times New Roman" w:hAnsi="Times New Roman" w:cs="Times New Roman"/>
                <w:lang w:eastAsia="zh-CN"/>
              </w:rPr>
              <w:t>塔基及</w:t>
            </w:r>
            <w:r>
              <w:rPr>
                <w:rFonts w:hint="default" w:ascii="Times New Roman" w:hAnsi="Times New Roman" w:cs="Times New Roman"/>
                <w:lang w:eastAsia="zh-CN"/>
              </w:rPr>
              <w:t>电缆敷设、升压站、逆变器室、箱变等构筑物的建设及设备的安装和调试。</w:t>
            </w:r>
          </w:p>
          <w:p w14:paraId="471D5A8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施工期主要污染源有：施工期机械噪声、扬尘、运输及动力设备运行产生的燃油废气、固体废物；施工人员生活废水、生活垃圾等</w:t>
            </w:r>
            <w:r>
              <w:rPr>
                <w:rFonts w:hint="eastAsia" w:ascii="Times New Roman" w:hAnsi="Times New Roman" w:cs="Times New Roman"/>
                <w:lang w:eastAsia="zh-CN"/>
              </w:rPr>
              <w:t>。</w:t>
            </w:r>
          </w:p>
          <w:p w14:paraId="56B8A4AB">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（2）施工期污染影响因素</w:t>
            </w:r>
          </w:p>
          <w:p w14:paraId="0ED7A50B">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项目施工期的污染影响因素如下表所示。</w:t>
            </w:r>
          </w:p>
          <w:p w14:paraId="2C040AD6">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表4-1施工期环境影响因素一览表</w:t>
            </w:r>
          </w:p>
          <w:tbl>
            <w:tblPr>
              <w:tblStyle w:val="33"/>
              <w:tblW w:w="851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32"/>
              <w:gridCol w:w="3432"/>
              <w:gridCol w:w="2375"/>
              <w:gridCol w:w="2071"/>
            </w:tblGrid>
            <w:tr w14:paraId="7B7EB6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0C7081C5">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类别</w:t>
                  </w:r>
                </w:p>
              </w:tc>
              <w:tc>
                <w:tcPr>
                  <w:tcW w:w="3432" w:type="dxa"/>
                  <w:tcBorders>
                    <w:tl2br w:val="nil"/>
                    <w:tr2bl w:val="nil"/>
                  </w:tcBorders>
                  <w:vAlign w:val="center"/>
                </w:tcPr>
                <w:p w14:paraId="6BDECB3A">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污染源</w:t>
                  </w:r>
                </w:p>
              </w:tc>
              <w:tc>
                <w:tcPr>
                  <w:tcW w:w="2375" w:type="dxa"/>
                  <w:tcBorders>
                    <w:tl2br w:val="nil"/>
                    <w:tr2bl w:val="nil"/>
                  </w:tcBorders>
                  <w:vAlign w:val="center"/>
                </w:tcPr>
                <w:p w14:paraId="313FEC38">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污染物</w:t>
                  </w:r>
                </w:p>
              </w:tc>
              <w:tc>
                <w:tcPr>
                  <w:tcW w:w="2071" w:type="dxa"/>
                  <w:tcBorders>
                    <w:tl2br w:val="nil"/>
                    <w:tr2bl w:val="nil"/>
                  </w:tcBorders>
                  <w:vAlign w:val="center"/>
                </w:tcPr>
                <w:p w14:paraId="008B858E">
                  <w:pPr>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产生特性</w:t>
                  </w:r>
                </w:p>
              </w:tc>
            </w:tr>
            <w:tr w14:paraId="3BF9B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72C02F59">
                  <w:pPr>
                    <w:jc w:val="center"/>
                    <w:rPr>
                      <w:rFonts w:hint="default" w:ascii="Times New Roman" w:hAnsi="Times New Roman" w:cs="Times New Roman"/>
                      <w:sz w:val="21"/>
                      <w:szCs w:val="21"/>
                      <w:lang w:eastAsia="zh-CN"/>
                    </w:rPr>
                  </w:pPr>
                </w:p>
                <w:p w14:paraId="26289FA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废气</w:t>
                  </w:r>
                </w:p>
              </w:tc>
              <w:tc>
                <w:tcPr>
                  <w:tcW w:w="3432" w:type="dxa"/>
                  <w:tcBorders>
                    <w:tl2br w:val="nil"/>
                    <w:tr2bl w:val="nil"/>
                  </w:tcBorders>
                  <w:vAlign w:val="center"/>
                </w:tcPr>
                <w:p w14:paraId="55F0DDE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地表清理、场地平整、 基础开挖、配套设施建设、物料装卸及运输</w:t>
                  </w:r>
                </w:p>
              </w:tc>
              <w:tc>
                <w:tcPr>
                  <w:tcW w:w="2375" w:type="dxa"/>
                  <w:tcBorders>
                    <w:tl2br w:val="nil"/>
                    <w:tr2bl w:val="nil"/>
                  </w:tcBorders>
                  <w:vAlign w:val="center"/>
                </w:tcPr>
                <w:p w14:paraId="4C7E883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扬尘（TSP）</w:t>
                  </w:r>
                </w:p>
              </w:tc>
              <w:tc>
                <w:tcPr>
                  <w:tcW w:w="2071" w:type="dxa"/>
                  <w:tcBorders>
                    <w:tl2br w:val="nil"/>
                    <w:tr2bl w:val="nil"/>
                  </w:tcBorders>
                  <w:vAlign w:val="center"/>
                </w:tcPr>
                <w:p w14:paraId="7594190F">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30249D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000B8443">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4E99064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w:t>
                  </w:r>
                </w:p>
              </w:tc>
              <w:tc>
                <w:tcPr>
                  <w:tcW w:w="2375" w:type="dxa"/>
                  <w:tcBorders>
                    <w:tl2br w:val="nil"/>
                    <w:tr2bl w:val="nil"/>
                  </w:tcBorders>
                  <w:vAlign w:val="center"/>
                </w:tcPr>
                <w:p w14:paraId="18650CA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NOx、CO及CHx</w:t>
                  </w:r>
                </w:p>
              </w:tc>
              <w:tc>
                <w:tcPr>
                  <w:tcW w:w="2071" w:type="dxa"/>
                  <w:tcBorders>
                    <w:tl2br w:val="nil"/>
                    <w:tr2bl w:val="nil"/>
                  </w:tcBorders>
                  <w:vAlign w:val="center"/>
                </w:tcPr>
                <w:p w14:paraId="5B047FE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间歇，无组织</w:t>
                  </w:r>
                </w:p>
              </w:tc>
            </w:tr>
            <w:tr w14:paraId="2137F1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446E7BEC">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废水</w:t>
                  </w:r>
                </w:p>
              </w:tc>
              <w:tc>
                <w:tcPr>
                  <w:tcW w:w="3432" w:type="dxa"/>
                  <w:tcBorders>
                    <w:tl2br w:val="nil"/>
                    <w:tr2bl w:val="nil"/>
                  </w:tcBorders>
                  <w:vAlign w:val="center"/>
                </w:tcPr>
                <w:p w14:paraId="6E93ED72">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施工废水</w:t>
                  </w:r>
                </w:p>
              </w:tc>
              <w:tc>
                <w:tcPr>
                  <w:tcW w:w="2375" w:type="dxa"/>
                  <w:tcBorders>
                    <w:tl2br w:val="nil"/>
                    <w:tr2bl w:val="nil"/>
                  </w:tcBorders>
                  <w:vAlign w:val="center"/>
                </w:tcPr>
                <w:p w14:paraId="4158CDB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SS、石油类</w:t>
                  </w:r>
                </w:p>
              </w:tc>
              <w:tc>
                <w:tcPr>
                  <w:tcW w:w="2071" w:type="dxa"/>
                  <w:tcBorders>
                    <w:tl2br w:val="nil"/>
                    <w:tr2bl w:val="nil"/>
                  </w:tcBorders>
                  <w:vAlign w:val="center"/>
                </w:tcPr>
                <w:p w14:paraId="43B2D41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170AE5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6169020">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6C74D21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生活污水</w:t>
                  </w:r>
                </w:p>
              </w:tc>
              <w:tc>
                <w:tcPr>
                  <w:tcW w:w="2375" w:type="dxa"/>
                  <w:tcBorders>
                    <w:tl2br w:val="nil"/>
                    <w:tr2bl w:val="nil"/>
                  </w:tcBorders>
                  <w:vAlign w:val="center"/>
                </w:tcPr>
                <w:p w14:paraId="0F64FF9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COD、BOD</w:t>
                  </w:r>
                  <w:r>
                    <w:rPr>
                      <w:rFonts w:hint="default" w:ascii="Times New Roman" w:hAnsi="Times New Roman" w:cs="Times New Roman"/>
                      <w:sz w:val="21"/>
                      <w:szCs w:val="21"/>
                      <w:vertAlign w:val="subscript"/>
                      <w:lang w:eastAsia="zh-CN"/>
                    </w:rPr>
                    <w:t>5</w:t>
                  </w:r>
                  <w:r>
                    <w:rPr>
                      <w:rFonts w:hint="default" w:ascii="Times New Roman" w:hAnsi="Times New Roman" w:cs="Times New Roman"/>
                      <w:sz w:val="21"/>
                      <w:szCs w:val="21"/>
                      <w:lang w:eastAsia="zh-CN"/>
                    </w:rPr>
                    <w:t xml:space="preserve"> 、SS、NH</w:t>
                  </w:r>
                  <w:r>
                    <w:rPr>
                      <w:rFonts w:hint="default" w:ascii="Times New Roman" w:hAnsi="Times New Roman" w:cs="Times New Roman"/>
                      <w:sz w:val="21"/>
                      <w:szCs w:val="21"/>
                      <w:vertAlign w:val="subscript"/>
                      <w:lang w:eastAsia="zh-CN"/>
                    </w:rPr>
                    <w:t>3</w:t>
                  </w:r>
                  <w:r>
                    <w:rPr>
                      <w:rFonts w:hint="default" w:ascii="Times New Roman" w:hAnsi="Times New Roman" w:cs="Times New Roman"/>
                      <w:sz w:val="21"/>
                      <w:szCs w:val="21"/>
                      <w:lang w:eastAsia="zh-CN"/>
                    </w:rPr>
                    <w:t>-N 等</w:t>
                  </w:r>
                </w:p>
              </w:tc>
              <w:tc>
                <w:tcPr>
                  <w:tcW w:w="2071" w:type="dxa"/>
                  <w:tcBorders>
                    <w:tl2br w:val="nil"/>
                    <w:tr2bl w:val="nil"/>
                  </w:tcBorders>
                  <w:vAlign w:val="center"/>
                </w:tcPr>
                <w:p w14:paraId="4E7013D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5671C6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restart"/>
                  <w:tcBorders>
                    <w:tl2br w:val="nil"/>
                    <w:tr2bl w:val="nil"/>
                  </w:tcBorders>
                  <w:vAlign w:val="center"/>
                </w:tcPr>
                <w:p w14:paraId="086C15A8">
                  <w:pPr>
                    <w:jc w:val="center"/>
                    <w:rPr>
                      <w:rFonts w:hint="default" w:ascii="Times New Roman" w:hAnsi="Times New Roman" w:cs="Times New Roman"/>
                      <w:sz w:val="21"/>
                      <w:szCs w:val="21"/>
                      <w:lang w:eastAsia="zh-CN"/>
                    </w:rPr>
                  </w:pPr>
                </w:p>
                <w:p w14:paraId="55DDCD5B">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固废</w:t>
                  </w:r>
                </w:p>
              </w:tc>
              <w:tc>
                <w:tcPr>
                  <w:tcW w:w="3432" w:type="dxa"/>
                  <w:tcBorders>
                    <w:tl2br w:val="nil"/>
                    <w:tr2bl w:val="nil"/>
                  </w:tcBorders>
                  <w:vAlign w:val="center"/>
                </w:tcPr>
                <w:p w14:paraId="202620B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场地平整及开挖</w:t>
                  </w:r>
                </w:p>
              </w:tc>
              <w:tc>
                <w:tcPr>
                  <w:tcW w:w="2375" w:type="dxa"/>
                  <w:tcBorders>
                    <w:tl2br w:val="nil"/>
                    <w:tr2bl w:val="nil"/>
                  </w:tcBorders>
                  <w:vAlign w:val="center"/>
                </w:tcPr>
                <w:p w14:paraId="439B974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土石方</w:t>
                  </w:r>
                </w:p>
              </w:tc>
              <w:tc>
                <w:tcPr>
                  <w:tcW w:w="2071" w:type="dxa"/>
                  <w:tcBorders>
                    <w:tl2br w:val="nil"/>
                    <w:tr2bl w:val="nil"/>
                  </w:tcBorders>
                  <w:vAlign w:val="center"/>
                </w:tcPr>
                <w:p w14:paraId="47936345">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283564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55D5F454">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55527ED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施工人员</w:t>
                  </w:r>
                </w:p>
              </w:tc>
              <w:tc>
                <w:tcPr>
                  <w:tcW w:w="2375" w:type="dxa"/>
                  <w:tcBorders>
                    <w:tl2br w:val="nil"/>
                    <w:tr2bl w:val="nil"/>
                  </w:tcBorders>
                  <w:vAlign w:val="center"/>
                </w:tcPr>
                <w:p w14:paraId="555F105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生活垃圾</w:t>
                  </w:r>
                </w:p>
              </w:tc>
              <w:tc>
                <w:tcPr>
                  <w:tcW w:w="2071" w:type="dxa"/>
                  <w:tcBorders>
                    <w:tl2br w:val="nil"/>
                    <w:tr2bl w:val="nil"/>
                  </w:tcBorders>
                  <w:vAlign w:val="center"/>
                </w:tcPr>
                <w:p w14:paraId="2987541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55112C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F933B42">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0481093E">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w:t>
                  </w:r>
                </w:p>
              </w:tc>
              <w:tc>
                <w:tcPr>
                  <w:tcW w:w="2375" w:type="dxa"/>
                  <w:tcBorders>
                    <w:tl2br w:val="nil"/>
                    <w:tr2bl w:val="nil"/>
                  </w:tcBorders>
                  <w:vAlign w:val="center"/>
                </w:tcPr>
                <w:p w14:paraId="430AD06D">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建筑垃圾</w:t>
                  </w:r>
                </w:p>
              </w:tc>
              <w:tc>
                <w:tcPr>
                  <w:tcW w:w="2071" w:type="dxa"/>
                  <w:tcBorders>
                    <w:tl2br w:val="nil"/>
                    <w:tr2bl w:val="nil"/>
                  </w:tcBorders>
                  <w:vAlign w:val="center"/>
                </w:tcPr>
                <w:p w14:paraId="6EA4B138">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77B866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vMerge w:val="continue"/>
                  <w:tcBorders>
                    <w:tl2br w:val="nil"/>
                    <w:tr2bl w:val="nil"/>
                  </w:tcBorders>
                  <w:vAlign w:val="center"/>
                </w:tcPr>
                <w:p w14:paraId="292EA56A">
                  <w:pPr>
                    <w:jc w:val="center"/>
                    <w:rPr>
                      <w:rFonts w:hint="default" w:ascii="Times New Roman" w:hAnsi="Times New Roman" w:cs="Times New Roman"/>
                      <w:sz w:val="21"/>
                      <w:szCs w:val="21"/>
                      <w:lang w:eastAsia="zh-CN"/>
                    </w:rPr>
                  </w:pPr>
                </w:p>
              </w:tc>
              <w:tc>
                <w:tcPr>
                  <w:tcW w:w="3432" w:type="dxa"/>
                  <w:tcBorders>
                    <w:tl2br w:val="nil"/>
                    <w:tr2bl w:val="nil"/>
                  </w:tcBorders>
                  <w:vAlign w:val="center"/>
                </w:tcPr>
                <w:p w14:paraId="5CE31FCA">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支架安装、光伏组件安装、设备安装</w:t>
                  </w:r>
                </w:p>
              </w:tc>
              <w:tc>
                <w:tcPr>
                  <w:tcW w:w="2375" w:type="dxa"/>
                  <w:tcBorders>
                    <w:tl2br w:val="nil"/>
                    <w:tr2bl w:val="nil"/>
                  </w:tcBorders>
                  <w:vAlign w:val="center"/>
                </w:tcPr>
                <w:p w14:paraId="1B4F5223">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废弃设备零件</w:t>
                  </w:r>
                </w:p>
              </w:tc>
              <w:tc>
                <w:tcPr>
                  <w:tcW w:w="2071" w:type="dxa"/>
                  <w:tcBorders>
                    <w:tl2br w:val="nil"/>
                    <w:tr2bl w:val="nil"/>
                  </w:tcBorders>
                  <w:vAlign w:val="center"/>
                </w:tcPr>
                <w:p w14:paraId="24646BD1">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r w14:paraId="109AB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 w:hRule="atLeast"/>
                <w:jc w:val="center"/>
              </w:trPr>
              <w:tc>
                <w:tcPr>
                  <w:tcW w:w="632" w:type="dxa"/>
                  <w:tcBorders>
                    <w:tl2br w:val="nil"/>
                    <w:tr2bl w:val="nil"/>
                  </w:tcBorders>
                  <w:vAlign w:val="center"/>
                </w:tcPr>
                <w:p w14:paraId="2C3A6F30">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3432" w:type="dxa"/>
                  <w:tcBorders>
                    <w:tl2br w:val="nil"/>
                    <w:tr2bl w:val="nil"/>
                  </w:tcBorders>
                  <w:vAlign w:val="center"/>
                </w:tcPr>
                <w:p w14:paraId="136623D7">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施工机械及车辆</w:t>
                  </w:r>
                </w:p>
              </w:tc>
              <w:tc>
                <w:tcPr>
                  <w:tcW w:w="2375" w:type="dxa"/>
                  <w:tcBorders>
                    <w:tl2br w:val="nil"/>
                    <w:tr2bl w:val="nil"/>
                  </w:tcBorders>
                  <w:vAlign w:val="center"/>
                </w:tcPr>
                <w:p w14:paraId="63954654">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噪声</w:t>
                  </w:r>
                </w:p>
              </w:tc>
              <w:tc>
                <w:tcPr>
                  <w:tcW w:w="2071" w:type="dxa"/>
                  <w:tcBorders>
                    <w:tl2br w:val="nil"/>
                    <w:tr2bl w:val="nil"/>
                  </w:tcBorders>
                  <w:vAlign w:val="center"/>
                </w:tcPr>
                <w:p w14:paraId="64849CA9">
                  <w:pPr>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间歇</w:t>
                  </w:r>
                </w:p>
              </w:tc>
            </w:tr>
          </w:tbl>
          <w:p w14:paraId="5C53B80A">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（3）施工期污染影响因素</w:t>
            </w:r>
          </w:p>
          <w:p w14:paraId="51AB193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根据本工程的特点、施工工艺，分析工程施工阶段对项目周围的生态影响因素。项目施工期生态环境影响因素见下表。</w:t>
            </w:r>
          </w:p>
          <w:p w14:paraId="589B2021">
            <w:pPr>
              <w:spacing w:line="240" w:lineRule="auto"/>
              <w:ind w:firstLine="422" w:firstLineChars="200"/>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表4-2      项目施工期生态环境影响因素</w:t>
            </w:r>
          </w:p>
          <w:tbl>
            <w:tblPr>
              <w:tblStyle w:val="33"/>
              <w:tblW w:w="8517"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344"/>
              <w:gridCol w:w="4994"/>
              <w:gridCol w:w="1179"/>
            </w:tblGrid>
            <w:tr w14:paraId="4037FD0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3DF86592">
                  <w:pPr>
                    <w:spacing w:line="240" w:lineRule="auto"/>
                    <w:ind w:firstLine="422" w:firstLineChars="200"/>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工程建设活动</w:t>
                  </w:r>
                </w:p>
              </w:tc>
              <w:tc>
                <w:tcPr>
                  <w:tcW w:w="4994" w:type="dxa"/>
                  <w:tcBorders>
                    <w:tl2br w:val="nil"/>
                    <w:tr2bl w:val="nil"/>
                  </w:tcBorders>
                  <w:vAlign w:val="center"/>
                </w:tcPr>
                <w:p w14:paraId="64C8454C">
                  <w:pPr>
                    <w:spacing w:line="240" w:lineRule="auto"/>
                    <w:jc w:val="center"/>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生态影响因素</w:t>
                  </w:r>
                </w:p>
              </w:tc>
              <w:tc>
                <w:tcPr>
                  <w:tcW w:w="1179" w:type="dxa"/>
                  <w:tcBorders>
                    <w:tl2br w:val="nil"/>
                    <w:tr2bl w:val="nil"/>
                  </w:tcBorders>
                  <w:vAlign w:val="center"/>
                </w:tcPr>
                <w:p w14:paraId="43E237D2">
                  <w:pPr>
                    <w:spacing w:line="240" w:lineRule="auto"/>
                    <w:rPr>
                      <w:rFonts w:hint="default" w:ascii="Times New Roman" w:hAnsi="Times New Roman" w:cs="Times New Roman"/>
                      <w:b/>
                      <w:bCs/>
                      <w:sz w:val="21"/>
                      <w:szCs w:val="21"/>
                      <w:lang w:eastAsia="zh-CN"/>
                    </w:rPr>
                  </w:pPr>
                  <w:r>
                    <w:rPr>
                      <w:rFonts w:hint="default" w:ascii="Times New Roman" w:hAnsi="Times New Roman" w:cs="Times New Roman"/>
                      <w:b/>
                      <w:bCs/>
                      <w:sz w:val="21"/>
                      <w:szCs w:val="21"/>
                      <w:lang w:eastAsia="zh-CN"/>
                    </w:rPr>
                    <w:t>影响因子</w:t>
                  </w:r>
                </w:p>
              </w:tc>
            </w:tr>
            <w:tr w14:paraId="188DE93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jc w:val="center"/>
              </w:trPr>
              <w:tc>
                <w:tcPr>
                  <w:tcW w:w="2344" w:type="dxa"/>
                  <w:tcBorders>
                    <w:tl2br w:val="nil"/>
                    <w:tr2bl w:val="nil"/>
                  </w:tcBorders>
                  <w:vAlign w:val="center"/>
                </w:tcPr>
                <w:p w14:paraId="2AAD3EEC">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土建及土石方工程</w:t>
                  </w:r>
                </w:p>
              </w:tc>
              <w:tc>
                <w:tcPr>
                  <w:tcW w:w="4994" w:type="dxa"/>
                  <w:tcBorders>
                    <w:tl2br w:val="nil"/>
                    <w:tr2bl w:val="nil"/>
                  </w:tcBorders>
                  <w:vAlign w:val="center"/>
                </w:tcPr>
                <w:p w14:paraId="666076F3">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永久占用土地、改变土地利用现状功能；破坏地表植被</w:t>
                  </w:r>
                </w:p>
              </w:tc>
              <w:tc>
                <w:tcPr>
                  <w:tcW w:w="1179" w:type="dxa"/>
                  <w:vMerge w:val="restart"/>
                  <w:tcBorders>
                    <w:tl2br w:val="nil"/>
                    <w:tr2bl w:val="nil"/>
                  </w:tcBorders>
                  <w:vAlign w:val="center"/>
                </w:tcPr>
                <w:p w14:paraId="65EFBCA8">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植被、植物、土地利用、动物</w:t>
                  </w:r>
                </w:p>
              </w:tc>
            </w:tr>
            <w:tr w14:paraId="287DFBE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00EE0575">
                  <w:pPr>
                    <w:spacing w:line="240" w:lineRule="auto"/>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施工机械及施工车辆运输</w:t>
                  </w:r>
                </w:p>
              </w:tc>
              <w:tc>
                <w:tcPr>
                  <w:tcW w:w="4994" w:type="dxa"/>
                  <w:tcBorders>
                    <w:tl2br w:val="nil"/>
                    <w:tr2bl w:val="nil"/>
                  </w:tcBorders>
                  <w:vAlign w:val="center"/>
                </w:tcPr>
                <w:p w14:paraId="4EEBE008">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对周围动物活动及栖息造成影响</w:t>
                  </w:r>
                </w:p>
              </w:tc>
              <w:tc>
                <w:tcPr>
                  <w:tcW w:w="1179" w:type="dxa"/>
                  <w:vMerge w:val="continue"/>
                  <w:tcBorders>
                    <w:tl2br w:val="nil"/>
                    <w:tr2bl w:val="nil"/>
                  </w:tcBorders>
                  <w:vAlign w:val="center"/>
                </w:tcPr>
                <w:p w14:paraId="19A818C9">
                  <w:pPr>
                    <w:spacing w:line="240" w:lineRule="auto"/>
                    <w:ind w:firstLine="480" w:firstLineChars="200"/>
                    <w:rPr>
                      <w:rFonts w:hint="default" w:ascii="Times New Roman" w:hAnsi="Times New Roman" w:cs="Times New Roman"/>
                      <w:lang w:eastAsia="zh-CN"/>
                    </w:rPr>
                  </w:pPr>
                </w:p>
              </w:tc>
            </w:tr>
            <w:tr w14:paraId="2F871ED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0" w:hRule="atLeast"/>
                <w:jc w:val="center"/>
              </w:trPr>
              <w:tc>
                <w:tcPr>
                  <w:tcW w:w="2344" w:type="dxa"/>
                  <w:tcBorders>
                    <w:tl2br w:val="nil"/>
                    <w:tr2bl w:val="nil"/>
                  </w:tcBorders>
                  <w:vAlign w:val="center"/>
                </w:tcPr>
                <w:p w14:paraId="6290709F">
                  <w:pPr>
                    <w:spacing w:line="240" w:lineRule="auto"/>
                    <w:ind w:firstLine="420" w:firstLineChars="200"/>
                    <w:jc w:val="both"/>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施工临时占地</w:t>
                  </w:r>
                </w:p>
              </w:tc>
              <w:tc>
                <w:tcPr>
                  <w:tcW w:w="4994" w:type="dxa"/>
                  <w:tcBorders>
                    <w:tl2br w:val="nil"/>
                    <w:tr2bl w:val="nil"/>
                  </w:tcBorders>
                  <w:vAlign w:val="center"/>
                </w:tcPr>
                <w:p w14:paraId="7106F8FE">
                  <w:pPr>
                    <w:spacing w:line="240" w:lineRule="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临时占用土地，改变土地利用功能；破坏地表植被</w:t>
                  </w:r>
                </w:p>
              </w:tc>
              <w:tc>
                <w:tcPr>
                  <w:tcW w:w="1179" w:type="dxa"/>
                  <w:vMerge w:val="continue"/>
                  <w:tcBorders>
                    <w:tl2br w:val="nil"/>
                    <w:tr2bl w:val="nil"/>
                  </w:tcBorders>
                  <w:vAlign w:val="center"/>
                </w:tcPr>
                <w:p w14:paraId="019E0C9B">
                  <w:pPr>
                    <w:spacing w:line="240" w:lineRule="auto"/>
                    <w:ind w:firstLine="480" w:firstLineChars="200"/>
                    <w:rPr>
                      <w:rFonts w:hint="default" w:ascii="Times New Roman" w:hAnsi="Times New Roman" w:cs="Times New Roman"/>
                      <w:lang w:eastAsia="zh-CN"/>
                    </w:rPr>
                  </w:pPr>
                </w:p>
              </w:tc>
            </w:tr>
          </w:tbl>
          <w:p w14:paraId="0710D0FF">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val="en-US" w:eastAsia="zh-CN"/>
              </w:rPr>
              <w:t>2、</w:t>
            </w:r>
            <w:r>
              <w:rPr>
                <w:rFonts w:hint="default" w:ascii="Times New Roman" w:hAnsi="Times New Roman" w:cs="Times New Roman"/>
                <w:b/>
                <w:bCs/>
                <w:lang w:eastAsia="zh-CN"/>
              </w:rPr>
              <w:t>环境影响分析</w:t>
            </w:r>
          </w:p>
          <w:p w14:paraId="2B5C730E">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（1）生态环境影响分析</w:t>
            </w:r>
          </w:p>
          <w:p w14:paraId="697F41F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1）对土地利用的影响分析</w:t>
            </w:r>
          </w:p>
          <w:p w14:paraId="1F1A95A7">
            <w:pPr>
              <w:spacing w:line="360" w:lineRule="auto"/>
              <w:ind w:firstLine="480" w:firstLineChars="200"/>
              <w:jc w:val="left"/>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项目用地总规</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模为</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1958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公顷。</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项目于</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场址西北部平缓山包上建设110kV升压站一座，占地</w:t>
            </w:r>
            <w:r>
              <w:rPr>
                <w:rFonts w:hint="default" w:ascii="Times New Roman" w:hAnsi="Times New Roman" w:eastAsia="宋体" w:cs="Times New Roman"/>
                <w:b w:val="0"/>
                <w:bCs w:val="0"/>
                <w:color w:val="auto"/>
                <w:kern w:val="2"/>
                <w:sz w:val="24"/>
                <w:szCs w:val="24"/>
                <w:lang w:val="en-US" w:eastAsia="zh-CN" w:bidi="ar-SA"/>
              </w:rPr>
              <w:t>面积约（含边坡）</w:t>
            </w:r>
            <w:r>
              <w:rPr>
                <w:rFonts w:hint="eastAsia" w:ascii="Times New Roman" w:hAnsi="Times New Roman" w:eastAsia="宋体" w:cs="Times New Roman"/>
                <w:color w:val="auto"/>
                <w:sz w:val="24"/>
                <w:szCs w:val="24"/>
                <w:lang w:val="en-US" w:eastAsia="zh-CN"/>
              </w:rPr>
              <w:t>8970</w:t>
            </w:r>
            <w:r>
              <w:rPr>
                <w:rFonts w:hint="default" w:ascii="Times New Roman" w:hAnsi="Times New Roman" w:eastAsia="宋体" w:cs="Times New Roman"/>
                <w:b w:val="0"/>
                <w:bCs w:val="0"/>
                <w:color w:val="auto"/>
                <w:kern w:val="2"/>
                <w:sz w:val="24"/>
                <w:szCs w:val="24"/>
                <w:lang w:val="en-US" w:eastAsia="zh-CN" w:bidi="ar-SA"/>
              </w:rPr>
              <w:t>m</w:t>
            </w:r>
            <w:r>
              <w:rPr>
                <w:rFonts w:hint="default" w:ascii="Times New Roman" w:hAnsi="Times New Roman" w:eastAsia="宋体" w:cs="Times New Roman"/>
                <w:b w:val="0"/>
                <w:bCs w:val="0"/>
                <w:color w:val="auto"/>
                <w:kern w:val="2"/>
                <w:sz w:val="24"/>
                <w:szCs w:val="24"/>
                <w:vertAlign w:val="super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，项目设置26个光伏方阵，根据布置情况分为北片区及南片区，占地面积约1032255</w:t>
            </w:r>
            <w:r>
              <w:rPr>
                <w:rFonts w:hint="default" w:ascii="Times New Roman" w:hAnsi="Times New Roman" w:eastAsia="宋体" w:cs="Times New Roman"/>
                <w:b w:val="0"/>
                <w:bCs w:val="0"/>
                <w:color w:val="auto"/>
                <w:sz w:val="24"/>
                <w:szCs w:val="24"/>
                <w:lang w:val="en-US" w:eastAsia="zh-CN"/>
              </w:rPr>
              <w:t>m</w:t>
            </w:r>
            <w:r>
              <w:rPr>
                <w:rFonts w:hint="default" w:ascii="Times New Roman" w:hAnsi="Times New Roman" w:eastAsia="宋体" w:cs="Times New Roman"/>
                <w:b w:val="0"/>
                <w:bCs w:val="0"/>
                <w:color w:val="auto"/>
                <w:sz w:val="24"/>
                <w:szCs w:val="24"/>
                <w:vertAlign w:val="superscript"/>
                <w:lang w:val="en-US" w:eastAsia="zh-CN"/>
              </w:rPr>
              <w:t>2</w:t>
            </w:r>
            <w:r>
              <w:rPr>
                <w:rFonts w:hint="eastAsia" w:ascii="Times New Roman" w:hAnsi="Times New Roman" w:eastAsia="宋体" w:cs="Times New Roman"/>
                <w:b w:val="0"/>
                <w:bCs w:val="0"/>
                <w:color w:val="auto"/>
                <w:sz w:val="24"/>
                <w:szCs w:val="24"/>
                <w:lang w:val="en-US" w:eastAsia="zh-CN"/>
              </w:rPr>
              <w:t>。</w:t>
            </w:r>
          </w:p>
          <w:p w14:paraId="7597EE81">
            <w:pPr>
              <w:spacing w:line="360" w:lineRule="auto"/>
              <w:ind w:firstLine="480" w:firstLineChars="200"/>
              <w:rPr>
                <w:rFonts w:hint="default" w:ascii="Times New Roman" w:hAnsi="Times New Roman" w:cs="Times New Roman"/>
                <w:lang w:eastAsia="zh-CN"/>
              </w:rPr>
            </w:pPr>
            <w:r>
              <w:rPr>
                <w:rFonts w:hint="eastAsia" w:ascii="Times New Roman" w:hAnsi="Times New Roman" w:eastAsia="宋体" w:cs="Times New Roman"/>
                <w:b w:val="0"/>
                <w:bCs w:val="0"/>
                <w:color w:val="auto"/>
                <w:kern w:val="2"/>
                <w:sz w:val="24"/>
                <w:szCs w:val="24"/>
                <w:lang w:val="en-US" w:eastAsia="zh-CN" w:bidi="ar-SA"/>
              </w:rPr>
              <w:t>其中</w:t>
            </w:r>
            <w:r>
              <w:rPr>
                <w:rFonts w:hint="default" w:ascii="Times New Roman" w:hAnsi="Times New Roman" w:eastAsia="宋体" w:cs="Times New Roman"/>
                <w:b w:val="0"/>
                <w:bCs w:val="0"/>
                <w:color w:val="auto"/>
                <w:kern w:val="2"/>
                <w:sz w:val="24"/>
                <w:szCs w:val="24"/>
                <w:lang w:val="en-US" w:eastAsia="zh-CN" w:bidi="ar-SA"/>
              </w:rPr>
              <w:t>永久用地为塔基</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升压站与箱变，其中塔基用地规模</w:t>
            </w:r>
            <w:r>
              <w:rPr>
                <w:rFonts w:hint="eastAsia" w:ascii="Times New Roman" w:hAnsi="Times New Roman" w:eastAsia="宋体" w:cs="Times New Roman"/>
                <w:b w:val="0"/>
                <w:bCs w:val="0"/>
                <w:color w:val="auto"/>
                <w:kern w:val="2"/>
                <w:sz w:val="24"/>
                <w:szCs w:val="24"/>
                <w:lang w:val="en-US" w:eastAsia="zh-CN" w:bidi="ar-SA"/>
              </w:rPr>
              <w:t>768</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、升压站用地规模为</w:t>
            </w:r>
            <w:r>
              <w:rPr>
                <w:rFonts w:hint="eastAsia" w:ascii="Times New Roman" w:hAnsi="Times New Roman" w:eastAsia="宋体" w:cs="Times New Roman"/>
                <w:b w:val="0"/>
                <w:bCs w:val="0"/>
                <w:color w:val="auto"/>
                <w:kern w:val="2"/>
                <w:sz w:val="24"/>
                <w:szCs w:val="24"/>
                <w:lang w:val="en-US" w:eastAsia="zh-CN" w:bidi="ar-SA"/>
              </w:rPr>
              <w:t>8970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、箱变用地规模为</w:t>
            </w:r>
            <w:r>
              <w:rPr>
                <w:rFonts w:hint="eastAsia" w:ascii="Times New Roman" w:hAnsi="Times New Roman" w:eastAsia="宋体" w:cs="Times New Roman"/>
                <w:b w:val="0"/>
                <w:bCs w:val="0"/>
                <w:color w:val="auto"/>
                <w:kern w:val="2"/>
                <w:sz w:val="24"/>
                <w:szCs w:val="24"/>
                <w:lang w:val="en-US" w:eastAsia="zh-CN" w:bidi="ar-SA"/>
              </w:rPr>
              <w:t>780</w:t>
            </w:r>
            <w:r>
              <w:rPr>
                <w:rFonts w:hint="default" w:ascii="Times New Roman" w:hAnsi="Times New Roman" w:eastAsia="宋体" w:cs="Times New Roman"/>
                <w:color w:val="auto"/>
                <w:sz w:val="24"/>
                <w:szCs w:val="24"/>
                <w:lang w:val="en-US" w:eastAsia="zh-CN"/>
              </w:rPr>
              <w:t>m²</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本项目占用</w:t>
            </w:r>
            <w:r>
              <w:rPr>
                <w:rFonts w:hint="eastAsia" w:ascii="Times New Roman" w:hAnsi="Times New Roman" w:eastAsia="宋体" w:cs="Times New Roman"/>
                <w:color w:val="auto"/>
                <w:sz w:val="24"/>
                <w:szCs w:val="24"/>
                <w:lang w:val="en-US" w:eastAsia="zh-CN"/>
              </w:rPr>
              <w:t>园地4981</w:t>
            </w:r>
            <w:r>
              <w:rPr>
                <w:rFonts w:hint="default" w:ascii="Times New Roman" w:hAnsi="Times New Roman" w:eastAsia="宋体" w:cs="Times New Roman"/>
                <w:color w:val="auto"/>
                <w:sz w:val="24"/>
                <w:szCs w:val="24"/>
                <w:lang w:val="en-US" w:eastAsia="zh-CN"/>
              </w:rPr>
              <w:t>m²，林地</w:t>
            </w:r>
            <w:r>
              <w:rPr>
                <w:rFonts w:hint="eastAsia" w:ascii="Times New Roman" w:hAnsi="Times New Roman" w:eastAsia="宋体" w:cs="Times New Roman"/>
                <w:color w:val="auto"/>
                <w:sz w:val="24"/>
                <w:szCs w:val="24"/>
                <w:lang w:val="en-US" w:eastAsia="zh-CN"/>
              </w:rPr>
              <w:t>5483</w:t>
            </w:r>
            <w:r>
              <w:rPr>
                <w:rFonts w:hint="default" w:ascii="Times New Roman" w:hAnsi="Times New Roman" w:eastAsia="宋体" w:cs="Times New Roman"/>
                <w:color w:val="auto"/>
                <w:sz w:val="24"/>
                <w:szCs w:val="24"/>
                <w:lang w:val="en-US" w:eastAsia="zh-CN"/>
              </w:rPr>
              <w:t>m²，其他</w:t>
            </w:r>
            <w:r>
              <w:rPr>
                <w:rFonts w:hint="eastAsia" w:ascii="Times New Roman" w:hAnsi="Times New Roman" w:eastAsia="宋体" w:cs="Times New Roman"/>
                <w:color w:val="auto"/>
                <w:sz w:val="24"/>
                <w:szCs w:val="24"/>
                <w:lang w:val="en-US" w:eastAsia="zh-CN"/>
              </w:rPr>
              <w:t>农用</w:t>
            </w:r>
            <w:r>
              <w:rPr>
                <w:rFonts w:hint="default" w:ascii="Times New Roman" w:hAnsi="Times New Roman" w:eastAsia="宋体" w:cs="Times New Roman"/>
                <w:color w:val="auto"/>
                <w:sz w:val="24"/>
                <w:szCs w:val="24"/>
                <w:lang w:val="en-US" w:eastAsia="zh-CN"/>
              </w:rPr>
              <w:t>地</w:t>
            </w:r>
            <w:r>
              <w:rPr>
                <w:rFonts w:hint="eastAsia"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lang w:val="en-US" w:eastAsia="zh-CN"/>
              </w:rPr>
              <w:t>m²</w:t>
            </w:r>
            <w:r>
              <w:rPr>
                <w:rFonts w:hint="eastAsia" w:ascii="Times New Roman" w:hAnsi="Times New Roman" w:eastAsia="宋体" w:cs="Times New Roman"/>
                <w:color w:val="auto"/>
                <w:sz w:val="24"/>
                <w:szCs w:val="24"/>
                <w:lang w:val="en-US" w:eastAsia="zh-CN"/>
              </w:rPr>
              <w:t>，建设用地29</w:t>
            </w:r>
            <w:r>
              <w:rPr>
                <w:rFonts w:hint="default" w:ascii="Times New Roman" w:hAnsi="Times New Roman" w:eastAsia="宋体" w:cs="Times New Roman"/>
                <w:color w:val="auto"/>
                <w:sz w:val="24"/>
                <w:szCs w:val="24"/>
                <w:lang w:val="en-US" w:eastAsia="zh-CN"/>
              </w:rPr>
              <w:t>m²</w:t>
            </w:r>
            <w:r>
              <w:rPr>
                <w:rFonts w:hint="default" w:ascii="Times New Roman" w:hAnsi="Times New Roman" w:cs="Times New Roman"/>
                <w:lang w:eastAsia="zh-CN"/>
              </w:rPr>
              <w:t>。工程不占用基本农田、生态公益林及生态保护红线。工程施工占地会暂时改变原有土地利用的性质和功能。永久占地部分永久性的改变了土地性质，是无法恢复的；由于施工永久占地面积较小，影响的土地利用类型都是评价区域较为广泛分布的类型，除占地的损失外，工程施工不会对该区域的土地利用造成明显的影响。项目施工过程中不对升压站及光伏方阵以外用地及未利用地等临时占地进行扰动，集电线路区及场内道路边坡临时占地区在施工结束后将进行植被恢复，不会改变其土地利用功能。</w:t>
            </w:r>
          </w:p>
          <w:p w14:paraId="6B59C8A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2）对植被及植物的影响分析</w:t>
            </w:r>
          </w:p>
          <w:p w14:paraId="45C4FF7F">
            <w:pPr>
              <w:spacing w:line="360" w:lineRule="auto"/>
              <w:ind w:firstLine="480" w:firstLineChars="200"/>
              <w:rPr>
                <w:rFonts w:hint="default" w:ascii="Times New Roman" w:hAnsi="Times New Roman" w:eastAsia="宋体" w:cs="Times New Roman"/>
                <w:snapToGrid w:val="0"/>
                <w:color w:val="auto"/>
                <w:kern w:val="0"/>
                <w:sz w:val="24"/>
              </w:rPr>
            </w:pPr>
            <w:r>
              <w:rPr>
                <w:rFonts w:hint="default" w:ascii="Times New Roman" w:hAnsi="Times New Roman" w:eastAsia="宋体" w:cs="Times New Roman"/>
                <w:snapToGrid w:val="0"/>
                <w:color w:val="auto"/>
                <w:kern w:val="0"/>
                <w:sz w:val="24"/>
              </w:rPr>
              <w:t>项目对植被的影响主要是占地及施工作业造成的植被破坏</w:t>
            </w:r>
            <w:r>
              <w:rPr>
                <w:rFonts w:hint="eastAsia" w:ascii="Times New Roman" w:hAnsi="Times New Roman" w:eastAsia="宋体" w:cs="Times New Roman"/>
                <w:snapToGrid w:val="0"/>
                <w:color w:val="auto"/>
                <w:kern w:val="0"/>
                <w:sz w:val="24"/>
                <w:lang w:eastAsia="zh-CN"/>
              </w:rPr>
              <w:t>。</w:t>
            </w:r>
            <w:r>
              <w:rPr>
                <w:rFonts w:hint="default" w:ascii="Times New Roman" w:hAnsi="Times New Roman" w:eastAsia="宋体" w:cs="Times New Roman"/>
                <w:snapToGrid w:val="0"/>
                <w:color w:val="auto"/>
                <w:kern w:val="0"/>
                <w:sz w:val="24"/>
              </w:rPr>
              <w:t>其中升压站、光伏组件支架基础、箱变和分支箱基础、集电线路等永久占地区域，项目建设影响的植被将无法恢复，其影响是不可逆的；对于临时占地区域，其中场内保留区、光伏方阵板间空地等在施工过程中基本不受扰动，集电线路（主要是地埋电缆开挖作业区）、场内道路、临时施工营场地等区域在工程施工时将清除地表植被，但工程建设结束后，通过复垦，上述区域的植被将得以逐渐恢复。项目所在区植物覆盖率较小，无国家和地方重点保护野生植物分布。项目的建设会对植物生境范围减小，项目区将会架起大量的太阳能光伏组件，这些组件遮光影响大面积的区域。光伏项目实施后，项目区原有的植被会受到较大影响，但由于项目区占地范围内自然条件较差，植物资源较少，现状植被主要是地被植物为黑麦草和白三叶等、低矮灌木有金丝桃等、乔木为华山松等，生产力较低，对当地植物资源的数量及利用方式产生影响很小。项目区植物均为周围环境常见种类，不会造成植物种类灭绝。</w:t>
            </w:r>
          </w:p>
          <w:p w14:paraId="7960174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①工程永久占地对植被的影响</w:t>
            </w:r>
          </w:p>
          <w:p w14:paraId="5E02C784">
            <w:pPr>
              <w:spacing w:line="360" w:lineRule="auto"/>
              <w:ind w:firstLine="480" w:firstLineChars="200"/>
              <w:rPr>
                <w:rFonts w:hint="default" w:ascii="Times New Roman" w:hAnsi="Times New Roman" w:cs="Times New Roman"/>
                <w:lang w:eastAsia="zh-CN"/>
              </w:rPr>
            </w:pPr>
            <w:r>
              <w:rPr>
                <w:rFonts w:hint="default" w:ascii="Times New Roman" w:hAnsi="Times New Roman" w:eastAsia="宋体" w:cs="Times New Roman"/>
                <w:snapToGrid w:val="0"/>
                <w:color w:val="auto"/>
                <w:kern w:val="0"/>
                <w:sz w:val="24"/>
              </w:rPr>
              <w:t>建设虽然会造成评价区内该类植被面积有所减少，但由于项目永久占地面积较小，所造成的自然植被面积的永久减少占评价区同类植被面积的比例小，不会造成任何一种植被类型在评价区内消失</w:t>
            </w:r>
            <w:r>
              <w:rPr>
                <w:rFonts w:hint="default" w:ascii="Times New Roman" w:hAnsi="Times New Roman" w:cs="Times New Roman"/>
                <w:lang w:eastAsia="zh-CN"/>
              </w:rPr>
              <w:t>，对评价区内的植被及生态系统影响不大。</w:t>
            </w:r>
          </w:p>
          <w:p w14:paraId="2AC28A6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②工程临时占地对植被的影响</w:t>
            </w:r>
          </w:p>
          <w:p w14:paraId="066C8E19">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中临时占用自然植被较少。此部分自然植被在施工过程中仅对集电线路及场内道路边坡临时占地区进行扰动，清除地表植被，在施工结束后能够逐渐得以恢复。而对项目用地范围内临时占用的光伏方阵空地、其他用地，项目施工期不对其进行扰动，因此只要对光伏方阵空地及周边未利用地等不扰动区域加强管理，严格控制施工扰动范围，禁止对光伏方阵空地和未利用地等不扰动区域的植被造成破坏，则项目不会对自然植被产生大的影响。</w:t>
            </w:r>
          </w:p>
          <w:p w14:paraId="645D422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③对植物资源的影响</w:t>
            </w:r>
          </w:p>
          <w:p w14:paraId="467F0DE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受本工程建设影响的植物均为常见种和广布种。项目占地将使部分植物个体遭到破坏，导致这些植物种群数量减少和分布生境减小，但这些物种在工程区周边区域，甚至云南省的许多地区都广为分布，本工程建设不会造成物种数量的急剧减少，更不会造成任何物种的灭绝，所产生的影响较小。</w:t>
            </w:r>
          </w:p>
          <w:p w14:paraId="07614E79">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3）对陆生脊椎动物的影响</w:t>
            </w:r>
          </w:p>
          <w:p w14:paraId="171BE2D0">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①对两栖、爬行类动物的影响分析</w:t>
            </w:r>
          </w:p>
          <w:p w14:paraId="6F68569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间对两栖类和爬行类动物的影响主要表现为：工程施工机械、施工人员进入工地，原材料的堆放等施工行为直接伤害到两栖动物，可能将坡地动物杀伤。开挖路堑和临时施工便道造成部分生境破坏。施工活动产生噪声、频繁往来的车流、人流改变了原有的安静环境，对喜欢安静或害怕人群类爬行动物会形成惊吓导致其离开原有的活动范围，会暂时降低影响区内敏感物种数量和降低出现的次数，施工结束后其影响逐渐消除。</w:t>
            </w:r>
          </w:p>
          <w:p w14:paraId="6E90D4AC">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②对鸟类的影响分析</w:t>
            </w:r>
          </w:p>
          <w:p w14:paraId="772D0596">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由于工程建设需要开挖建设，破坏现有植被，对项目区内的鸟类造成一定的影响：施工期会干扰这些鸟类的活动，对其造成一定的影响，使这些鸟类暂时迁移它处。但是总体看，因鸟类的活动空间范围一般都比较大，工程施工对鸟类的影响较小。</w:t>
            </w:r>
          </w:p>
          <w:p w14:paraId="5FEABEBF">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③对兽类的影响分析</w:t>
            </w:r>
          </w:p>
          <w:p w14:paraId="6C14593E">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该工程项目区内的兽类中除鼠类相对固定区域活动外，其它兽类的活动场所都较大，工程项目建设会造成这些兽类部分生境的破坏，干扰它们的活动，对它们造成直接的影响：</w:t>
            </w:r>
          </w:p>
          <w:p w14:paraId="02D6DA50">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a、对于栖息在该工程项目区的以啮齿类为主兽类的生境造成一定的破坏； b、施工噪声会干扰该工程项目区兽类的正常活动，驱赶它们远离项目区； c、施工人员有可能猎杀项目区个体较大的兽类。</w:t>
            </w:r>
          </w:p>
          <w:p w14:paraId="142AFF7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整体上讲，评价区内主要动物为常见两栖类、爬行类、一般鸟类和伴人居小型啮齿类，项目建设对陆栖脊椎动物的影响主要表现在施工占地和开挖对生境的破坏；施工机械噪声、运输机械噪声的干扰；施工人员猎杀对部分动物的影响等。</w:t>
            </w:r>
          </w:p>
          <w:p w14:paraId="3CB08C3B">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占地和开挖将可能破其生存环境，迫使它们向外迁移寻找新的栖息场所，造成动物数量减少，但不致造成个体死亡，不会造成动物物种消失；同时项目施工注意依法保护、避免捕杀或伤害各类动物。在此基础上项目施工对动物的影响在可接受程度范围内。随着项目建设的完成，生境的恢复，动物的种群数量将很快得以恢复。</w:t>
            </w:r>
          </w:p>
          <w:p w14:paraId="420FB37A">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4）对周围耕地和农作物的影响分析</w:t>
            </w:r>
          </w:p>
          <w:p w14:paraId="7A63CCF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光伏电站施工期对周围农作物的影响主要来源施工扬尘对周围农作物的影响，施工过程中对场地洒水降尘，且施工时间较短，随着施工结束而消失，施工过程中对周围农作物影响较小。</w:t>
            </w:r>
          </w:p>
          <w:p w14:paraId="37BB32F6">
            <w:pPr>
              <w:spacing w:line="360" w:lineRule="auto"/>
              <w:ind w:firstLine="482" w:firstLineChars="200"/>
              <w:rPr>
                <w:rFonts w:hint="default" w:ascii="Times New Roman" w:hAnsi="Times New Roman" w:cs="Times New Roman"/>
                <w:b/>
                <w:bCs/>
                <w:lang w:eastAsia="zh-CN"/>
              </w:rPr>
            </w:pPr>
            <w:r>
              <w:rPr>
                <w:rFonts w:hint="default" w:ascii="Times New Roman" w:hAnsi="Times New Roman" w:cs="Times New Roman"/>
                <w:b/>
                <w:bCs/>
                <w:lang w:eastAsia="zh-CN"/>
              </w:rPr>
              <w:t>（2）大气环境影响分析</w:t>
            </w:r>
          </w:p>
          <w:p w14:paraId="7160E854">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施工期废气主要包括施工场地产生的扬尘、施工机械尾气、装修废气等。</w:t>
            </w:r>
          </w:p>
          <w:p w14:paraId="773AB522">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①扬尘对环境的影响</w:t>
            </w:r>
          </w:p>
          <w:p w14:paraId="6E20149E">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对环境空气影响的主要为扬尘。在项目的建设施工中，由于场内道路的修建、基础开挖、回填土石方、配套设施建设和及建筑材料的运输、装卸、堆放等会产生不同影响程度的扬尘，污染因子为TSP，扬尘的产生量与施工方式、土壤含水量、气象条件等有关。</w:t>
            </w:r>
          </w:p>
          <w:p w14:paraId="4E7FCEDD">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本项目在道路修建期间，会导致地表裸露，产生少量扬尘；项目升压站、光伏阵列基础的修建，也需要平整场地和基础开挖，由于升压站区占地面积较小，光伏阵列基础面较小，开挖土石不大，可以做到就地取土平整，不会产生弃渣场，场地开挖期间也会产生少量扬尘；项目临时施工场地会堆放少量水泥和沙石，本工程建构物施工量不大，就地堆放在施工临建场地处 也会产生少量扬尘。项目扬尘的影响范围一般为500m范围，根据现场调查项目500m范围内的敏感目标主要集中在</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lang w:eastAsia="zh-CN"/>
              </w:rPr>
              <w:t>。并对临时表土堆场进行及时覆盖和定期洒水降尘</w:t>
            </w:r>
            <w:r>
              <w:rPr>
                <w:rFonts w:hint="eastAsia" w:ascii="Times New Roman" w:hAnsi="Times New Roman" w:cs="Times New Roman"/>
                <w:lang w:eastAsia="zh-CN"/>
              </w:rPr>
              <w:t>，对敏感目标的影响较小</w:t>
            </w:r>
            <w:r>
              <w:rPr>
                <w:rFonts w:hint="default" w:ascii="Times New Roman" w:hAnsi="Times New Roman" w:cs="Times New Roman"/>
                <w:lang w:eastAsia="zh-CN"/>
              </w:rPr>
              <w:t>。</w:t>
            </w:r>
          </w:p>
          <w:p w14:paraId="7BA188E9">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项目施工期间通过对施工区进行洒水降尘，对散体物料堆放区采用防尘网进行临时遮盖、对土石方及时回填压实等措施后施工扬尘对周围环境的影响不大。</w:t>
            </w:r>
          </w:p>
          <w:p w14:paraId="6FE1D8B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施工期产生的扬尘污染是短期的，随着施工活动的结束，场地的覆盖、道路、 建筑物的形成，项目内的绿化完成等，施工扬尘对环境空气的影响也就随之结束。</w:t>
            </w:r>
          </w:p>
          <w:p w14:paraId="1A9AE5D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②机械、运输废气对环境的影响</w:t>
            </w:r>
          </w:p>
          <w:p w14:paraId="313A61A4">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机械和运输车辆作业期间产生的尾气，也是影响空气环境的主要污染物之一。产生废气的施工机械主要是运输车辆，其排放的废气主要污染物为氮氧化物、二氧化硫和一氧化碳等。其余工段使用的机械如电钻、电焊机等一般以电为能源，不会产生机械尾气。</w:t>
            </w:r>
          </w:p>
          <w:p w14:paraId="0EE02DE8">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项目建设施工内容较少，施工机械和运输车辆外排尾气量不大，尾气排放点随设备移动呈不固定方式排放，在空气环境中经一定的距离自然扩散、稀释后，对评价区域空气质量影响不大。</w:t>
            </w:r>
          </w:p>
          <w:p w14:paraId="58BA124B">
            <w:pPr>
              <w:spacing w:line="360" w:lineRule="auto"/>
              <w:ind w:firstLine="482" w:firstLineChars="200"/>
              <w:jc w:val="left"/>
              <w:rPr>
                <w:rFonts w:hint="default" w:ascii="Times New Roman" w:hAnsi="Times New Roman" w:cs="Times New Roman"/>
                <w:b/>
                <w:bCs/>
                <w:lang w:eastAsia="zh-CN"/>
              </w:rPr>
            </w:pPr>
            <w:r>
              <w:rPr>
                <w:rFonts w:hint="default" w:ascii="Times New Roman" w:hAnsi="Times New Roman" w:cs="Times New Roman"/>
                <w:b/>
                <w:bCs/>
                <w:lang w:eastAsia="zh-CN"/>
              </w:rPr>
              <w:t>（3）水环境影响分析</w:t>
            </w:r>
          </w:p>
          <w:p w14:paraId="04721E20">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施工期间产生的废水主要为施工废水、施工人员生活污水和暴雨地表径流。</w:t>
            </w:r>
          </w:p>
          <w:p w14:paraId="7B9E2833">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①施工废水影响分析</w:t>
            </w:r>
          </w:p>
          <w:p w14:paraId="327750CF">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项目产生的施工废水主要有混凝土养护废水，施工废水pH值较高，主要污染物为悬浮物。</w:t>
            </w:r>
          </w:p>
          <w:p w14:paraId="6EAA1A1E">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项目混凝土养护时产生的废水主要污染物为SS，产生量较少。项目拟在项目施工场区设置3m</w:t>
            </w:r>
            <w:r>
              <w:rPr>
                <w:rFonts w:hint="default" w:ascii="Times New Roman" w:hAnsi="Times New Roman" w:cs="Times New Roman"/>
                <w:vertAlign w:val="superscript"/>
                <w:lang w:eastAsia="zh-CN"/>
              </w:rPr>
              <w:t>3</w:t>
            </w:r>
            <w:r>
              <w:rPr>
                <w:rFonts w:hint="default" w:ascii="Times New Roman" w:hAnsi="Times New Roman" w:cs="Times New Roman"/>
                <w:lang w:eastAsia="zh-CN"/>
              </w:rPr>
              <w:t>的沉淀池，用于处理施工养护废水，产生的废水经沉淀池处理后，全部回用于施工用水和场地洒水降尘，不外排，对周围水境影响不大。</w:t>
            </w:r>
          </w:p>
          <w:p w14:paraId="6E554955">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②施工人员生活污水影响分析</w:t>
            </w:r>
          </w:p>
          <w:p w14:paraId="021162C0">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项目内施工人员约</w:t>
            </w:r>
            <w:r>
              <w:rPr>
                <w:rFonts w:hint="eastAsia" w:ascii="Times New Roman" w:hAnsi="Times New Roman" w:cs="Times New Roman"/>
                <w:lang w:val="en-US" w:eastAsia="zh-CN"/>
              </w:rPr>
              <w:t>50</w:t>
            </w:r>
            <w:r>
              <w:rPr>
                <w:rFonts w:hint="default" w:ascii="Times New Roman" w:hAnsi="Times New Roman" w:cs="Times New Roman"/>
                <w:lang w:eastAsia="zh-CN"/>
              </w:rPr>
              <w:t>人，项目内设施工营地，施工人员在项目内食宿。施工人员生活用水量按80L/人·d计算，用水量约</w:t>
            </w:r>
            <w:r>
              <w:rPr>
                <w:rFonts w:hint="eastAsia" w:ascii="Times New Roman" w:hAnsi="Times New Roman" w:cs="Times New Roman"/>
                <w:lang w:val="en-US" w:eastAsia="zh-CN"/>
              </w:rPr>
              <w:t>4</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/d，废水产生量按80%计，则废水产生量约</w:t>
            </w:r>
            <w:r>
              <w:rPr>
                <w:rFonts w:hint="eastAsia" w:ascii="Times New Roman" w:hAnsi="Times New Roman" w:cs="Times New Roman"/>
                <w:lang w:val="en-US" w:eastAsia="zh-CN"/>
              </w:rPr>
              <w:t>3.2</w:t>
            </w:r>
            <w:r>
              <w:rPr>
                <w:rFonts w:hint="default" w:ascii="Times New Roman" w:hAnsi="Times New Roman" w:cs="Times New Roman"/>
                <w:lang w:eastAsia="zh-CN"/>
              </w:rPr>
              <w:t>m</w:t>
            </w:r>
            <w:r>
              <w:rPr>
                <w:rFonts w:hint="default" w:ascii="Times New Roman" w:hAnsi="Times New Roman" w:cs="Times New Roman"/>
                <w:vertAlign w:val="superscript"/>
                <w:lang w:eastAsia="zh-CN"/>
              </w:rPr>
              <w:t>3</w:t>
            </w:r>
            <w:r>
              <w:rPr>
                <w:rFonts w:hint="default" w:ascii="Times New Roman" w:hAnsi="Times New Roman" w:cs="Times New Roman"/>
                <w:lang w:eastAsia="zh-CN"/>
              </w:rPr>
              <w:t>/d。</w:t>
            </w:r>
          </w:p>
          <w:p w14:paraId="56EE0B36">
            <w:pPr>
              <w:spacing w:line="360" w:lineRule="auto"/>
              <w:ind w:firstLine="480" w:firstLineChars="200"/>
              <w:jc w:val="left"/>
              <w:rPr>
                <w:rFonts w:hint="default" w:ascii="Times New Roman" w:hAnsi="Times New Roman" w:cs="Times New Roman"/>
                <w:lang w:eastAsia="zh-CN"/>
              </w:rPr>
            </w:pPr>
            <w:r>
              <w:rPr>
                <w:rFonts w:hint="default" w:ascii="Times New Roman" w:hAnsi="Times New Roman" w:cs="Times New Roman"/>
                <w:lang w:eastAsia="zh-CN"/>
              </w:rPr>
              <w:t>施工人员生活污水产生量较少，项目施工营地附近拟设旱厕一座，粪尿污水进入旱厕，旱厕定期清掏，全部用于周边农用施肥，不外排。施工营地生活污水主要来自于施工人员洗手废水、餐饮废水等。施工期拟在施工营地内设置隔油池、沉淀池， 餐饮废水经隔油池、沉淀池处理，其余生活污水经沉淀池处理后，全部回用于施工场地洒水降尘或周围灌木丛或草地的浇水，不外排，对周围水环境影响小。</w:t>
            </w:r>
          </w:p>
          <w:p w14:paraId="4AF95B7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③雨天形成地表径流污染的影响分析</w:t>
            </w:r>
          </w:p>
          <w:p w14:paraId="0472C8C7">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项目场内道路修建、基础开挖会形成裸露面，在施工期遇到下大雨，雨水形成地表径流冲刷浮土、建筑砂石等形成的泥浆水，会携带大量泥沙、水泥、油类及其它地表固体污染物。当其进入水体后会造成水体污染，致使水体水质下降。由于项目场地区域坡陡，面积较大，地表径流产生量较大，但项目动土部分主要为场区道路、升压站、逆变器及少量光伏列阵支架施工，动土面积相对较小，径流的面源污染相对较小。雨天形成的地表径流会通过低洼处流入</w:t>
            </w:r>
            <w:r>
              <w:rPr>
                <w:rFonts w:hint="eastAsia" w:ascii="Times New Roman" w:hAnsi="Times New Roman" w:cs="Times New Roman"/>
                <w:lang w:eastAsia="zh-CN"/>
              </w:rPr>
              <w:t>附近</w:t>
            </w:r>
            <w:r>
              <w:rPr>
                <w:rFonts w:hint="default" w:ascii="Times New Roman" w:hAnsi="Times New Roman" w:cs="Times New Roman"/>
                <w:lang w:eastAsia="zh-CN"/>
              </w:rPr>
              <w:t>沟箐，其污染物主要为SS。为减小施工期雨天径流对水环境的影响，项目应落实水土保持措施，在工程区设置排水沟，末端设置沉砂池，场区雨水经沉砂池沉淀处理后，雨水径流中SS的浓度将大幅度降低，对周围水环境影响不大。</w:t>
            </w:r>
          </w:p>
          <w:p w14:paraId="20F1C389">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④对周围地表水体的影响</w:t>
            </w:r>
          </w:p>
          <w:p w14:paraId="0C347A74">
            <w:pPr>
              <w:spacing w:line="360" w:lineRule="auto"/>
              <w:ind w:firstLine="480" w:firstLineChars="200"/>
              <w:rPr>
                <w:rFonts w:hint="default" w:ascii="Times New Roman" w:hAnsi="Times New Roman" w:cs="Times New Roman"/>
                <w:lang w:eastAsia="zh-CN"/>
              </w:rPr>
            </w:pPr>
            <w:r>
              <w:rPr>
                <w:rFonts w:hint="eastAsia" w:ascii="宋体" w:hAnsi="宋体" w:eastAsia="宋体" w:cs="宋体"/>
                <w:b w:val="0"/>
                <w:bCs w:val="0"/>
                <w:spacing w:val="0"/>
                <w:kern w:val="2"/>
                <w:sz w:val="24"/>
                <w:szCs w:val="24"/>
                <w:lang w:val="en-US" w:eastAsia="zh-CN" w:bidi="ar-SA"/>
              </w:rPr>
              <w:t>项目最近地表水体为南哈河、南懒河、南腊河最终汇入</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bidi="ar"/>
              </w:rPr>
              <w:t>轩岗河</w:t>
            </w:r>
            <w:r>
              <w:rPr>
                <w:rFonts w:hint="eastAsia" w:ascii="Times New Roman" w:hAnsi="Times New Roman" w:eastAsia="宋体" w:cs="Times New Roman"/>
                <w:color w:val="auto"/>
                <w:sz w:val="24"/>
                <w:szCs w:val="24"/>
                <w:lang w:eastAsia="zh-CN" w:bidi="ar"/>
              </w:rPr>
              <w:t>属于</w:t>
            </w:r>
            <w:r>
              <w:rPr>
                <w:rFonts w:hint="eastAsia" w:ascii="宋体" w:hAnsi="宋体" w:eastAsia="宋体" w:cs="宋体"/>
                <w:b w:val="0"/>
                <w:bCs w:val="0"/>
                <w:spacing w:val="0"/>
                <w:kern w:val="2"/>
                <w:sz w:val="24"/>
                <w:szCs w:val="24"/>
                <w:lang w:val="en-US" w:eastAsia="zh-CN" w:bidi="ar-SA"/>
              </w:rPr>
              <w:t>芒市大河支流</w:t>
            </w:r>
            <w:r>
              <w:rPr>
                <w:rFonts w:hint="default" w:ascii="宋体" w:hAnsi="宋体" w:eastAsia="宋体" w:cs="宋体"/>
                <w:b w:val="0"/>
                <w:bCs w:val="0"/>
                <w:spacing w:val="0"/>
                <w:kern w:val="2"/>
                <w:sz w:val="24"/>
                <w:szCs w:val="24"/>
                <w:lang w:val="en-US" w:eastAsia="zh-CN" w:bidi="ar-SA"/>
              </w:rPr>
              <w:t>，结合《云南省水功能区划》</w:t>
            </w:r>
            <w:r>
              <w:rPr>
                <w:rFonts w:hint="eastAsia" w:ascii="宋体" w:hAnsi="宋体" w:eastAsia="宋体" w:cs="宋体"/>
                <w:b w:val="0"/>
                <w:bCs w:val="0"/>
                <w:spacing w:val="0"/>
                <w:kern w:val="2"/>
                <w:sz w:val="24"/>
                <w:szCs w:val="24"/>
                <w:lang w:val="en-US" w:eastAsia="zh-CN" w:bidi="ar-SA"/>
              </w:rPr>
              <w:t>（第二版2014年修改），芒市大河</w:t>
            </w:r>
            <w:r>
              <w:rPr>
                <w:rFonts w:hint="default" w:ascii="宋体" w:hAnsi="宋体" w:eastAsia="宋体" w:cs="宋体"/>
                <w:b w:val="0"/>
                <w:bCs w:val="0"/>
                <w:spacing w:val="0"/>
                <w:kern w:val="2"/>
                <w:sz w:val="24"/>
                <w:szCs w:val="24"/>
                <w:lang w:val="en-US" w:eastAsia="zh-CN" w:bidi="ar-SA"/>
              </w:rPr>
              <w:t>属于伊洛瓦底江流域，木康</w:t>
            </w:r>
            <w:r>
              <w:rPr>
                <w:rFonts w:hint="eastAsia" w:ascii="宋体" w:hAnsi="宋体" w:eastAsia="宋体" w:cs="宋体"/>
                <w:b w:val="0"/>
                <w:bCs w:val="0"/>
                <w:spacing w:val="0"/>
                <w:kern w:val="2"/>
                <w:sz w:val="24"/>
                <w:szCs w:val="24"/>
                <w:lang w:val="en-US" w:eastAsia="zh-CN" w:bidi="ar-SA"/>
              </w:rPr>
              <w:t>水文站</w:t>
            </w:r>
            <w:r>
              <w:rPr>
                <w:rFonts w:hint="default" w:ascii="宋体" w:hAnsi="宋体" w:eastAsia="宋体" w:cs="宋体"/>
                <w:b w:val="0"/>
                <w:bCs w:val="0"/>
                <w:spacing w:val="0"/>
                <w:kern w:val="2"/>
                <w:sz w:val="24"/>
                <w:szCs w:val="24"/>
                <w:lang w:val="en-US" w:eastAsia="zh-CN" w:bidi="ar-SA"/>
              </w:rPr>
              <w:t>一</w:t>
            </w:r>
            <w:r>
              <w:rPr>
                <w:rFonts w:hint="eastAsia" w:ascii="宋体" w:hAnsi="宋体" w:eastAsia="宋体" w:cs="宋体"/>
                <w:b w:val="0"/>
                <w:bCs w:val="0"/>
                <w:spacing w:val="0"/>
                <w:kern w:val="2"/>
                <w:sz w:val="24"/>
                <w:szCs w:val="24"/>
                <w:lang w:val="en-US" w:eastAsia="zh-CN" w:bidi="ar-SA"/>
              </w:rPr>
              <w:t>等戛水文站</w:t>
            </w:r>
            <w:r>
              <w:rPr>
                <w:rFonts w:hint="default" w:ascii="宋体" w:hAnsi="宋体" w:eastAsia="宋体" w:cs="宋体"/>
                <w:b w:val="0"/>
                <w:bCs w:val="0"/>
                <w:spacing w:val="0"/>
                <w:kern w:val="2"/>
                <w:sz w:val="24"/>
                <w:szCs w:val="24"/>
                <w:lang w:val="en-US" w:eastAsia="zh-CN" w:bidi="ar-SA"/>
              </w:rPr>
              <w:t>水环境功能为</w:t>
            </w:r>
            <w:r>
              <w:rPr>
                <w:rFonts w:hint="eastAsia" w:ascii="宋体" w:hAnsi="宋体" w:eastAsia="宋体" w:cs="宋体"/>
                <w:b w:val="0"/>
                <w:bCs w:val="0"/>
                <w:spacing w:val="0"/>
                <w:kern w:val="2"/>
                <w:sz w:val="24"/>
                <w:szCs w:val="24"/>
                <w:lang w:val="en-US" w:eastAsia="zh-CN" w:bidi="ar-SA"/>
              </w:rPr>
              <w:t>工业、农业、景观用水</w:t>
            </w:r>
            <w:r>
              <w:rPr>
                <w:rFonts w:hint="default" w:ascii="Times New Roman" w:hAnsi="Times New Roman" w:cs="Times New Roman"/>
                <w:lang w:eastAsia="zh-CN"/>
              </w:rPr>
              <w:t>，无饮用功能。为减小对周围地表水体的影响，在施工过程中应禁止将土石方、施工材料、施工建筑垃圾洒落在水库和周围河流里。靠水体一侧设置围挡，可保证土石方、施工材料、施工建筑垃圾进入水体，通过采取上述措施后，对地表水影响不大。</w:t>
            </w:r>
          </w:p>
          <w:p w14:paraId="23F95445">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由于施工期废水影响为短期影响，施工结束后即可终止，因此本项目在采取相应的污染防治措施后，施工期废水不会对周围地表水体产生大的长期的不利影响。</w:t>
            </w:r>
          </w:p>
          <w:p w14:paraId="12E665F8">
            <w:p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（4）声环境影响分析</w:t>
            </w:r>
          </w:p>
          <w:p w14:paraId="6C098E9A">
            <w:pPr>
              <w:spacing w:line="360" w:lineRule="auto"/>
              <w:ind w:firstLine="480" w:firstLineChars="200"/>
              <w:rPr>
                <w:rFonts w:hint="default" w:ascii="Times New Roman" w:hAnsi="Times New Roman" w:cs="Times New Roman"/>
              </w:rPr>
            </w:pPr>
            <w:r>
              <w:rPr>
                <w:rFonts w:hint="default" w:ascii="Times New Roman" w:hAnsi="Times New Roman" w:cs="Times New Roman"/>
              </w:rPr>
              <w:t>①施工机械噪声源强</w:t>
            </w:r>
          </w:p>
          <w:p w14:paraId="66995267">
            <w:pPr>
              <w:spacing w:line="360" w:lineRule="auto"/>
              <w:ind w:firstLine="480" w:firstLineChars="200"/>
              <w:rPr>
                <w:rFonts w:hint="default" w:ascii="Times New Roman" w:hAnsi="Times New Roman" w:cs="Times New Roman"/>
              </w:rPr>
            </w:pPr>
            <w:r>
              <w:rPr>
                <w:rFonts w:hint="eastAsia" w:ascii="Times New Roman" w:hAnsi="Times New Roman" w:eastAsia="宋体" w:cs="Times New Roman"/>
                <w:color w:val="auto"/>
                <w:sz w:val="24"/>
                <w:lang w:val="en-US" w:eastAsia="zh-CN"/>
              </w:rPr>
              <w:t>项目施工期噪声主要来自钻孔打桩、钢筋切割焊接、混凝土输送振捣、装载机作业及运输等。以机械设备噪声和交通运输噪声为主。各施工作业区主要噪声设备及其噪声源强如下</w:t>
            </w:r>
            <w:r>
              <w:rPr>
                <w:rFonts w:hint="default" w:ascii="Times New Roman" w:hAnsi="Times New Roman" w:cs="Times New Roman"/>
              </w:rPr>
              <w:t xml:space="preserve"> 4-3。</w:t>
            </w:r>
          </w:p>
          <w:p w14:paraId="29688CE9">
            <w:pPr>
              <w:spacing w:line="240" w:lineRule="auto"/>
              <w:jc w:val="center"/>
              <w:rPr>
                <w:rFonts w:hint="default" w:ascii="Times New Roman" w:hAnsi="Times New Roman" w:cs="Times New Roman"/>
                <w:b/>
                <w:bCs/>
                <w:sz w:val="21"/>
                <w:szCs w:val="21"/>
                <w:lang w:val="en-US" w:eastAsia="zh-CN"/>
              </w:rPr>
            </w:pPr>
          </w:p>
          <w:p w14:paraId="7D4F70B2">
            <w:pPr>
              <w:spacing w:line="240" w:lineRule="auto"/>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表4-3 主要噪声</w:t>
            </w:r>
          </w:p>
          <w:tbl>
            <w:tblPr>
              <w:tblStyle w:val="22"/>
              <w:tblW w:w="851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7"/>
              <w:gridCol w:w="2841"/>
              <w:gridCol w:w="2840"/>
            </w:tblGrid>
            <w:tr w14:paraId="6C57DE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tcBorders>
                    <w:tl2br w:val="nil"/>
                    <w:tr2bl w:val="nil"/>
                  </w:tcBorders>
                  <w:vAlign w:val="center"/>
                </w:tcPr>
                <w:p w14:paraId="3D88053A">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项目</w:t>
                  </w:r>
                </w:p>
              </w:tc>
              <w:tc>
                <w:tcPr>
                  <w:tcW w:w="2841" w:type="dxa"/>
                  <w:tcBorders>
                    <w:tl2br w:val="nil"/>
                    <w:tr2bl w:val="nil"/>
                  </w:tcBorders>
                  <w:vAlign w:val="center"/>
                </w:tcPr>
                <w:p w14:paraId="4F122830">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设备名称</w:t>
                  </w:r>
                </w:p>
              </w:tc>
              <w:tc>
                <w:tcPr>
                  <w:tcW w:w="2840" w:type="dxa"/>
                  <w:tcBorders>
                    <w:tl2br w:val="nil"/>
                    <w:tr2bl w:val="nil"/>
                  </w:tcBorders>
                  <w:vAlign w:val="center"/>
                </w:tcPr>
                <w:p w14:paraId="59EA6648">
                  <w:pPr>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rPr>
                    <w:t>声级(dB)</w:t>
                  </w:r>
                </w:p>
              </w:tc>
            </w:tr>
            <w:tr w14:paraId="79CD0C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7FDB6F3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土石方阶段</w:t>
                  </w:r>
                </w:p>
              </w:tc>
              <w:tc>
                <w:tcPr>
                  <w:tcW w:w="2841" w:type="dxa"/>
                  <w:tcBorders>
                    <w:tl2br w:val="nil"/>
                    <w:tr2bl w:val="nil"/>
                  </w:tcBorders>
                  <w:vAlign w:val="center"/>
                </w:tcPr>
                <w:p w14:paraId="33AC6B4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挖掘机</w:t>
                  </w:r>
                </w:p>
              </w:tc>
              <w:tc>
                <w:tcPr>
                  <w:tcW w:w="2840" w:type="dxa"/>
                  <w:tcBorders>
                    <w:tl2br w:val="nil"/>
                    <w:tr2bl w:val="nil"/>
                  </w:tcBorders>
                  <w:vAlign w:val="center"/>
                </w:tcPr>
                <w:p w14:paraId="6C1758E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86</w:t>
                  </w:r>
                </w:p>
              </w:tc>
            </w:tr>
            <w:tr w14:paraId="5F3C0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D22BAF0">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417E628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推土机</w:t>
                  </w:r>
                </w:p>
              </w:tc>
              <w:tc>
                <w:tcPr>
                  <w:tcW w:w="2840" w:type="dxa"/>
                  <w:tcBorders>
                    <w:tl2br w:val="nil"/>
                    <w:tr2bl w:val="nil"/>
                  </w:tcBorders>
                  <w:vAlign w:val="center"/>
                </w:tcPr>
                <w:p w14:paraId="4828312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52AFA8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082E6A4C">
                  <w:pPr>
                    <w:jc w:val="center"/>
                    <w:rPr>
                      <w:rFonts w:hint="default" w:ascii="Times New Roman" w:hAnsi="Times New Roman" w:cs="Times New Roman"/>
                      <w:sz w:val="21"/>
                      <w:szCs w:val="21"/>
                    </w:rPr>
                  </w:pPr>
                </w:p>
                <w:p w14:paraId="47AEB27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基础施工阶段</w:t>
                  </w:r>
                </w:p>
              </w:tc>
              <w:tc>
                <w:tcPr>
                  <w:tcW w:w="2841" w:type="dxa"/>
                  <w:tcBorders>
                    <w:tl2br w:val="nil"/>
                    <w:tr2bl w:val="nil"/>
                  </w:tcBorders>
                  <w:vAlign w:val="center"/>
                </w:tcPr>
                <w:p w14:paraId="04909B6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混凝土搅拌机</w:t>
                  </w:r>
                </w:p>
              </w:tc>
              <w:tc>
                <w:tcPr>
                  <w:tcW w:w="2840" w:type="dxa"/>
                  <w:tcBorders>
                    <w:tl2br w:val="nil"/>
                    <w:tr2bl w:val="nil"/>
                  </w:tcBorders>
                  <w:vAlign w:val="center"/>
                </w:tcPr>
                <w:p w14:paraId="455B013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39707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F4FB656">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7B8064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手风钻</w:t>
                  </w:r>
                </w:p>
              </w:tc>
              <w:tc>
                <w:tcPr>
                  <w:tcW w:w="2840" w:type="dxa"/>
                  <w:tcBorders>
                    <w:tl2br w:val="nil"/>
                    <w:tr2bl w:val="nil"/>
                  </w:tcBorders>
                  <w:vAlign w:val="center"/>
                </w:tcPr>
                <w:p w14:paraId="0F52970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90</w:t>
                  </w:r>
                </w:p>
              </w:tc>
            </w:tr>
            <w:tr w14:paraId="707E2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F373984">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3B86EBE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振动打夯机</w:t>
                  </w:r>
                </w:p>
              </w:tc>
              <w:tc>
                <w:tcPr>
                  <w:tcW w:w="2840" w:type="dxa"/>
                  <w:tcBorders>
                    <w:tl2br w:val="nil"/>
                    <w:tr2bl w:val="nil"/>
                  </w:tcBorders>
                  <w:vAlign w:val="center"/>
                </w:tcPr>
                <w:p w14:paraId="0ED2ED0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75</w:t>
                  </w:r>
                </w:p>
              </w:tc>
            </w:tr>
            <w:tr w14:paraId="08315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6A123E1E">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0BFDDDA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空压机</w:t>
                  </w:r>
                </w:p>
              </w:tc>
              <w:tc>
                <w:tcPr>
                  <w:tcW w:w="2840" w:type="dxa"/>
                  <w:tcBorders>
                    <w:tl2br w:val="nil"/>
                    <w:tr2bl w:val="nil"/>
                  </w:tcBorders>
                  <w:vAlign w:val="center"/>
                </w:tcPr>
                <w:p w14:paraId="41713F5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85</w:t>
                  </w:r>
                </w:p>
              </w:tc>
            </w:tr>
            <w:tr w14:paraId="12F4D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71C3E49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主体建设及配套设施 建设阶段</w:t>
                  </w:r>
                </w:p>
              </w:tc>
              <w:tc>
                <w:tcPr>
                  <w:tcW w:w="2841" w:type="dxa"/>
                  <w:tcBorders>
                    <w:tl2br w:val="nil"/>
                    <w:tr2bl w:val="nil"/>
                  </w:tcBorders>
                  <w:vAlign w:val="center"/>
                </w:tcPr>
                <w:p w14:paraId="73FAFF8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混凝土插入式振动器</w:t>
                  </w:r>
                </w:p>
              </w:tc>
              <w:tc>
                <w:tcPr>
                  <w:tcW w:w="2840" w:type="dxa"/>
                  <w:tcBorders>
                    <w:tl2br w:val="nil"/>
                    <w:tr2bl w:val="nil"/>
                  </w:tcBorders>
                  <w:vAlign w:val="center"/>
                </w:tcPr>
                <w:p w14:paraId="11FA6D46">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83</w:t>
                  </w:r>
                </w:p>
              </w:tc>
            </w:tr>
            <w:tr w14:paraId="57F3D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1C57B68">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1B0A73DD">
                  <w:pPr>
                    <w:jc w:val="center"/>
                    <w:rPr>
                      <w:rFonts w:hint="default" w:ascii="Times New Roman" w:hAnsi="Times New Roman" w:cs="Times New Roman"/>
                      <w:sz w:val="21"/>
                      <w:szCs w:val="21"/>
                    </w:rPr>
                  </w:pPr>
                  <w:r>
                    <w:rPr>
                      <w:rFonts w:hint="default" w:ascii="Times New Roman" w:hAnsi="Times New Roman" w:cs="Times New Roman"/>
                      <w:sz w:val="21"/>
                      <w:szCs w:val="21"/>
                    </w:rPr>
                    <w:t>电锯</w:t>
                  </w:r>
                </w:p>
              </w:tc>
              <w:tc>
                <w:tcPr>
                  <w:tcW w:w="2840" w:type="dxa"/>
                  <w:tcBorders>
                    <w:tl2br w:val="nil"/>
                    <w:tr2bl w:val="nil"/>
                  </w:tcBorders>
                  <w:vAlign w:val="center"/>
                </w:tcPr>
                <w:p w14:paraId="55B9952E">
                  <w:pPr>
                    <w:jc w:val="center"/>
                    <w:rPr>
                      <w:rFonts w:hint="default" w:ascii="Times New Roman" w:hAnsi="Times New Roman" w:cs="Times New Roman"/>
                      <w:sz w:val="21"/>
                      <w:szCs w:val="21"/>
                    </w:rPr>
                  </w:pPr>
                  <w:r>
                    <w:rPr>
                      <w:rFonts w:hint="default" w:ascii="Times New Roman" w:hAnsi="Times New Roman" w:cs="Times New Roman"/>
                      <w:sz w:val="21"/>
                      <w:szCs w:val="21"/>
                    </w:rPr>
                    <w:t>95</w:t>
                  </w:r>
                </w:p>
              </w:tc>
            </w:tr>
            <w:tr w14:paraId="61E553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0FF607A4">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安装、装修阶段</w:t>
                  </w:r>
                </w:p>
              </w:tc>
              <w:tc>
                <w:tcPr>
                  <w:tcW w:w="2841" w:type="dxa"/>
                  <w:tcBorders>
                    <w:tl2br w:val="nil"/>
                    <w:tr2bl w:val="nil"/>
                  </w:tcBorders>
                  <w:vAlign w:val="center"/>
                </w:tcPr>
                <w:p w14:paraId="6BE8C369">
                  <w:pPr>
                    <w:jc w:val="center"/>
                    <w:rPr>
                      <w:rFonts w:hint="default" w:ascii="Times New Roman" w:hAnsi="Times New Roman" w:cs="Times New Roman"/>
                      <w:sz w:val="21"/>
                      <w:szCs w:val="21"/>
                    </w:rPr>
                  </w:pPr>
                  <w:r>
                    <w:rPr>
                      <w:rFonts w:hint="default" w:ascii="Times New Roman" w:hAnsi="Times New Roman" w:cs="Times New Roman"/>
                      <w:sz w:val="21"/>
                      <w:szCs w:val="21"/>
                    </w:rPr>
                    <w:t>液压升降小车</w:t>
                  </w:r>
                </w:p>
              </w:tc>
              <w:tc>
                <w:tcPr>
                  <w:tcW w:w="2840" w:type="dxa"/>
                  <w:tcBorders>
                    <w:tl2br w:val="nil"/>
                    <w:tr2bl w:val="nil"/>
                  </w:tcBorders>
                  <w:vAlign w:val="center"/>
                </w:tcPr>
                <w:p w14:paraId="347FA65A">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49A016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73600C7">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51AC69FC">
                  <w:pPr>
                    <w:jc w:val="center"/>
                    <w:rPr>
                      <w:rFonts w:hint="default" w:ascii="Times New Roman" w:hAnsi="Times New Roman" w:cs="Times New Roman"/>
                      <w:sz w:val="21"/>
                      <w:szCs w:val="21"/>
                    </w:rPr>
                  </w:pPr>
                  <w:r>
                    <w:rPr>
                      <w:rFonts w:hint="default" w:ascii="Times New Roman" w:hAnsi="Times New Roman" w:cs="Times New Roman"/>
                      <w:sz w:val="21"/>
                      <w:szCs w:val="21"/>
                    </w:rPr>
                    <w:t>手工电弧焊机</w:t>
                  </w:r>
                </w:p>
              </w:tc>
              <w:tc>
                <w:tcPr>
                  <w:tcW w:w="2840" w:type="dxa"/>
                  <w:tcBorders>
                    <w:tl2br w:val="nil"/>
                    <w:tr2bl w:val="nil"/>
                  </w:tcBorders>
                  <w:vAlign w:val="center"/>
                </w:tcPr>
                <w:p w14:paraId="5A9FE979">
                  <w:pPr>
                    <w:jc w:val="center"/>
                    <w:rPr>
                      <w:rFonts w:hint="default" w:ascii="Times New Roman" w:hAnsi="Times New Roman" w:cs="Times New Roman"/>
                      <w:sz w:val="21"/>
                      <w:szCs w:val="21"/>
                    </w:rPr>
                  </w:pPr>
                  <w:r>
                    <w:rPr>
                      <w:rFonts w:hint="default" w:ascii="Times New Roman" w:hAnsi="Times New Roman" w:cs="Times New Roman"/>
                      <w:sz w:val="21"/>
                      <w:szCs w:val="21"/>
                    </w:rPr>
                    <w:t>65</w:t>
                  </w:r>
                </w:p>
              </w:tc>
            </w:tr>
            <w:tr w14:paraId="52284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1DD604E">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669464D4">
                  <w:pPr>
                    <w:jc w:val="center"/>
                    <w:rPr>
                      <w:rFonts w:hint="default" w:ascii="Times New Roman" w:hAnsi="Times New Roman" w:cs="Times New Roman"/>
                      <w:sz w:val="21"/>
                      <w:szCs w:val="21"/>
                    </w:rPr>
                  </w:pPr>
                  <w:r>
                    <w:rPr>
                      <w:rFonts w:hint="default" w:ascii="Times New Roman" w:hAnsi="Times New Roman" w:cs="Times New Roman"/>
                      <w:sz w:val="21"/>
                      <w:szCs w:val="21"/>
                    </w:rPr>
                    <w:t>砂轮机</w:t>
                  </w:r>
                </w:p>
              </w:tc>
              <w:tc>
                <w:tcPr>
                  <w:tcW w:w="2840" w:type="dxa"/>
                  <w:tcBorders>
                    <w:tl2br w:val="nil"/>
                    <w:tr2bl w:val="nil"/>
                  </w:tcBorders>
                  <w:vAlign w:val="center"/>
                </w:tcPr>
                <w:p w14:paraId="57DC09B8">
                  <w:pPr>
                    <w:jc w:val="center"/>
                    <w:rPr>
                      <w:rFonts w:hint="default" w:ascii="Times New Roman" w:hAnsi="Times New Roman" w:cs="Times New Roman"/>
                      <w:sz w:val="21"/>
                      <w:szCs w:val="21"/>
                    </w:rPr>
                  </w:pPr>
                  <w:r>
                    <w:rPr>
                      <w:rFonts w:hint="default" w:ascii="Times New Roman" w:hAnsi="Times New Roman" w:cs="Times New Roman"/>
                      <w:sz w:val="21"/>
                      <w:szCs w:val="21"/>
                    </w:rPr>
                    <w:t>92</w:t>
                  </w:r>
                </w:p>
              </w:tc>
            </w:tr>
            <w:tr w14:paraId="45F38D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3652817D">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6982E05D">
                  <w:pPr>
                    <w:jc w:val="center"/>
                    <w:rPr>
                      <w:rFonts w:hint="default" w:ascii="Times New Roman" w:hAnsi="Times New Roman" w:cs="Times New Roman"/>
                      <w:sz w:val="21"/>
                      <w:szCs w:val="21"/>
                    </w:rPr>
                  </w:pPr>
                  <w:r>
                    <w:rPr>
                      <w:rFonts w:hint="default" w:ascii="Times New Roman" w:hAnsi="Times New Roman" w:cs="Times New Roman"/>
                      <w:sz w:val="21"/>
                      <w:szCs w:val="21"/>
                    </w:rPr>
                    <w:t>电钻</w:t>
                  </w:r>
                </w:p>
              </w:tc>
              <w:tc>
                <w:tcPr>
                  <w:tcW w:w="2840" w:type="dxa"/>
                  <w:tcBorders>
                    <w:tl2br w:val="nil"/>
                    <w:tr2bl w:val="nil"/>
                  </w:tcBorders>
                  <w:vAlign w:val="center"/>
                </w:tcPr>
                <w:p w14:paraId="7E3D0DE6">
                  <w:pPr>
                    <w:jc w:val="center"/>
                    <w:rPr>
                      <w:rFonts w:hint="default" w:ascii="Times New Roman" w:hAnsi="Times New Roman" w:cs="Times New Roman"/>
                      <w:sz w:val="21"/>
                      <w:szCs w:val="21"/>
                    </w:rPr>
                  </w:pPr>
                  <w:r>
                    <w:rPr>
                      <w:rFonts w:hint="default" w:ascii="Times New Roman" w:hAnsi="Times New Roman" w:cs="Times New Roman"/>
                      <w:sz w:val="21"/>
                      <w:szCs w:val="21"/>
                    </w:rPr>
                    <w:t>82</w:t>
                  </w:r>
                </w:p>
              </w:tc>
            </w:tr>
            <w:tr w14:paraId="1B27F7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7FD132C1">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6588C2D">
                  <w:pPr>
                    <w:jc w:val="center"/>
                    <w:rPr>
                      <w:rFonts w:hint="default" w:ascii="Times New Roman" w:hAnsi="Times New Roman" w:cs="Times New Roman"/>
                      <w:sz w:val="21"/>
                      <w:szCs w:val="21"/>
                    </w:rPr>
                  </w:pPr>
                  <w:r>
                    <w:rPr>
                      <w:rFonts w:hint="default" w:ascii="Times New Roman" w:hAnsi="Times New Roman" w:cs="Times New Roman"/>
                      <w:sz w:val="21"/>
                      <w:szCs w:val="21"/>
                    </w:rPr>
                    <w:t>切割机</w:t>
                  </w:r>
                </w:p>
              </w:tc>
              <w:tc>
                <w:tcPr>
                  <w:tcW w:w="2840" w:type="dxa"/>
                  <w:tcBorders>
                    <w:tl2br w:val="nil"/>
                    <w:tr2bl w:val="nil"/>
                  </w:tcBorders>
                  <w:vAlign w:val="center"/>
                </w:tcPr>
                <w:p w14:paraId="3A4B676B">
                  <w:pPr>
                    <w:jc w:val="center"/>
                    <w:rPr>
                      <w:rFonts w:hint="default" w:ascii="Times New Roman" w:hAnsi="Times New Roman" w:cs="Times New Roman"/>
                      <w:sz w:val="21"/>
                      <w:szCs w:val="21"/>
                    </w:rPr>
                  </w:pPr>
                  <w:r>
                    <w:rPr>
                      <w:rFonts w:hint="default" w:ascii="Times New Roman" w:hAnsi="Times New Roman" w:cs="Times New Roman"/>
                      <w:sz w:val="21"/>
                      <w:szCs w:val="21"/>
                    </w:rPr>
                    <w:t>93</w:t>
                  </w:r>
                </w:p>
              </w:tc>
            </w:tr>
            <w:tr w14:paraId="2944B3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restart"/>
                  <w:tcBorders>
                    <w:tl2br w:val="nil"/>
                    <w:tr2bl w:val="nil"/>
                  </w:tcBorders>
                  <w:vAlign w:val="center"/>
                </w:tcPr>
                <w:p w14:paraId="1AB52C7C">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rPr>
                    <w:t>交通运输车辆噪声</w:t>
                  </w:r>
                </w:p>
              </w:tc>
              <w:tc>
                <w:tcPr>
                  <w:tcW w:w="2841" w:type="dxa"/>
                  <w:tcBorders>
                    <w:tl2br w:val="nil"/>
                    <w:tr2bl w:val="nil"/>
                  </w:tcBorders>
                  <w:vAlign w:val="center"/>
                </w:tcPr>
                <w:p w14:paraId="5DB7850F">
                  <w:pPr>
                    <w:jc w:val="center"/>
                    <w:rPr>
                      <w:rFonts w:hint="default" w:ascii="Times New Roman" w:hAnsi="Times New Roman" w:cs="Times New Roman"/>
                      <w:sz w:val="21"/>
                      <w:szCs w:val="21"/>
                    </w:rPr>
                  </w:pPr>
                  <w:r>
                    <w:rPr>
                      <w:rFonts w:hint="default" w:ascii="Times New Roman" w:hAnsi="Times New Roman" w:cs="Times New Roman"/>
                      <w:sz w:val="21"/>
                      <w:szCs w:val="21"/>
                    </w:rPr>
                    <w:t>自卸式运输车</w:t>
                  </w:r>
                </w:p>
              </w:tc>
              <w:tc>
                <w:tcPr>
                  <w:tcW w:w="2840" w:type="dxa"/>
                  <w:tcBorders>
                    <w:tl2br w:val="nil"/>
                    <w:tr2bl w:val="nil"/>
                  </w:tcBorders>
                  <w:vAlign w:val="center"/>
                </w:tcPr>
                <w:p w14:paraId="1E7E2D86">
                  <w:pPr>
                    <w:jc w:val="center"/>
                    <w:rPr>
                      <w:rFonts w:hint="default" w:ascii="Times New Roman" w:hAnsi="Times New Roman" w:cs="Times New Roman"/>
                      <w:sz w:val="21"/>
                      <w:szCs w:val="21"/>
                    </w:rPr>
                  </w:pPr>
                  <w:r>
                    <w:rPr>
                      <w:rFonts w:hint="default" w:ascii="Times New Roman" w:hAnsi="Times New Roman" w:cs="Times New Roman"/>
                      <w:sz w:val="21"/>
                      <w:szCs w:val="21"/>
                    </w:rPr>
                    <w:t>80</w:t>
                  </w:r>
                </w:p>
              </w:tc>
            </w:tr>
            <w:tr w14:paraId="64F5E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52D5D57B">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445F7321">
                  <w:pPr>
                    <w:jc w:val="center"/>
                    <w:rPr>
                      <w:rFonts w:hint="default" w:ascii="Times New Roman" w:hAnsi="Times New Roman" w:cs="Times New Roman"/>
                      <w:sz w:val="21"/>
                      <w:szCs w:val="21"/>
                    </w:rPr>
                  </w:pPr>
                  <w:r>
                    <w:rPr>
                      <w:rFonts w:hint="default" w:ascii="Times New Roman" w:hAnsi="Times New Roman" w:cs="Times New Roman"/>
                      <w:sz w:val="21"/>
                      <w:szCs w:val="21"/>
                    </w:rPr>
                    <w:t>压路机</w:t>
                  </w:r>
                </w:p>
              </w:tc>
              <w:tc>
                <w:tcPr>
                  <w:tcW w:w="2840" w:type="dxa"/>
                  <w:tcBorders>
                    <w:tl2br w:val="nil"/>
                    <w:tr2bl w:val="nil"/>
                  </w:tcBorders>
                  <w:vAlign w:val="center"/>
                </w:tcPr>
                <w:p w14:paraId="15D3F7A4">
                  <w:pPr>
                    <w:jc w:val="center"/>
                    <w:rPr>
                      <w:rFonts w:hint="default" w:ascii="Times New Roman" w:hAnsi="Times New Roman" w:cs="Times New Roman"/>
                      <w:sz w:val="21"/>
                      <w:szCs w:val="21"/>
                    </w:rPr>
                  </w:pPr>
                  <w:r>
                    <w:rPr>
                      <w:rFonts w:hint="default" w:ascii="Times New Roman" w:hAnsi="Times New Roman" w:cs="Times New Roman"/>
                      <w:sz w:val="21"/>
                      <w:szCs w:val="21"/>
                    </w:rPr>
                    <w:t>81</w:t>
                  </w:r>
                </w:p>
              </w:tc>
            </w:tr>
            <w:tr w14:paraId="3E383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095B04C2">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25AA6A22">
                  <w:pPr>
                    <w:jc w:val="center"/>
                    <w:rPr>
                      <w:rFonts w:hint="default" w:ascii="Times New Roman" w:hAnsi="Times New Roman" w:cs="Times New Roman"/>
                      <w:sz w:val="21"/>
                      <w:szCs w:val="21"/>
                    </w:rPr>
                  </w:pPr>
                  <w:r>
                    <w:rPr>
                      <w:rFonts w:hint="default" w:ascii="Times New Roman" w:hAnsi="Times New Roman" w:cs="Times New Roman"/>
                      <w:sz w:val="21"/>
                      <w:szCs w:val="21"/>
                    </w:rPr>
                    <w:t>运水车</w:t>
                  </w:r>
                </w:p>
              </w:tc>
              <w:tc>
                <w:tcPr>
                  <w:tcW w:w="2840" w:type="dxa"/>
                  <w:tcBorders>
                    <w:tl2br w:val="nil"/>
                    <w:tr2bl w:val="nil"/>
                  </w:tcBorders>
                  <w:vAlign w:val="center"/>
                </w:tcPr>
                <w:p w14:paraId="19B67B69">
                  <w:pPr>
                    <w:jc w:val="center"/>
                    <w:rPr>
                      <w:rFonts w:hint="default" w:ascii="Times New Roman" w:hAnsi="Times New Roman" w:cs="Times New Roman"/>
                      <w:sz w:val="21"/>
                      <w:szCs w:val="21"/>
                    </w:rPr>
                  </w:pPr>
                  <w:r>
                    <w:rPr>
                      <w:rFonts w:hint="default" w:ascii="Times New Roman" w:hAnsi="Times New Roman" w:cs="Times New Roman"/>
                      <w:sz w:val="21"/>
                      <w:szCs w:val="21"/>
                    </w:rPr>
                    <w:t>75</w:t>
                  </w:r>
                </w:p>
              </w:tc>
            </w:tr>
            <w:tr w14:paraId="4E8973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trPr>
              <w:tc>
                <w:tcPr>
                  <w:tcW w:w="2837" w:type="dxa"/>
                  <w:vMerge w:val="continue"/>
                  <w:tcBorders>
                    <w:tl2br w:val="nil"/>
                    <w:tr2bl w:val="nil"/>
                  </w:tcBorders>
                  <w:vAlign w:val="center"/>
                </w:tcPr>
                <w:p w14:paraId="18625CD4">
                  <w:pPr>
                    <w:jc w:val="center"/>
                    <w:rPr>
                      <w:rFonts w:hint="default" w:ascii="Times New Roman" w:hAnsi="Times New Roman" w:cs="Times New Roman"/>
                      <w:sz w:val="21"/>
                      <w:szCs w:val="21"/>
                      <w:lang w:val="en-US" w:eastAsia="zh-CN"/>
                    </w:rPr>
                  </w:pPr>
                </w:p>
              </w:tc>
              <w:tc>
                <w:tcPr>
                  <w:tcW w:w="2841" w:type="dxa"/>
                  <w:tcBorders>
                    <w:tl2br w:val="nil"/>
                    <w:tr2bl w:val="nil"/>
                  </w:tcBorders>
                  <w:vAlign w:val="center"/>
                </w:tcPr>
                <w:p w14:paraId="7FDF1F3D">
                  <w:pPr>
                    <w:jc w:val="center"/>
                    <w:rPr>
                      <w:rFonts w:hint="default" w:ascii="Times New Roman" w:hAnsi="Times New Roman" w:cs="Times New Roman"/>
                      <w:sz w:val="21"/>
                      <w:szCs w:val="21"/>
                    </w:rPr>
                  </w:pPr>
                  <w:r>
                    <w:rPr>
                      <w:rFonts w:hint="default" w:ascii="Times New Roman" w:hAnsi="Times New Roman" w:cs="Times New Roman"/>
                      <w:sz w:val="21"/>
                      <w:szCs w:val="21"/>
                    </w:rPr>
                    <w:t>30T 汽车吊</w:t>
                  </w:r>
                </w:p>
              </w:tc>
              <w:tc>
                <w:tcPr>
                  <w:tcW w:w="2840" w:type="dxa"/>
                  <w:tcBorders>
                    <w:tl2br w:val="nil"/>
                    <w:tr2bl w:val="nil"/>
                  </w:tcBorders>
                  <w:vAlign w:val="center"/>
                </w:tcPr>
                <w:p w14:paraId="3C06E8B7">
                  <w:pPr>
                    <w:jc w:val="center"/>
                    <w:rPr>
                      <w:rFonts w:hint="default" w:ascii="Times New Roman" w:hAnsi="Times New Roman" w:cs="Times New Roman"/>
                      <w:sz w:val="21"/>
                      <w:szCs w:val="21"/>
                    </w:rPr>
                  </w:pPr>
                  <w:r>
                    <w:rPr>
                      <w:rFonts w:hint="default" w:ascii="Times New Roman" w:hAnsi="Times New Roman" w:cs="Times New Roman"/>
                      <w:sz w:val="21"/>
                      <w:szCs w:val="21"/>
                    </w:rPr>
                    <w:t>85</w:t>
                  </w:r>
                </w:p>
              </w:tc>
            </w:tr>
          </w:tbl>
          <w:p w14:paraId="543E7E3E">
            <w:pPr>
              <w:spacing w:before="39" w:line="360" w:lineRule="auto"/>
              <w:ind w:firstLine="588"/>
              <w:rPr>
                <w:rFonts w:hint="default" w:ascii="Times New Roman" w:hAnsi="Times New Roman" w:cs="Times New Roman"/>
              </w:rPr>
            </w:pPr>
            <w:r>
              <w:rPr>
                <w:rFonts w:hint="default" w:ascii="Times New Roman" w:hAnsi="Times New Roman" w:cs="Times New Roman"/>
              </w:rPr>
              <w:t>②施工机械噪声预测模型</w:t>
            </w:r>
          </w:p>
          <w:p w14:paraId="1C80B08C">
            <w:pPr>
              <w:spacing w:line="360" w:lineRule="auto"/>
              <w:ind w:firstLine="480" w:firstLineChars="200"/>
              <w:rPr>
                <w:rFonts w:hint="default" w:ascii="Times New Roman" w:hAnsi="Times New Roman" w:cs="Times New Roman"/>
              </w:rPr>
            </w:pPr>
            <w:r>
              <w:rPr>
                <w:rFonts w:hint="default" w:ascii="Times New Roman" w:hAnsi="Times New Roman" w:cs="Times New Roman"/>
              </w:rPr>
              <w:t>项目施工期装修阶段单台设备噪声值最大，约95dB(A)，但由于装修施工多在室内进行，施工噪声经过墙体隔音、距离衰减、空气吸收后噪声值可降低。项目主体建设及配套设施建设阶段噪声值相对较大，但是主体建设及配套设施建设阶段，人工施工环节较多，使用机械设备较少。基础施工阶段</w:t>
            </w:r>
            <w:r>
              <w:rPr>
                <w:rFonts w:hint="default" w:ascii="Times New Roman" w:hAnsi="Times New Roman" w:cs="Times New Roman"/>
                <w:lang w:eastAsia="zh-CN"/>
              </w:rPr>
              <w:t>，</w:t>
            </w:r>
            <w:r>
              <w:rPr>
                <w:rFonts w:hint="default" w:ascii="Times New Roman" w:hAnsi="Times New Roman" w:cs="Times New Roman"/>
              </w:rPr>
              <w:t>由于本项目基础施工阶段工程量较小，噪声影响时间不长，因此，本项目施工过程中取土石方阶段机械噪声源强进行预测。</w:t>
            </w:r>
          </w:p>
          <w:p w14:paraId="3E7B50EE">
            <w:pPr>
              <w:spacing w:line="360" w:lineRule="auto"/>
              <w:ind w:firstLine="480" w:firstLineChars="200"/>
              <w:rPr>
                <w:rFonts w:hint="default" w:ascii="Times New Roman" w:hAnsi="Times New Roman" w:cs="Times New Roman"/>
              </w:rPr>
            </w:pPr>
            <w:r>
              <w:rPr>
                <w:rFonts w:hint="default" w:ascii="Times New Roman" w:hAnsi="Times New Roman" w:cs="Times New Roman"/>
              </w:rPr>
              <w:t>噪声从声源传播到受声点，受传播距离，空气吸收，阻挡物的反射与屏障等因 素的影响而产生衰减。用A声级进行预测时</w:t>
            </w:r>
            <w:r>
              <w:rPr>
                <w:rFonts w:hint="default" w:ascii="Times New Roman" w:hAnsi="Times New Roman" w:cs="Times New Roman"/>
                <w:lang w:eastAsia="zh-CN"/>
              </w:rPr>
              <w:t>，</w:t>
            </w:r>
            <w:r>
              <w:rPr>
                <w:rFonts w:hint="default" w:ascii="Times New Roman" w:hAnsi="Times New Roman" w:cs="Times New Roman"/>
              </w:rPr>
              <w:t>其预测模式如下：</w:t>
            </w:r>
          </w:p>
          <w:p w14:paraId="271E698D">
            <w:pPr>
              <w:spacing w:line="360" w:lineRule="auto"/>
              <w:ind w:firstLine="960" w:firstLineChars="400"/>
              <w:rPr>
                <w:rFonts w:hint="default" w:ascii="Times New Roman" w:hAnsi="Times New Roman" w:cs="Times New Roman"/>
              </w:rPr>
            </w:pPr>
            <w:r>
              <w:rPr>
                <w:rFonts w:hint="default" w:ascii="Times New Roman" w:hAnsi="Times New Roman" w:cs="Times New Roman"/>
              </w:rPr>
              <w:t>Lp（r）=Lp（r0）－（Adiv+ Abar+Aatm+Agr+ Amisc）</w:t>
            </w:r>
          </w:p>
          <w:p w14:paraId="1DFA7EB7">
            <w:pPr>
              <w:spacing w:line="360" w:lineRule="auto"/>
              <w:ind w:firstLine="720" w:firstLineChars="300"/>
              <w:rPr>
                <w:rFonts w:hint="default" w:ascii="Times New Roman" w:hAnsi="Times New Roman" w:cs="Times New Roman"/>
              </w:rPr>
            </w:pPr>
            <w:r>
              <w:rPr>
                <w:rFonts w:hint="default" w:ascii="Times New Roman" w:hAnsi="Times New Roman" w:cs="Times New Roman"/>
              </w:rPr>
              <w:t>式中，Lp（r ）－距声源r处的A声级；</w:t>
            </w:r>
          </w:p>
          <w:p w14:paraId="541E8181">
            <w:pPr>
              <w:spacing w:line="360" w:lineRule="auto"/>
              <w:ind w:firstLine="1200" w:firstLineChars="500"/>
              <w:rPr>
                <w:rFonts w:hint="default" w:ascii="Times New Roman" w:hAnsi="Times New Roman" w:cs="Times New Roman"/>
              </w:rPr>
            </w:pPr>
            <w:r>
              <w:rPr>
                <w:rFonts w:hint="default" w:ascii="Times New Roman" w:hAnsi="Times New Roman" w:cs="Times New Roman"/>
              </w:rPr>
              <w:t>Lp (r0)－参考位置r0处的A声级；</w:t>
            </w:r>
          </w:p>
          <w:p w14:paraId="2DEF4CC3">
            <w:pPr>
              <w:spacing w:line="360" w:lineRule="auto"/>
              <w:ind w:firstLine="1200" w:firstLineChars="500"/>
              <w:rPr>
                <w:rFonts w:hint="default" w:ascii="Times New Roman" w:hAnsi="Times New Roman" w:cs="Times New Roman"/>
              </w:rPr>
            </w:pPr>
            <w:r>
              <w:rPr>
                <w:rFonts w:hint="default" w:ascii="Times New Roman" w:hAnsi="Times New Roman" w:cs="Times New Roman"/>
              </w:rPr>
              <w:t>Adiv－声波几何发散所引起的A声级衰减量，即距离所引起的无指向性点声源几何发散衰减的基本公式为：Adiv＝20lg(r/r0)；</w:t>
            </w:r>
          </w:p>
          <w:p w14:paraId="6B62B904">
            <w:pPr>
              <w:spacing w:line="360" w:lineRule="auto"/>
              <w:ind w:firstLine="1200" w:firstLineChars="500"/>
              <w:rPr>
                <w:rFonts w:hint="default" w:ascii="Times New Roman" w:hAnsi="Times New Roman" w:cs="Times New Roman"/>
              </w:rPr>
            </w:pPr>
            <w:r>
              <w:rPr>
                <w:rFonts w:hint="default" w:ascii="Times New Roman" w:hAnsi="Times New Roman" w:cs="Times New Roman"/>
              </w:rPr>
              <w:t>Abar－屏障物所引起</w:t>
            </w:r>
            <w:r>
              <w:rPr>
                <w:rFonts w:hint="eastAsia" w:ascii="Times New Roman" w:hAnsi="Times New Roman" w:cs="Times New Roman"/>
                <w:lang w:eastAsia="zh-CN"/>
              </w:rPr>
              <w:t>的</w:t>
            </w:r>
            <w:r>
              <w:rPr>
                <w:rFonts w:hint="default" w:ascii="Times New Roman" w:hAnsi="Times New Roman" w:cs="Times New Roman"/>
              </w:rPr>
              <w:t>A声级衰减量，屏障物通常包括建筑物墙壁的阻挡、建筑物声屏障效应以及植物的吸收屏障效应等，对于产生阻挡的植物而言，只有通过密集的植物丛时</w:t>
            </w:r>
            <w:r>
              <w:rPr>
                <w:rFonts w:hint="default" w:ascii="Times New Roman" w:hAnsi="Times New Roman" w:cs="Times New Roman"/>
                <w:lang w:eastAsia="zh-CN"/>
              </w:rPr>
              <w:t>，</w:t>
            </w:r>
            <w:r>
              <w:rPr>
                <w:rFonts w:hint="default" w:ascii="Times New Roman" w:hAnsi="Times New Roman" w:cs="Times New Roman"/>
              </w:rPr>
              <w:t>才会对噪声产生阻挡衰减作用。</w:t>
            </w:r>
          </w:p>
          <w:p w14:paraId="77580311">
            <w:pPr>
              <w:spacing w:line="360" w:lineRule="auto"/>
              <w:ind w:firstLine="1200" w:firstLineChars="500"/>
              <w:rPr>
                <w:rFonts w:hint="default" w:ascii="Times New Roman" w:hAnsi="Times New Roman" w:cs="Times New Roman"/>
              </w:rPr>
            </w:pPr>
            <w:r>
              <w:rPr>
                <w:rFonts w:hint="default" w:ascii="Times New Roman" w:hAnsi="Times New Roman" w:cs="Times New Roman"/>
              </w:rPr>
              <w:t>Aatm－空气吸收所引起的A 声级衰减量，其计算公式为： Aatm=αΔr/100</w:t>
            </w:r>
            <w:r>
              <w:rPr>
                <w:rFonts w:hint="default" w:ascii="Times New Roman" w:hAnsi="Times New Roman" w:cs="Times New Roman"/>
                <w:lang w:eastAsia="zh-CN"/>
              </w:rPr>
              <w:t>，</w:t>
            </w:r>
            <w:r>
              <w:rPr>
                <w:rFonts w:hint="default" w:ascii="Times New Roman" w:hAnsi="Times New Roman" w:cs="Times New Roman"/>
              </w:rPr>
              <w:t>其值与温度、湿度以及噪声的频率有关，一般来讲，对高频部分的空气吸声系数很大，而对中低频部分则很小，Δr是预测点到参考位置点的距离</w:t>
            </w:r>
            <w:r>
              <w:rPr>
                <w:rFonts w:hint="default" w:ascii="Times New Roman" w:hAnsi="Times New Roman" w:cs="Times New Roman"/>
                <w:lang w:eastAsia="zh-CN"/>
              </w:rPr>
              <w:t>，</w:t>
            </w:r>
            <w:r>
              <w:rPr>
                <w:rFonts w:hint="default" w:ascii="Times New Roman" w:hAnsi="Times New Roman" w:cs="Times New Roman"/>
              </w:rPr>
              <w:t>当Δr&lt;200m 时，Aatm 近似为零，一般情况下可忽略不计。</w:t>
            </w:r>
          </w:p>
          <w:p w14:paraId="1249EAC7">
            <w:pPr>
              <w:spacing w:line="360" w:lineRule="auto"/>
              <w:ind w:firstLine="1200" w:firstLineChars="500"/>
              <w:rPr>
                <w:rFonts w:hint="default" w:ascii="Times New Roman" w:hAnsi="Times New Roman" w:cs="Times New Roman"/>
              </w:rPr>
            </w:pPr>
            <w:r>
              <w:rPr>
                <w:rFonts w:hint="default" w:ascii="Times New Roman" w:hAnsi="Times New Roman" w:cs="Times New Roman"/>
              </w:rPr>
              <w:t>Agr－地面效应所引起的A声级衰减量。</w:t>
            </w:r>
          </w:p>
          <w:p w14:paraId="526BA069">
            <w:pPr>
              <w:spacing w:before="40" w:line="360" w:lineRule="auto"/>
              <w:ind w:firstLine="1065" w:firstLineChars="444"/>
              <w:rPr>
                <w:rFonts w:hint="default" w:ascii="Times New Roman" w:hAnsi="Times New Roman" w:cs="Times New Roman"/>
              </w:rPr>
            </w:pPr>
            <w:r>
              <w:rPr>
                <w:rFonts w:hint="default" w:ascii="Times New Roman" w:hAnsi="Times New Roman" w:cs="Times New Roman"/>
              </w:rPr>
              <w:t>Amisc－附加A声级衰减量，附加声级衰减包括通过工业场所、房屋群的衰 减等。一般情况下的环境影响评价中，不需考虑风、云、雾及温度梯度所引起的附加影响。</w:t>
            </w:r>
          </w:p>
          <w:p w14:paraId="5725BFEF">
            <w:pPr>
              <w:spacing w:line="360" w:lineRule="auto"/>
              <w:ind w:firstLine="1200" w:firstLineChars="500"/>
              <w:rPr>
                <w:rFonts w:hint="default" w:ascii="Times New Roman" w:hAnsi="Times New Roman" w:cs="Times New Roman"/>
              </w:rPr>
            </w:pPr>
            <w:r>
              <w:rPr>
                <w:rFonts w:hint="default" w:ascii="Times New Roman" w:hAnsi="Times New Roman" w:cs="Times New Roman"/>
              </w:rPr>
              <w:t>多个机械同时作业的总等效连续A  声级计算公式为：</w:t>
            </w:r>
          </w:p>
          <w:p w14:paraId="69DC447A">
            <w:pPr>
              <w:spacing w:line="36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3201670" cy="502920"/>
                  <wp:effectExtent l="0" t="0" r="17780" b="11430"/>
                  <wp:docPr id="1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3"/>
                          <pic:cNvPicPr>
                            <a:picLocks noChangeAspect="1"/>
                          </pic:cNvPicPr>
                        </pic:nvPicPr>
                        <pic:blipFill>
                          <a:blip r:embed="rId28"/>
                          <a:stretch>
                            <a:fillRect/>
                          </a:stretch>
                        </pic:blipFill>
                        <pic:spPr>
                          <a:xfrm>
                            <a:off x="0" y="0"/>
                            <a:ext cx="3201670" cy="502920"/>
                          </a:xfrm>
                          <a:prstGeom prst="rect">
                            <a:avLst/>
                          </a:prstGeom>
                          <a:noFill/>
                          <a:ln>
                            <a:noFill/>
                          </a:ln>
                        </pic:spPr>
                      </pic:pic>
                    </a:graphicData>
                  </a:graphic>
                </wp:inline>
              </w:drawing>
            </w:r>
          </w:p>
          <w:p w14:paraId="38AA76C8">
            <w:pPr>
              <w:spacing w:line="360" w:lineRule="auto"/>
              <w:ind w:firstLine="480" w:firstLineChars="200"/>
              <w:rPr>
                <w:rFonts w:hint="default" w:ascii="Times New Roman" w:hAnsi="Times New Roman" w:cs="Times New Roman"/>
              </w:rPr>
            </w:pPr>
            <w:r>
              <w:rPr>
                <w:rFonts w:hint="default" w:ascii="Times New Roman" w:hAnsi="Times New Roman" w:cs="Times New Roman"/>
              </w:rPr>
              <w:t>式中</w:t>
            </w:r>
            <w:r>
              <w:rPr>
                <w:rFonts w:hint="default" w:ascii="Times New Roman" w:hAnsi="Times New Roman" w:cs="Times New Roman"/>
                <w:lang w:val="en-US" w:eastAsia="zh-CN"/>
              </w:rPr>
              <w:t xml:space="preserve">：  </w:t>
            </w:r>
            <w:r>
              <w:rPr>
                <w:rFonts w:hint="default" w:ascii="Times New Roman" w:hAnsi="Times New Roman" w:cs="Times New Roman"/>
              </w:rPr>
              <w:t>Lpi－预测点（r）处，第 i倍频带声压级，dB；</w:t>
            </w:r>
          </w:p>
          <w:p w14:paraId="0B4D2F9B">
            <w:pPr>
              <w:spacing w:line="360" w:lineRule="auto"/>
              <w:ind w:firstLine="480" w:firstLineChars="200"/>
              <w:rPr>
                <w:rFonts w:hint="default" w:ascii="Times New Roman" w:hAnsi="Times New Roman" w:cs="Times New Roman"/>
              </w:rPr>
            </w:pPr>
            <w:r>
              <w:rPr>
                <w:rFonts w:hint="default" w:ascii="Times New Roman" w:hAnsi="Times New Roman" w:cs="Times New Roman"/>
              </w:rPr>
              <w:t>ΔLi－第i倍频带的 A计权网格修正值，dB，本项目取 0；</w:t>
            </w:r>
          </w:p>
          <w:p w14:paraId="7E45800F">
            <w:pPr>
              <w:spacing w:before="39" w:line="360" w:lineRule="auto"/>
              <w:ind w:firstLine="588"/>
              <w:rPr>
                <w:rFonts w:hint="default" w:ascii="Times New Roman" w:hAnsi="Times New Roman" w:cs="Times New Roman"/>
              </w:rPr>
            </w:pPr>
            <w:r>
              <w:rPr>
                <w:rFonts w:hint="default" w:ascii="Times New Roman" w:hAnsi="Times New Roman" w:cs="Times New Roman"/>
              </w:rPr>
              <w:t>③施工期噪声影响预测结果</w:t>
            </w:r>
          </w:p>
          <w:p w14:paraId="152F6881">
            <w:pPr>
              <w:spacing w:line="360" w:lineRule="auto"/>
              <w:ind w:firstLine="480" w:firstLineChars="200"/>
              <w:rPr>
                <w:rFonts w:hint="default" w:ascii="Times New Roman" w:hAnsi="Times New Roman" w:cs="Times New Roman"/>
              </w:rPr>
            </w:pPr>
            <w:r>
              <w:rPr>
                <w:rFonts w:hint="default" w:ascii="Times New Roman" w:hAnsi="Times New Roman" w:cs="Times New Roman"/>
              </w:rPr>
              <w:t>1）施工期土石方阶段单台机械设备噪声预测值，具体见下表。</w:t>
            </w:r>
          </w:p>
          <w:p w14:paraId="62C88D5B">
            <w:pPr>
              <w:spacing w:line="240" w:lineRule="auto"/>
              <w:jc w:val="center"/>
              <w:rPr>
                <w:rFonts w:hint="default" w:ascii="Times New Roman" w:hAnsi="Times New Roman" w:cs="Times New Roman"/>
                <w:b/>
                <w:bCs/>
                <w:sz w:val="21"/>
                <w:szCs w:val="21"/>
              </w:rPr>
            </w:pPr>
            <w:r>
              <w:rPr>
                <w:rFonts w:hint="default" w:ascii="Times New Roman" w:hAnsi="Times New Roman" w:cs="Times New Roman"/>
                <w:b/>
                <w:bCs/>
                <w:sz w:val="21"/>
                <w:szCs w:val="21"/>
                <w:lang w:val="en-US" w:eastAsia="zh-CN"/>
              </w:rPr>
              <w:t>表 4-4 单台机械设备的噪声预测值单位： dB（A）</w:t>
            </w:r>
          </w:p>
          <w:tbl>
            <w:tblPr>
              <w:tblStyle w:val="33"/>
              <w:tblW w:w="8518" w:type="dxa"/>
              <w:tblInd w:w="-11"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682"/>
              <w:gridCol w:w="688"/>
              <w:gridCol w:w="837"/>
              <w:gridCol w:w="837"/>
              <w:gridCol w:w="838"/>
              <w:gridCol w:w="843"/>
              <w:gridCol w:w="925"/>
              <w:gridCol w:w="922"/>
              <w:gridCol w:w="946"/>
            </w:tblGrid>
            <w:tr w14:paraId="3B4F13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682" w:type="dxa"/>
                  <w:vMerge w:val="restart"/>
                  <w:tcBorders>
                    <w:tl2br w:val="nil"/>
                    <w:tr2bl w:val="nil"/>
                  </w:tcBorders>
                  <w:vAlign w:val="center"/>
                </w:tcPr>
                <w:p w14:paraId="5A4078D8">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机械类型</w:t>
                  </w:r>
                </w:p>
              </w:tc>
              <w:tc>
                <w:tcPr>
                  <w:tcW w:w="6836" w:type="dxa"/>
                  <w:gridSpan w:val="8"/>
                  <w:tcBorders>
                    <w:tl2br w:val="nil"/>
                    <w:tr2bl w:val="nil"/>
                  </w:tcBorders>
                  <w:vAlign w:val="center"/>
                </w:tcPr>
                <w:p w14:paraId="2A7E28ED">
                  <w:pPr>
                    <w:jc w:val="center"/>
                    <w:rPr>
                      <w:rFonts w:hint="default" w:ascii="Times New Roman" w:hAnsi="Times New Roman" w:cs="Times New Roman"/>
                      <w:sz w:val="21"/>
                      <w:szCs w:val="21"/>
                    </w:rPr>
                  </w:pPr>
                  <w:r>
                    <w:rPr>
                      <w:rFonts w:hint="default" w:ascii="Times New Roman" w:hAnsi="Times New Roman" w:cs="Times New Roman"/>
                      <w:b/>
                      <w:bCs/>
                      <w:sz w:val="21"/>
                      <w:szCs w:val="21"/>
                    </w:rPr>
                    <w:t>噪声预测衰减值</w:t>
                  </w:r>
                </w:p>
              </w:tc>
            </w:tr>
            <w:tr w14:paraId="3CBBBFD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682" w:type="dxa"/>
                  <w:vMerge w:val="continue"/>
                  <w:tcBorders>
                    <w:tl2br w:val="nil"/>
                    <w:tr2bl w:val="nil"/>
                  </w:tcBorders>
                  <w:vAlign w:val="center"/>
                </w:tcPr>
                <w:p w14:paraId="6AE4536C">
                  <w:pPr>
                    <w:jc w:val="center"/>
                    <w:rPr>
                      <w:rFonts w:hint="default" w:ascii="Times New Roman" w:hAnsi="Times New Roman" w:cs="Times New Roman"/>
                      <w:b/>
                      <w:bCs/>
                      <w:sz w:val="21"/>
                      <w:szCs w:val="21"/>
                    </w:rPr>
                  </w:pPr>
                </w:p>
              </w:tc>
              <w:tc>
                <w:tcPr>
                  <w:tcW w:w="688" w:type="dxa"/>
                  <w:tcBorders>
                    <w:tl2br w:val="nil"/>
                    <w:tr2bl w:val="nil"/>
                  </w:tcBorders>
                  <w:vAlign w:val="center"/>
                </w:tcPr>
                <w:p w14:paraId="79A97760">
                  <w:pPr>
                    <w:jc w:val="center"/>
                    <w:rPr>
                      <w:rFonts w:hint="default" w:ascii="Times New Roman" w:hAnsi="Times New Roman" w:cs="Times New Roman"/>
                      <w:sz w:val="21"/>
                      <w:szCs w:val="21"/>
                    </w:rPr>
                  </w:pPr>
                  <w:r>
                    <w:rPr>
                      <w:rFonts w:hint="default" w:ascii="Times New Roman" w:hAnsi="Times New Roman" w:cs="Times New Roman"/>
                      <w:sz w:val="21"/>
                      <w:szCs w:val="21"/>
                    </w:rPr>
                    <w:t>5m</w:t>
                  </w:r>
                </w:p>
              </w:tc>
              <w:tc>
                <w:tcPr>
                  <w:tcW w:w="837" w:type="dxa"/>
                  <w:tcBorders>
                    <w:tl2br w:val="nil"/>
                    <w:tr2bl w:val="nil"/>
                  </w:tcBorders>
                  <w:vAlign w:val="center"/>
                </w:tcPr>
                <w:p w14:paraId="65EE2745">
                  <w:pPr>
                    <w:jc w:val="center"/>
                    <w:rPr>
                      <w:rFonts w:hint="default" w:ascii="Times New Roman" w:hAnsi="Times New Roman" w:cs="Times New Roman"/>
                      <w:sz w:val="21"/>
                      <w:szCs w:val="21"/>
                    </w:rPr>
                  </w:pPr>
                  <w:r>
                    <w:rPr>
                      <w:rFonts w:hint="default" w:ascii="Times New Roman" w:hAnsi="Times New Roman" w:cs="Times New Roman"/>
                      <w:sz w:val="21"/>
                      <w:szCs w:val="21"/>
                    </w:rPr>
                    <w:t>10m</w:t>
                  </w:r>
                </w:p>
              </w:tc>
              <w:tc>
                <w:tcPr>
                  <w:tcW w:w="837" w:type="dxa"/>
                  <w:tcBorders>
                    <w:tl2br w:val="nil"/>
                    <w:tr2bl w:val="nil"/>
                  </w:tcBorders>
                  <w:vAlign w:val="center"/>
                </w:tcPr>
                <w:p w14:paraId="067D0D5C">
                  <w:pPr>
                    <w:jc w:val="center"/>
                    <w:rPr>
                      <w:rFonts w:hint="default" w:ascii="Times New Roman" w:hAnsi="Times New Roman" w:cs="Times New Roman"/>
                      <w:sz w:val="21"/>
                      <w:szCs w:val="21"/>
                    </w:rPr>
                  </w:pPr>
                  <w:r>
                    <w:rPr>
                      <w:rFonts w:hint="default" w:ascii="Times New Roman" w:hAnsi="Times New Roman" w:cs="Times New Roman"/>
                      <w:sz w:val="21"/>
                      <w:szCs w:val="21"/>
                    </w:rPr>
                    <w:t>20m</w:t>
                  </w:r>
                </w:p>
              </w:tc>
              <w:tc>
                <w:tcPr>
                  <w:tcW w:w="838" w:type="dxa"/>
                  <w:tcBorders>
                    <w:tl2br w:val="nil"/>
                    <w:tr2bl w:val="nil"/>
                  </w:tcBorders>
                  <w:vAlign w:val="center"/>
                </w:tcPr>
                <w:p w14:paraId="5D1A3DEB">
                  <w:pPr>
                    <w:jc w:val="center"/>
                    <w:rPr>
                      <w:rFonts w:hint="default" w:ascii="Times New Roman" w:hAnsi="Times New Roman" w:cs="Times New Roman"/>
                      <w:sz w:val="21"/>
                      <w:szCs w:val="21"/>
                    </w:rPr>
                  </w:pPr>
                  <w:r>
                    <w:rPr>
                      <w:rFonts w:hint="default" w:ascii="Times New Roman" w:hAnsi="Times New Roman" w:cs="Times New Roman"/>
                      <w:sz w:val="21"/>
                      <w:szCs w:val="21"/>
                    </w:rPr>
                    <w:t>30m</w:t>
                  </w:r>
                </w:p>
              </w:tc>
              <w:tc>
                <w:tcPr>
                  <w:tcW w:w="843" w:type="dxa"/>
                  <w:tcBorders>
                    <w:tl2br w:val="nil"/>
                    <w:tr2bl w:val="nil"/>
                  </w:tcBorders>
                  <w:vAlign w:val="center"/>
                </w:tcPr>
                <w:p w14:paraId="3A127348">
                  <w:pPr>
                    <w:jc w:val="center"/>
                    <w:rPr>
                      <w:rFonts w:hint="default" w:ascii="Times New Roman" w:hAnsi="Times New Roman" w:cs="Times New Roman"/>
                      <w:sz w:val="21"/>
                      <w:szCs w:val="21"/>
                    </w:rPr>
                  </w:pPr>
                  <w:r>
                    <w:rPr>
                      <w:rFonts w:hint="default" w:ascii="Times New Roman" w:hAnsi="Times New Roman" w:cs="Times New Roman"/>
                      <w:sz w:val="21"/>
                      <w:szCs w:val="21"/>
                    </w:rPr>
                    <w:t>50m</w:t>
                  </w:r>
                </w:p>
              </w:tc>
              <w:tc>
                <w:tcPr>
                  <w:tcW w:w="925" w:type="dxa"/>
                  <w:tcBorders>
                    <w:tl2br w:val="nil"/>
                    <w:tr2bl w:val="nil"/>
                  </w:tcBorders>
                  <w:vAlign w:val="center"/>
                </w:tcPr>
                <w:p w14:paraId="49BEBB18">
                  <w:pPr>
                    <w:jc w:val="center"/>
                    <w:rPr>
                      <w:rFonts w:hint="default" w:ascii="Times New Roman" w:hAnsi="Times New Roman" w:cs="Times New Roman"/>
                      <w:sz w:val="21"/>
                      <w:szCs w:val="21"/>
                    </w:rPr>
                  </w:pPr>
                  <w:r>
                    <w:rPr>
                      <w:rFonts w:hint="default" w:ascii="Times New Roman" w:hAnsi="Times New Roman" w:cs="Times New Roman"/>
                      <w:sz w:val="21"/>
                      <w:szCs w:val="21"/>
                    </w:rPr>
                    <w:t>100m</w:t>
                  </w:r>
                </w:p>
              </w:tc>
              <w:tc>
                <w:tcPr>
                  <w:tcW w:w="922" w:type="dxa"/>
                  <w:tcBorders>
                    <w:tl2br w:val="nil"/>
                    <w:tr2bl w:val="nil"/>
                  </w:tcBorders>
                  <w:vAlign w:val="center"/>
                </w:tcPr>
                <w:p w14:paraId="482E77D7">
                  <w:pPr>
                    <w:jc w:val="center"/>
                    <w:rPr>
                      <w:rFonts w:hint="default" w:ascii="Times New Roman" w:hAnsi="Times New Roman" w:cs="Times New Roman"/>
                      <w:sz w:val="21"/>
                      <w:szCs w:val="21"/>
                    </w:rPr>
                  </w:pPr>
                  <w:r>
                    <w:rPr>
                      <w:rFonts w:hint="default" w:ascii="Times New Roman" w:hAnsi="Times New Roman" w:cs="Times New Roman"/>
                      <w:sz w:val="21"/>
                      <w:szCs w:val="21"/>
                    </w:rPr>
                    <w:t>150m</w:t>
                  </w:r>
                </w:p>
              </w:tc>
              <w:tc>
                <w:tcPr>
                  <w:tcW w:w="946" w:type="dxa"/>
                  <w:tcBorders>
                    <w:tl2br w:val="nil"/>
                    <w:tr2bl w:val="nil"/>
                  </w:tcBorders>
                  <w:vAlign w:val="center"/>
                </w:tcPr>
                <w:p w14:paraId="7D98006D">
                  <w:pPr>
                    <w:jc w:val="center"/>
                    <w:rPr>
                      <w:rFonts w:hint="default" w:ascii="Times New Roman" w:hAnsi="Times New Roman" w:cs="Times New Roman"/>
                      <w:sz w:val="21"/>
                      <w:szCs w:val="21"/>
                    </w:rPr>
                  </w:pPr>
                  <w:r>
                    <w:rPr>
                      <w:rFonts w:hint="default" w:ascii="Times New Roman" w:hAnsi="Times New Roman" w:cs="Times New Roman"/>
                      <w:sz w:val="21"/>
                      <w:szCs w:val="21"/>
                    </w:rPr>
                    <w:t>200m</w:t>
                  </w:r>
                </w:p>
              </w:tc>
            </w:tr>
            <w:tr w14:paraId="528D2BD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682" w:type="dxa"/>
                  <w:tcBorders>
                    <w:tl2br w:val="nil"/>
                    <w:tr2bl w:val="nil"/>
                  </w:tcBorders>
                  <w:vAlign w:val="center"/>
                </w:tcPr>
                <w:p w14:paraId="08084C0E">
                  <w:pPr>
                    <w:spacing w:before="65" w:line="185" w:lineRule="auto"/>
                    <w:ind w:firstLine="347"/>
                    <w:jc w:val="center"/>
                    <w:rPr>
                      <w:rFonts w:hint="default" w:ascii="Times New Roman" w:hAnsi="Times New Roman" w:cs="Times New Roman"/>
                      <w:b/>
                      <w:bCs/>
                      <w:sz w:val="21"/>
                      <w:szCs w:val="21"/>
                    </w:rPr>
                  </w:pPr>
                  <w:r>
                    <w:rPr>
                      <w:rFonts w:hint="default" w:ascii="Times New Roman" w:hAnsi="Times New Roman" w:cs="Times New Roman"/>
                      <w:b/>
                      <w:bCs/>
                      <w:sz w:val="21"/>
                      <w:szCs w:val="21"/>
                    </w:rPr>
                    <w:t>挖掘机</w:t>
                  </w:r>
                </w:p>
              </w:tc>
              <w:tc>
                <w:tcPr>
                  <w:tcW w:w="688" w:type="dxa"/>
                  <w:tcBorders>
                    <w:tl2br w:val="nil"/>
                    <w:tr2bl w:val="nil"/>
                  </w:tcBorders>
                  <w:vAlign w:val="center"/>
                </w:tcPr>
                <w:p w14:paraId="3D554815">
                  <w:pPr>
                    <w:spacing w:before="101"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72</w:t>
                  </w:r>
                </w:p>
              </w:tc>
              <w:tc>
                <w:tcPr>
                  <w:tcW w:w="837" w:type="dxa"/>
                  <w:tcBorders>
                    <w:tl2br w:val="nil"/>
                    <w:tr2bl w:val="nil"/>
                  </w:tcBorders>
                  <w:vAlign w:val="center"/>
                </w:tcPr>
                <w:p w14:paraId="684458E5">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66</w:t>
                  </w:r>
                </w:p>
              </w:tc>
              <w:tc>
                <w:tcPr>
                  <w:tcW w:w="837" w:type="dxa"/>
                  <w:tcBorders>
                    <w:tl2br w:val="nil"/>
                    <w:tr2bl w:val="nil"/>
                  </w:tcBorders>
                  <w:vAlign w:val="center"/>
                </w:tcPr>
                <w:p w14:paraId="6F832FA5">
                  <w:pPr>
                    <w:spacing w:before="102"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60</w:t>
                  </w:r>
                </w:p>
              </w:tc>
              <w:tc>
                <w:tcPr>
                  <w:tcW w:w="838" w:type="dxa"/>
                  <w:tcBorders>
                    <w:tl2br w:val="nil"/>
                    <w:tr2bl w:val="nil"/>
                  </w:tcBorders>
                  <w:vAlign w:val="center"/>
                </w:tcPr>
                <w:p w14:paraId="4593543A">
                  <w:pPr>
                    <w:spacing w:before="102"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56</w:t>
                  </w:r>
                </w:p>
              </w:tc>
              <w:tc>
                <w:tcPr>
                  <w:tcW w:w="843" w:type="dxa"/>
                  <w:tcBorders>
                    <w:tl2br w:val="nil"/>
                    <w:tr2bl w:val="nil"/>
                  </w:tcBorders>
                  <w:vAlign w:val="center"/>
                </w:tcPr>
                <w:p w14:paraId="4A813CB9">
                  <w:pPr>
                    <w:spacing w:before="102"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52</w:t>
                  </w:r>
                </w:p>
              </w:tc>
              <w:tc>
                <w:tcPr>
                  <w:tcW w:w="925" w:type="dxa"/>
                  <w:tcBorders>
                    <w:tl2br w:val="nil"/>
                    <w:tr2bl w:val="nil"/>
                  </w:tcBorders>
                  <w:vAlign w:val="center"/>
                </w:tcPr>
                <w:p w14:paraId="7BF8CA81">
                  <w:pPr>
                    <w:spacing w:before="102"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46</w:t>
                  </w:r>
                </w:p>
              </w:tc>
              <w:tc>
                <w:tcPr>
                  <w:tcW w:w="922" w:type="dxa"/>
                  <w:tcBorders>
                    <w:tl2br w:val="nil"/>
                    <w:tr2bl w:val="nil"/>
                  </w:tcBorders>
                  <w:vAlign w:val="center"/>
                </w:tcPr>
                <w:p w14:paraId="04CA976B">
                  <w:pPr>
                    <w:spacing w:before="101"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42</w:t>
                  </w:r>
                </w:p>
              </w:tc>
              <w:tc>
                <w:tcPr>
                  <w:tcW w:w="946" w:type="dxa"/>
                  <w:tcBorders>
                    <w:tl2br w:val="nil"/>
                    <w:tr2bl w:val="nil"/>
                  </w:tcBorders>
                  <w:vAlign w:val="center"/>
                </w:tcPr>
                <w:p w14:paraId="497896C4">
                  <w:pPr>
                    <w:spacing w:before="102" w:line="180" w:lineRule="auto"/>
                    <w:ind w:firstLine="264"/>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36D0963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682" w:type="dxa"/>
                  <w:tcBorders>
                    <w:tl2br w:val="nil"/>
                    <w:tr2bl w:val="nil"/>
                  </w:tcBorders>
                  <w:vAlign w:val="center"/>
                </w:tcPr>
                <w:p w14:paraId="770A5FD9">
                  <w:pPr>
                    <w:spacing w:before="66" w:line="185" w:lineRule="auto"/>
                    <w:ind w:firstLine="348"/>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推土机</w:t>
                  </w:r>
                </w:p>
              </w:tc>
              <w:tc>
                <w:tcPr>
                  <w:tcW w:w="688" w:type="dxa"/>
                  <w:tcBorders>
                    <w:tl2br w:val="nil"/>
                    <w:tr2bl w:val="nil"/>
                  </w:tcBorders>
                  <w:vAlign w:val="center"/>
                </w:tcPr>
                <w:p w14:paraId="3805BF4E">
                  <w:pPr>
                    <w:spacing w:before="104" w:line="180" w:lineRule="auto"/>
                    <w:ind w:firstLine="167"/>
                    <w:jc w:val="center"/>
                    <w:rPr>
                      <w:rFonts w:hint="default" w:ascii="Times New Roman" w:hAnsi="Times New Roman" w:cs="Times New Roman"/>
                      <w:sz w:val="21"/>
                      <w:szCs w:val="21"/>
                    </w:rPr>
                  </w:pPr>
                  <w:r>
                    <w:rPr>
                      <w:rFonts w:hint="default" w:ascii="Times New Roman" w:hAnsi="Times New Roman" w:cs="Times New Roman"/>
                      <w:sz w:val="21"/>
                      <w:szCs w:val="21"/>
                    </w:rPr>
                    <w:t>71</w:t>
                  </w:r>
                </w:p>
              </w:tc>
              <w:tc>
                <w:tcPr>
                  <w:tcW w:w="837" w:type="dxa"/>
                  <w:tcBorders>
                    <w:tl2br w:val="nil"/>
                    <w:tr2bl w:val="nil"/>
                  </w:tcBorders>
                  <w:vAlign w:val="center"/>
                </w:tcPr>
                <w:p w14:paraId="6EF5DAE2">
                  <w:pPr>
                    <w:spacing w:before="104" w:line="180" w:lineRule="auto"/>
                    <w:ind w:firstLine="227"/>
                    <w:jc w:val="center"/>
                    <w:rPr>
                      <w:rFonts w:hint="default" w:ascii="Times New Roman" w:hAnsi="Times New Roman" w:cs="Times New Roman"/>
                      <w:sz w:val="21"/>
                      <w:szCs w:val="21"/>
                    </w:rPr>
                  </w:pPr>
                  <w:r>
                    <w:rPr>
                      <w:rFonts w:hint="default" w:ascii="Times New Roman" w:hAnsi="Times New Roman" w:cs="Times New Roman"/>
                      <w:sz w:val="21"/>
                      <w:szCs w:val="21"/>
                    </w:rPr>
                    <w:t>65</w:t>
                  </w:r>
                </w:p>
              </w:tc>
              <w:tc>
                <w:tcPr>
                  <w:tcW w:w="837" w:type="dxa"/>
                  <w:tcBorders>
                    <w:tl2br w:val="nil"/>
                    <w:tr2bl w:val="nil"/>
                  </w:tcBorders>
                  <w:vAlign w:val="center"/>
                </w:tcPr>
                <w:p w14:paraId="77A34FBB">
                  <w:pPr>
                    <w:spacing w:before="104" w:line="180" w:lineRule="auto"/>
                    <w:ind w:firstLine="228"/>
                    <w:jc w:val="center"/>
                    <w:rPr>
                      <w:rFonts w:hint="default" w:ascii="Times New Roman" w:hAnsi="Times New Roman" w:cs="Times New Roman"/>
                      <w:sz w:val="21"/>
                      <w:szCs w:val="21"/>
                    </w:rPr>
                  </w:pPr>
                  <w:r>
                    <w:rPr>
                      <w:rFonts w:hint="default" w:ascii="Times New Roman" w:hAnsi="Times New Roman" w:cs="Times New Roman"/>
                      <w:sz w:val="21"/>
                      <w:szCs w:val="21"/>
                    </w:rPr>
                    <w:t>59</w:t>
                  </w:r>
                </w:p>
              </w:tc>
              <w:tc>
                <w:tcPr>
                  <w:tcW w:w="838" w:type="dxa"/>
                  <w:tcBorders>
                    <w:tl2br w:val="nil"/>
                    <w:tr2bl w:val="nil"/>
                  </w:tcBorders>
                  <w:vAlign w:val="center"/>
                </w:tcPr>
                <w:p w14:paraId="5DB5FD1D">
                  <w:pPr>
                    <w:spacing w:before="107" w:line="180" w:lineRule="auto"/>
                    <w:ind w:firstLine="230"/>
                    <w:jc w:val="center"/>
                    <w:rPr>
                      <w:rFonts w:hint="default" w:ascii="Times New Roman" w:hAnsi="Times New Roman" w:cs="Times New Roman"/>
                      <w:sz w:val="21"/>
                      <w:szCs w:val="21"/>
                    </w:rPr>
                  </w:pPr>
                  <w:r>
                    <w:rPr>
                      <w:rFonts w:hint="default" w:ascii="Times New Roman" w:hAnsi="Times New Roman" w:cs="Times New Roman"/>
                      <w:sz w:val="21"/>
                      <w:szCs w:val="21"/>
                    </w:rPr>
                    <w:t>55</w:t>
                  </w:r>
                </w:p>
              </w:tc>
              <w:tc>
                <w:tcPr>
                  <w:tcW w:w="843" w:type="dxa"/>
                  <w:tcBorders>
                    <w:tl2br w:val="nil"/>
                    <w:tr2bl w:val="nil"/>
                  </w:tcBorders>
                  <w:vAlign w:val="center"/>
                </w:tcPr>
                <w:p w14:paraId="7F105A01">
                  <w:pPr>
                    <w:spacing w:before="104" w:line="180" w:lineRule="auto"/>
                    <w:ind w:firstLine="233"/>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925" w:type="dxa"/>
                  <w:tcBorders>
                    <w:tl2br w:val="nil"/>
                    <w:tr2bl w:val="nil"/>
                  </w:tcBorders>
                  <w:vAlign w:val="center"/>
                </w:tcPr>
                <w:p w14:paraId="5428E05D">
                  <w:pPr>
                    <w:spacing w:before="104" w:line="180" w:lineRule="auto"/>
                    <w:ind w:firstLine="259"/>
                    <w:jc w:val="center"/>
                    <w:rPr>
                      <w:rFonts w:hint="default" w:ascii="Times New Roman" w:hAnsi="Times New Roman" w:cs="Times New Roman"/>
                      <w:sz w:val="21"/>
                      <w:szCs w:val="21"/>
                    </w:rPr>
                  </w:pPr>
                  <w:r>
                    <w:rPr>
                      <w:rFonts w:hint="default" w:ascii="Times New Roman" w:hAnsi="Times New Roman" w:cs="Times New Roman"/>
                      <w:sz w:val="21"/>
                      <w:szCs w:val="21"/>
                    </w:rPr>
                    <w:t>45</w:t>
                  </w:r>
                </w:p>
              </w:tc>
              <w:tc>
                <w:tcPr>
                  <w:tcW w:w="922" w:type="dxa"/>
                  <w:tcBorders>
                    <w:tl2br w:val="nil"/>
                    <w:tr2bl w:val="nil"/>
                  </w:tcBorders>
                  <w:vAlign w:val="center"/>
                </w:tcPr>
                <w:p w14:paraId="0B2E5271">
                  <w:pPr>
                    <w:spacing w:before="104" w:line="180" w:lineRule="auto"/>
                    <w:ind w:firstLine="258"/>
                    <w:jc w:val="center"/>
                    <w:rPr>
                      <w:rFonts w:hint="default" w:ascii="Times New Roman" w:hAnsi="Times New Roman" w:cs="Times New Roman"/>
                      <w:sz w:val="21"/>
                      <w:szCs w:val="21"/>
                    </w:rPr>
                  </w:pPr>
                  <w:r>
                    <w:rPr>
                      <w:rFonts w:hint="default" w:ascii="Times New Roman" w:hAnsi="Times New Roman" w:cs="Times New Roman"/>
                      <w:sz w:val="21"/>
                      <w:szCs w:val="21"/>
                    </w:rPr>
                    <w:t>41</w:t>
                  </w:r>
                </w:p>
              </w:tc>
              <w:tc>
                <w:tcPr>
                  <w:tcW w:w="946" w:type="dxa"/>
                  <w:tcBorders>
                    <w:tl2br w:val="nil"/>
                    <w:tr2bl w:val="nil"/>
                  </w:tcBorders>
                  <w:vAlign w:val="center"/>
                </w:tcPr>
                <w:p w14:paraId="7CFA6E35">
                  <w:pPr>
                    <w:spacing w:before="104" w:line="180" w:lineRule="auto"/>
                    <w:ind w:firstLine="269"/>
                    <w:jc w:val="center"/>
                    <w:rPr>
                      <w:rFonts w:hint="default" w:ascii="Times New Roman" w:hAnsi="Times New Roman" w:cs="Times New Roman"/>
                      <w:sz w:val="21"/>
                      <w:szCs w:val="21"/>
                    </w:rPr>
                  </w:pPr>
                  <w:r>
                    <w:rPr>
                      <w:rFonts w:hint="default" w:ascii="Times New Roman" w:hAnsi="Times New Roman" w:cs="Times New Roman"/>
                      <w:sz w:val="21"/>
                      <w:szCs w:val="21"/>
                    </w:rPr>
                    <w:t>39</w:t>
                  </w:r>
                </w:p>
              </w:tc>
            </w:tr>
          </w:tbl>
          <w:p w14:paraId="3B2390E2">
            <w:pPr>
              <w:spacing w:line="360" w:lineRule="auto"/>
              <w:ind w:firstLine="480" w:firstLineChars="200"/>
              <w:rPr>
                <w:rFonts w:hint="default" w:ascii="Times New Roman" w:hAnsi="Times New Roman" w:cs="Times New Roman"/>
              </w:rPr>
            </w:pPr>
            <w:r>
              <w:rPr>
                <w:rFonts w:hint="default" w:ascii="Times New Roman" w:hAnsi="Times New Roman" w:cs="Times New Roman"/>
              </w:rPr>
              <w:t>2）预测结果分析</w:t>
            </w:r>
          </w:p>
          <w:p w14:paraId="162FDBEE">
            <w:pPr>
              <w:spacing w:line="360" w:lineRule="auto"/>
              <w:ind w:firstLine="480" w:firstLineChars="200"/>
              <w:rPr>
                <w:rFonts w:hint="default" w:ascii="Times New Roman" w:hAnsi="Times New Roman" w:cs="Times New Roman"/>
              </w:rPr>
            </w:pPr>
            <w:r>
              <w:rPr>
                <w:rFonts w:hint="default" w:ascii="Times New Roman" w:hAnsi="Times New Roman" w:cs="Times New Roman"/>
              </w:rPr>
              <w:t>A、厂界噪声预测：</w:t>
            </w:r>
          </w:p>
          <w:p w14:paraId="55ED7B68">
            <w:pPr>
              <w:spacing w:line="360" w:lineRule="auto"/>
              <w:ind w:firstLine="480" w:firstLineChars="200"/>
              <w:rPr>
                <w:rFonts w:hint="default" w:ascii="Times New Roman" w:hAnsi="Times New Roman" w:cs="Times New Roman"/>
              </w:rPr>
            </w:pPr>
            <w:r>
              <w:rPr>
                <w:rFonts w:hint="default" w:ascii="Times New Roman" w:hAnsi="Times New Roman" w:cs="Times New Roman"/>
              </w:rPr>
              <w:t>由土石方阶段单台机械设备噪声预测值及项目平面布置图分析可知，项目各光伏矩阵区、办公生活区，离厂界距离约10m以外，施工期厂界噪声值能够满足《建筑施工场界环境噪声排放标准》（GB12523-2011）70 dB（A）的要求。</w:t>
            </w:r>
          </w:p>
          <w:p w14:paraId="29798E11">
            <w:pPr>
              <w:numPr>
                <w:ilvl w:val="0"/>
                <w:numId w:val="11"/>
              </w:numPr>
              <w:spacing w:line="360" w:lineRule="auto"/>
              <w:ind w:firstLine="480" w:firstLineChars="200"/>
              <w:rPr>
                <w:rFonts w:hint="default" w:ascii="Times New Roman" w:hAnsi="Times New Roman" w:cs="Times New Roman"/>
              </w:rPr>
            </w:pPr>
            <w:r>
              <w:rPr>
                <w:rFonts w:hint="default" w:ascii="Times New Roman" w:hAnsi="Times New Roman" w:cs="Times New Roman"/>
              </w:rPr>
              <w:t>敏感点噪声影响</w:t>
            </w:r>
          </w:p>
          <w:p w14:paraId="3E0686D4">
            <w:pPr>
              <w:numPr>
                <w:ilvl w:val="0"/>
                <w:numId w:val="0"/>
              </w:numPr>
              <w:spacing w:line="360" w:lineRule="auto"/>
              <w:ind w:firstLine="480" w:firstLineChars="200"/>
              <w:rPr>
                <w:rFonts w:hint="eastAsia" w:ascii="Times New Roman" w:hAnsi="Times New Roman" w:cs="Times New Roman"/>
                <w:lang w:eastAsia="zh-CN"/>
              </w:rPr>
            </w:pPr>
            <w:r>
              <w:rPr>
                <w:rFonts w:hint="default" w:ascii="Times New Roman" w:hAnsi="Times New Roman" w:cs="Times New Roman"/>
              </w:rPr>
              <w:t>本项目</w:t>
            </w:r>
            <w:r>
              <w:rPr>
                <w:rFonts w:hint="default" w:ascii="Times New Roman" w:hAnsi="Times New Roman" w:cs="Times New Roman"/>
                <w:lang w:eastAsia="zh-CN"/>
              </w:rPr>
              <w:t>光伏阵列区</w:t>
            </w:r>
            <w:r>
              <w:rPr>
                <w:rFonts w:hint="default" w:ascii="Times New Roman" w:hAnsi="Times New Roman" w:cs="Times New Roman"/>
              </w:rPr>
              <w:t>50m范围内有</w:t>
            </w:r>
            <w:r>
              <w:rPr>
                <w:rFonts w:hint="eastAsia" w:ascii="Times New Roman" w:hAnsi="Times New Roman" w:cs="Times New Roman"/>
                <w:lang w:val="en-US" w:eastAsia="zh-CN"/>
              </w:rPr>
              <w:t>2</w:t>
            </w:r>
            <w:r>
              <w:rPr>
                <w:rFonts w:hint="default" w:ascii="Times New Roman" w:hAnsi="Times New Roman" w:cs="Times New Roman"/>
              </w:rPr>
              <w:t>声环境敏感目标</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rPr>
              <w:t>，施工期间应靠近居民点一侧施工</w:t>
            </w:r>
            <w:r>
              <w:rPr>
                <w:rFonts w:hint="default" w:ascii="Times New Roman" w:hAnsi="Times New Roman" w:cs="Times New Roman"/>
                <w:lang w:eastAsia="zh-CN"/>
              </w:rPr>
              <w:t>时</w:t>
            </w:r>
            <w:r>
              <w:rPr>
                <w:rFonts w:hint="default" w:ascii="Times New Roman" w:hAnsi="Times New Roman" w:cs="Times New Roman"/>
              </w:rPr>
              <w:t>设置围挡；升压站周围</w:t>
            </w:r>
            <w:r>
              <w:rPr>
                <w:rFonts w:hint="eastAsia" w:ascii="Times New Roman" w:hAnsi="Times New Roman" w:cs="Times New Roman"/>
                <w:lang w:val="en-US" w:eastAsia="zh-CN"/>
              </w:rPr>
              <w:t>200</w:t>
            </w:r>
            <w:r>
              <w:rPr>
                <w:rFonts w:hint="default" w:ascii="Times New Roman" w:hAnsi="Times New Roman" w:cs="Times New Roman"/>
              </w:rPr>
              <w:t>m范围内噪声敏感目标</w:t>
            </w:r>
            <w:r>
              <w:rPr>
                <w:rFonts w:hint="eastAsia" w:ascii="Times New Roman" w:hAnsi="Times New Roman" w:cs="Times New Roman"/>
                <w:lang w:eastAsia="zh-CN"/>
              </w:rPr>
              <w:t>为北</w:t>
            </w:r>
            <w:r>
              <w:rPr>
                <w:rFonts w:hint="default" w:ascii="Times New Roman" w:hAnsi="Times New Roman" w:cs="Times New Roman"/>
                <w:lang w:eastAsia="zh-CN"/>
              </w:rPr>
              <w:t>部</w:t>
            </w:r>
            <w:r>
              <w:rPr>
                <w:rFonts w:hint="eastAsia" w:ascii="Times New Roman" w:hAnsi="Times New Roman" w:cs="Times New Roman"/>
                <w:lang w:eastAsia="zh-CN"/>
              </w:rPr>
              <w:t>道坡村。</w:t>
            </w:r>
          </w:p>
          <w:p w14:paraId="78B815F8">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施工主要是光伏支架、箱变及分支箱基础浇筑及光伏组件的安装</w:t>
            </w:r>
            <w:r>
              <w:rPr>
                <w:rFonts w:hint="eastAsia" w:ascii="Times New Roman" w:hAnsi="Times New Roman" w:cs="Times New Roman"/>
                <w:lang w:eastAsia="zh-CN"/>
              </w:rPr>
              <w:t>、集电线路塔基安装</w:t>
            </w:r>
            <w:r>
              <w:rPr>
                <w:rFonts w:hint="default" w:ascii="Times New Roman" w:hAnsi="Times New Roman" w:cs="Times New Roman"/>
              </w:rPr>
              <w:t>，施工周期较短，噪声源强不大，噪声影响属于间断性发生。在靠近</w:t>
            </w:r>
            <w:r>
              <w:rPr>
                <w:rFonts w:hint="default" w:ascii="Times New Roman" w:hAnsi="Times New Roman" w:cs="Times New Roman"/>
                <w:lang w:eastAsia="zh-CN"/>
              </w:rPr>
              <w:t>小</w:t>
            </w:r>
            <w:r>
              <w:rPr>
                <w:rFonts w:hint="eastAsia" w:ascii="Times New Roman" w:hAnsi="Times New Roman" w:cs="Times New Roman"/>
                <w:lang w:eastAsia="zh-CN"/>
              </w:rPr>
              <w:t>北</w:t>
            </w:r>
            <w:r>
              <w:rPr>
                <w:rFonts w:hint="default" w:ascii="Times New Roman" w:hAnsi="Times New Roman" w:cs="Times New Roman"/>
                <w:lang w:eastAsia="zh-CN"/>
              </w:rPr>
              <w:t>部</w:t>
            </w:r>
            <w:r>
              <w:rPr>
                <w:rFonts w:hint="eastAsia" w:ascii="Times New Roman" w:hAnsi="Times New Roman" w:cs="Times New Roman"/>
                <w:lang w:eastAsia="zh-CN"/>
              </w:rPr>
              <w:t>道坡村及南部上邦瓦村</w:t>
            </w:r>
            <w:r>
              <w:rPr>
                <w:rFonts w:hint="default" w:ascii="Times New Roman" w:hAnsi="Times New Roman" w:cs="Times New Roman"/>
              </w:rPr>
              <w:t>居民施工时设置临时移动声屏障，降低施工噪声污染，应当符合国家规定的 建筑施工场界噪声限值；整个项目施工期应提前告知周围村庄居民，做好沟通工作，夜间禁止施工。在采取上述措施的情况下，施工期间周围敏感目标可达《声环境质量标准》（GB309-2008）2 类区标准，本项目施工期噪声对周围声环境影响可接受，噪声影响将随施工活动的结束而消失。</w:t>
            </w:r>
          </w:p>
          <w:p w14:paraId="6C33FEAF">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（5）固体废物影响分析</w:t>
            </w:r>
          </w:p>
          <w:p w14:paraId="1F2E7739">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项目施工期固体废物主要为施工人员的生活垃圾，土石方、建筑垃圾等。</w:t>
            </w:r>
          </w:p>
          <w:p w14:paraId="79F576F9">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1）施工人员生活垃圾</w:t>
            </w:r>
          </w:p>
          <w:p w14:paraId="43A3C3FD">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本项目施工人员约为</w:t>
            </w:r>
            <w:r>
              <w:rPr>
                <w:rFonts w:hint="eastAsia" w:ascii="Times New Roman" w:hAnsi="Times New Roman" w:cs="Times New Roman"/>
                <w:lang w:val="en-US" w:eastAsia="zh-CN"/>
              </w:rPr>
              <w:t>50</w:t>
            </w:r>
            <w:r>
              <w:rPr>
                <w:rFonts w:hint="default" w:ascii="Times New Roman" w:hAnsi="Times New Roman" w:cs="Times New Roman"/>
              </w:rPr>
              <w:t>人，按照每人每天产生生活垃圾量1kg计算，施工期生活垃圾产生量为</w:t>
            </w:r>
            <w:r>
              <w:rPr>
                <w:rFonts w:hint="eastAsia" w:ascii="Times New Roman" w:hAnsi="Times New Roman" w:cs="Times New Roman"/>
                <w:lang w:val="en-US" w:eastAsia="zh-CN"/>
              </w:rPr>
              <w:t>50</w:t>
            </w:r>
            <w:r>
              <w:rPr>
                <w:rFonts w:hint="default" w:ascii="Times New Roman" w:hAnsi="Times New Roman" w:cs="Times New Roman"/>
              </w:rPr>
              <w:t>kg/d，生活垃圾产生量较少，施工期生活垃圾主要为有机废物，包括剩饭菜、粪便等，如不及时进行清理，则会腐烂变质，滋生蚊虫苍蝇，产生恶臭，传染疾病，从而对周围环境和作业人员健康带来不利影响。故对施工人员的生 活垃圾应定点存放、及时收集，收集后与运至附近村庄垃圾收集点，与周边村庄垃圾一同处置。</w:t>
            </w:r>
          </w:p>
          <w:p w14:paraId="784C2CB0">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2）剥离表土</w:t>
            </w:r>
          </w:p>
          <w:p w14:paraId="4478B3C8">
            <w:pPr>
              <w:numPr>
                <w:ilvl w:val="0"/>
                <w:numId w:val="0"/>
              </w:numPr>
              <w:spacing w:line="360" w:lineRule="auto"/>
              <w:ind w:firstLine="480" w:firstLineChars="200"/>
              <w:rPr>
                <w:rFonts w:hint="default" w:ascii="Times New Roman" w:hAnsi="Times New Roman" w:cs="Times New Roman"/>
              </w:rPr>
            </w:pPr>
            <w:r>
              <w:rPr>
                <w:rFonts w:hint="eastAsia" w:ascii="Times New Roman" w:hAnsi="Times New Roman" w:cs="Times New Roman"/>
                <w:lang w:val="en-US" w:eastAsia="zh-CN"/>
              </w:rPr>
              <w:t>经统计，</w:t>
            </w:r>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万m³。集电线路剥离的表土堆放在管沟一侧，升压站区剥离的表土堆放在升压站区西南侧红线范围内空地上</w:t>
            </w:r>
            <w:r>
              <w:rPr>
                <w:rFonts w:hint="default" w:ascii="Times New Roman" w:hAnsi="Times New Roman" w:cs="Times New Roman"/>
                <w:lang w:val="en-US" w:eastAsia="zh-CN"/>
              </w:rPr>
              <w:t>，剥离表土全部用于项目植被恢复覆土回填。</w:t>
            </w:r>
            <w:r>
              <w:rPr>
                <w:rFonts w:hint="default" w:ascii="Times New Roman" w:hAnsi="Times New Roman" w:cs="Times New Roman"/>
              </w:rPr>
              <w:t>项目内产生的剥离表土不随意堆放，并对项目内的表土临时堆场进行采取土工布遮盖、设置临时拦挡措施后，可有效防止临时表土堆场内的表土流失</w:t>
            </w:r>
            <w:r>
              <w:rPr>
                <w:rFonts w:hint="default" w:ascii="Times New Roman" w:hAnsi="Times New Roman" w:cs="Times New Roman"/>
                <w:lang w:eastAsia="zh-CN"/>
              </w:rPr>
              <w:t>，</w:t>
            </w:r>
            <w:r>
              <w:rPr>
                <w:rFonts w:hint="default" w:ascii="Times New Roman" w:hAnsi="Times New Roman" w:cs="Times New Roman"/>
              </w:rPr>
              <w:t>对环境影响不大。</w:t>
            </w:r>
          </w:p>
          <w:p w14:paraId="06143B99">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3）土石方</w:t>
            </w:r>
          </w:p>
          <w:p w14:paraId="32EEFEFE">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箱变、电缆分接箱基础土石方开挖 800m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，土方回填 160m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1EBDF6D3">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道路土石方开挖 57156m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，土石方回填 40016m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3D3883D0">
            <w:pPr>
              <w:spacing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升压站工程土石方量：挖方 13056m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 1000m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，多余土石方回填于光伏陈列区进行坡改梯及地面改造综合利用。</w:t>
            </w:r>
          </w:p>
          <w:p w14:paraId="586311DC">
            <w:pPr>
              <w:numPr>
                <w:ilvl w:val="0"/>
                <w:numId w:val="0"/>
              </w:numPr>
              <w:spacing w:line="360" w:lineRule="auto"/>
              <w:ind w:firstLine="480" w:firstLineChars="200"/>
              <w:rPr>
                <w:rFonts w:hint="default" w:ascii="Times New Roman" w:hAnsi="Times New Roman" w:cs="Times New Roman"/>
                <w:color w:val="auto"/>
              </w:rPr>
            </w:pPr>
            <w:r>
              <w:rPr>
                <w:rFonts w:hint="eastAsia" w:ascii="Times New Roman" w:hAnsi="Times New Roman" w:eastAsia="宋体" w:cs="Times New Roman"/>
                <w:color w:val="auto"/>
                <w:lang w:val="en-US" w:eastAsia="zh-CN"/>
              </w:rPr>
              <w:t>临建设施场平土石方工程量：挖方 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，填方 8500m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，土石方挖填已平衡。光伏支架基础、集电线路直埋产生的多余土石方回填于光伏陈列区进行坡改梯及地面改造综合利用</w:t>
            </w:r>
            <w:r>
              <w:rPr>
                <w:rFonts w:hint="default" w:ascii="Times New Roman" w:hAnsi="Times New Roman" w:eastAsia="宋体" w:cs="Times New Roman"/>
                <w:color w:val="auto"/>
                <w:lang w:val="en-US" w:eastAsia="zh-CN"/>
              </w:rPr>
              <w:t>，最终无废弃土石方产生</w:t>
            </w:r>
            <w:r>
              <w:rPr>
                <w:rFonts w:hint="eastAsia" w:ascii="Times New Roman" w:hAnsi="Times New Roman" w:eastAsia="宋体" w:cs="Times New Roman"/>
                <w:color w:val="auto"/>
                <w:lang w:val="en-US" w:eastAsia="zh-CN"/>
              </w:rPr>
              <w:t>，项目不设弃渣场</w:t>
            </w:r>
            <w:r>
              <w:rPr>
                <w:rFonts w:hint="default" w:ascii="Times New Roman" w:hAnsi="Times New Roman" w:cs="Times New Roman"/>
                <w:color w:val="auto"/>
                <w:lang w:eastAsia="zh-CN"/>
              </w:rPr>
              <w:t>。</w:t>
            </w:r>
            <w:r>
              <w:rPr>
                <w:rFonts w:hint="default" w:ascii="Times New Roman" w:hAnsi="Times New Roman" w:cs="Times New Roman"/>
                <w:color w:val="auto"/>
              </w:rPr>
              <w:t>因此对开挖产生的土石方只要及时回填利用，不随意倾倒，对环境影响不大。</w:t>
            </w:r>
          </w:p>
          <w:p w14:paraId="1EA68C2D">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4）建筑垃圾</w:t>
            </w:r>
          </w:p>
          <w:p w14:paraId="00032DD0">
            <w:pPr>
              <w:numPr>
                <w:ilvl w:val="0"/>
                <w:numId w:val="0"/>
              </w:num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lang w:eastAsia="zh-CN"/>
              </w:rPr>
              <w:t>建筑垃圾主要为废钢筋、废混凝土、废木材等，项目内产生的建筑垃圾经分拣、剔除或粉碎后，大多是可以作为再生资源重新利用的。项目内废弃、不可利用的建筑垃圾拟集中收集，清运至指定地点进行妥善处置，不会对周围环境造成大的影响。</w:t>
            </w:r>
          </w:p>
          <w:p w14:paraId="5AA9ADD0">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5）废弃设备零件</w:t>
            </w:r>
          </w:p>
          <w:p w14:paraId="43171C51">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项目在光伏组件安装、电气设备安装过程中，会产生少量废弃设备零件，该部分废弃设备零件经收集后，可回收利用。</w:t>
            </w:r>
          </w:p>
          <w:p w14:paraId="73473FBB">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综上所述，只要严格执行国家环保法律法规以及当地政府的管理规定， 科学管理、文明施工，本项目产生的固体废物不会造成污染。</w:t>
            </w:r>
          </w:p>
          <w:p w14:paraId="060648FF">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、其他环境影响分析</w:t>
            </w:r>
          </w:p>
          <w:p w14:paraId="324BE1B1">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施工时由于进出物料运输车辆的增加，将对项目所在地的交通造成一定的影响，影响附近居民的出行。为减缓交通压力，要求该项目进出施工场地车辆应按规定路线、时间进出，并设置专人负责指挥，以防止交通堵塞。</w:t>
            </w:r>
          </w:p>
          <w:p w14:paraId="10487124">
            <w:pPr>
              <w:pStyle w:val="10"/>
              <w:widowControl/>
              <w:numPr>
                <w:ilvl w:val="0"/>
                <w:numId w:val="0"/>
              </w:numPr>
              <w:snapToGrid w:val="0"/>
              <w:spacing w:before="60" w:after="160" w:line="360" w:lineRule="auto"/>
              <w:ind w:right="113" w:rightChars="0" w:firstLine="480" w:firstLineChars="200"/>
              <w:jc w:val="both"/>
              <w:rPr>
                <w:rFonts w:hint="default" w:ascii="Times New Roman" w:hAnsi="Times New Roman" w:cs="Times New Roman"/>
                <w:lang w:val="en-US" w:eastAsia="zh-CN"/>
              </w:rPr>
            </w:pPr>
            <w:r>
              <w:rPr>
                <w:rFonts w:hint="default" w:ascii="Times New Roman" w:hAnsi="Times New Roman" w:eastAsia="宋体" w:cs="Times New Roman"/>
                <w:color w:val="auto"/>
                <w:kern w:val="28"/>
                <w:sz w:val="24"/>
              </w:rPr>
              <w:t>施工期建筑材料运输量较大，运输路线经过郊区和城市道路时，运输过程中物料洒落、流失、飞扬等均可能对沿线环境产生影响。因此在建筑材料运输出入与施工固废运出时车辆必须加盖篷布。建筑材料运输量较大会对沿线运输道路路面造成影响，要求建设单位限制载重，产生影响通过采取这些措施可减小物料运输对环境的影响。</w:t>
            </w:r>
          </w:p>
        </w:tc>
      </w:tr>
      <w:tr w14:paraId="7CB683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450" w:hRule="atLeast"/>
          <w:jc w:val="center"/>
        </w:trPr>
        <w:tc>
          <w:tcPr>
            <w:tcW w:w="456" w:type="dxa"/>
            <w:tcBorders>
              <w:tl2br w:val="nil"/>
              <w:tr2bl w:val="nil"/>
            </w:tcBorders>
            <w:tcMar>
              <w:left w:w="28" w:type="dxa"/>
              <w:right w:w="28" w:type="dxa"/>
            </w:tcMar>
            <w:vAlign w:val="center"/>
          </w:tcPr>
          <w:p w14:paraId="2C86451B">
            <w:pPr>
              <w:pStyle w:val="20"/>
              <w:adjustRightInd w:val="0"/>
              <w:snapToGrid w:val="0"/>
              <w:spacing w:before="0" w:beforeAutospacing="0" w:after="0" w:afterAutospacing="0"/>
              <w:jc w:val="center"/>
              <w:rPr>
                <w:rFonts w:cs="宋体"/>
                <w:bCs/>
                <w:kern w:val="2"/>
                <w:szCs w:val="24"/>
                <w:lang w:val="en-US" w:eastAsia="zh-CN"/>
              </w:rPr>
            </w:pPr>
            <w:r>
              <w:rPr>
                <w:rFonts w:hint="eastAsia" w:cs="宋体"/>
                <w:bCs/>
                <w:spacing w:val="10"/>
                <w:kern w:val="2"/>
                <w:szCs w:val="24"/>
                <w:lang w:val="en-US" w:eastAsia="zh-CN"/>
              </w:rPr>
              <w:t>运营期生态环境影响分析</w:t>
            </w:r>
          </w:p>
        </w:tc>
        <w:tc>
          <w:tcPr>
            <w:tcW w:w="8766" w:type="dxa"/>
            <w:tcBorders>
              <w:tl2br w:val="nil"/>
              <w:tr2bl w:val="nil"/>
            </w:tcBorders>
            <w:vAlign w:val="center"/>
          </w:tcPr>
          <w:p w14:paraId="6F2CAE0B">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1、运营期工艺流程及产污节点</w:t>
            </w:r>
          </w:p>
          <w:p w14:paraId="7D17282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项目运营期工艺流程及产污情况如下图所示</w:t>
            </w:r>
            <w:r>
              <w:rPr>
                <w:rFonts w:hint="default" w:ascii="Times New Roman" w:hAnsi="Times New Roman" w:eastAsia="宋体" w:cs="Times New Roman"/>
                <w:lang w:eastAsia="zh-CN"/>
              </w:rPr>
              <w:t>：</w:t>
            </w:r>
          </w:p>
          <w:p w14:paraId="1C9D4638">
            <w:pPr>
              <w:numPr>
                <w:ilvl w:val="0"/>
                <w:numId w:val="0"/>
              </w:numPr>
              <w:spacing w:line="360" w:lineRule="auto"/>
              <w:rPr>
                <w:rFonts w:hint="default" w:ascii="Times New Roman" w:hAnsi="Times New Roman" w:cs="Times New Roman"/>
                <w:lang w:eastAsia="zh-CN"/>
              </w:rPr>
            </w:pPr>
            <w:r>
              <w:rPr>
                <w:rFonts w:hint="default"/>
                <w:color w:val="auto"/>
              </w:rPr>
              <w:object>
                <v:shape id="_x0000_i1029" o:spt="75" type="#_x0000_t75" style="height:171.6pt;width:405.2pt;" o:ole="t" filled="f" o:preferrelative="t" stroked="f" coordsize="21600,21600">
                  <v:path/>
                  <v:fill on="f" focussize="0,0"/>
                  <v:stroke on="f"/>
                  <v:imagedata r:id="rId30" o:title=""/>
                  <o:lock v:ext="edit" aspectratio="f"/>
                  <w10:wrap type="none"/>
                  <w10:anchorlock/>
                </v:shape>
                <o:OLEObject Type="Embed" ProgID="Visio.Drawing.11" ShapeID="_x0000_i1029" DrawAspect="Content" ObjectID="_1468075729" r:id="rId29">
                  <o:LockedField>false</o:LockedField>
                </o:OLEObject>
              </w:object>
            </w:r>
          </w:p>
          <w:p w14:paraId="5B4518C3">
            <w:pPr>
              <w:numPr>
                <w:ilvl w:val="0"/>
                <w:numId w:val="0"/>
              </w:numPr>
              <w:spacing w:line="36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图</w:t>
            </w:r>
            <w:r>
              <w:rPr>
                <w:rFonts w:hint="default" w:ascii="Times New Roman" w:hAnsi="Times New Roman" w:eastAsia="宋体" w:cs="Times New Roman"/>
                <w:b/>
                <w:bCs/>
                <w:sz w:val="21"/>
                <w:szCs w:val="21"/>
                <w:lang w:val="en-US" w:eastAsia="zh-CN"/>
              </w:rPr>
              <w:t xml:space="preserve">4-2 </w:t>
            </w:r>
            <w:r>
              <w:rPr>
                <w:rFonts w:hint="default" w:ascii="Times New Roman" w:hAnsi="Times New Roman" w:eastAsia="宋体" w:cs="Times New Roman"/>
                <w:b/>
                <w:bCs/>
                <w:sz w:val="21"/>
                <w:szCs w:val="21"/>
              </w:rPr>
              <w:t>运营期工艺流程及产污</w:t>
            </w:r>
            <w:r>
              <w:rPr>
                <w:rFonts w:hint="default" w:ascii="Times New Roman" w:hAnsi="Times New Roman" w:eastAsia="宋体" w:cs="Times New Roman"/>
                <w:b/>
                <w:bCs/>
                <w:sz w:val="21"/>
                <w:szCs w:val="21"/>
                <w:lang w:eastAsia="zh-CN"/>
              </w:rPr>
              <w:t>节点图</w:t>
            </w:r>
          </w:p>
          <w:p w14:paraId="00E1F9F3">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2、运营期环境影响分析</w:t>
            </w:r>
          </w:p>
          <w:p w14:paraId="3A0EB5E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（1）大气环境影响分析</w:t>
            </w:r>
          </w:p>
          <w:p w14:paraId="47546861">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①食堂油烟</w:t>
            </w:r>
          </w:p>
          <w:p w14:paraId="0DE6AF18">
            <w:pPr>
              <w:spacing w:line="360" w:lineRule="auto"/>
              <w:ind w:firstLine="480" w:firstLineChars="200"/>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sz w:val="24"/>
                <w:szCs w:val="20"/>
              </w:rPr>
              <w:t>项目厨房使用液化气、电作为能源，液化气、电为清洁能源，液化气燃烧的产物为二氧化碳和水，运行期主要的废气为油烟废气。食堂年工作日365d，每天工作4h，基准灶头为1个，根据《饮食业油烟排放标准》（</w:t>
            </w:r>
            <w:r>
              <w:rPr>
                <w:rFonts w:hint="default" w:ascii="Times New Roman" w:hAnsi="Times New Roman" w:eastAsia="宋体" w:cs="Times New Roman"/>
                <w:bCs/>
                <w:color w:val="auto"/>
                <w:sz w:val="24"/>
                <w:szCs w:val="20"/>
              </w:rPr>
              <w:t>GB18483-2001</w:t>
            </w:r>
            <w:r>
              <w:rPr>
                <w:rFonts w:hint="default" w:ascii="Times New Roman" w:hAnsi="Times New Roman" w:eastAsia="宋体" w:cs="Times New Roman"/>
                <w:color w:val="auto"/>
                <w:sz w:val="24"/>
                <w:szCs w:val="20"/>
              </w:rPr>
              <w:t>）（试行）</w:t>
            </w:r>
            <w:r>
              <w:rPr>
                <w:rFonts w:hint="default" w:ascii="Times New Roman" w:hAnsi="Times New Roman" w:eastAsia="宋体" w:cs="Times New Roman"/>
                <w:bCs/>
                <w:color w:val="auto"/>
                <w:sz w:val="24"/>
                <w:szCs w:val="20"/>
              </w:rPr>
              <w:t>判定</w:t>
            </w:r>
            <w:r>
              <w:rPr>
                <w:rFonts w:hint="default" w:ascii="Times New Roman" w:hAnsi="Times New Roman" w:eastAsia="宋体" w:cs="Times New Roman"/>
                <w:color w:val="auto"/>
                <w:sz w:val="24"/>
                <w:szCs w:val="20"/>
              </w:rPr>
              <w:t>为小型。项目运行期定员</w:t>
            </w:r>
            <w:r>
              <w:rPr>
                <w:rFonts w:hint="eastAsia" w:ascii="Times New Roman" w:hAnsi="Times New Roman" w:eastAsia="宋体" w:cs="Times New Roman"/>
                <w:color w:val="auto"/>
                <w:sz w:val="24"/>
                <w:szCs w:val="20"/>
                <w:lang w:val="en-US" w:eastAsia="zh-CN"/>
              </w:rPr>
              <w:t>5</w:t>
            </w:r>
            <w:r>
              <w:rPr>
                <w:rFonts w:hint="default" w:ascii="Times New Roman" w:hAnsi="Times New Roman" w:eastAsia="宋体" w:cs="Times New Roman"/>
                <w:color w:val="auto"/>
                <w:sz w:val="24"/>
                <w:szCs w:val="20"/>
              </w:rPr>
              <w:t>人</w:t>
            </w:r>
            <w:r>
              <w:rPr>
                <w:rFonts w:hint="default" w:ascii="Times New Roman" w:hAnsi="Times New Roman" w:eastAsia="宋体" w:cs="Times New Roman"/>
                <w:color w:val="auto"/>
                <w:spacing w:val="2"/>
                <w:sz w:val="24"/>
                <w:szCs w:val="20"/>
              </w:rPr>
              <w:t>，均在项目区内食宿。</w:t>
            </w:r>
            <w:r>
              <w:rPr>
                <w:rFonts w:hint="default" w:ascii="Times New Roman" w:hAnsi="Times New Roman" w:eastAsia="宋体" w:cs="Times New Roman"/>
                <w:color w:val="auto"/>
                <w:sz w:val="24"/>
                <w:szCs w:val="20"/>
                <w:lang w:val="en-US" w:eastAsia="zh-CN" w:bidi="ar"/>
              </w:rPr>
              <w:t>按平衡膳食推荐的以每人每天食用30g食用油计，则用油量为0.</w:t>
            </w:r>
            <w:r>
              <w:rPr>
                <w:rFonts w:hint="eastAsia" w:ascii="Times New Roman" w:hAnsi="Times New Roman" w:eastAsia="宋体" w:cs="Times New Roman"/>
                <w:color w:val="auto"/>
                <w:sz w:val="24"/>
                <w:szCs w:val="20"/>
                <w:lang w:val="en-US" w:eastAsia="zh-CN" w:bidi="ar"/>
              </w:rPr>
              <w:t>15</w:t>
            </w:r>
            <w:r>
              <w:rPr>
                <w:rFonts w:hint="default" w:ascii="Times New Roman" w:hAnsi="Times New Roman" w:eastAsia="宋体" w:cs="Times New Roman"/>
                <w:color w:val="auto"/>
                <w:sz w:val="24"/>
                <w:szCs w:val="20"/>
                <w:lang w:val="en-US" w:eastAsia="zh-CN" w:bidi="ar"/>
              </w:rPr>
              <w:t>kg/d。</w:t>
            </w:r>
            <w:r>
              <w:rPr>
                <w:rFonts w:hint="default" w:ascii="Times New Roman" w:hAnsi="Times New Roman" w:eastAsia="宋体" w:cs="Times New Roman"/>
                <w:color w:val="auto"/>
                <w:spacing w:val="2"/>
                <w:sz w:val="24"/>
                <w:szCs w:val="20"/>
              </w:rPr>
              <w:t>食堂油烟产生量较小</w:t>
            </w:r>
            <w:r>
              <w:rPr>
                <w:rFonts w:hint="default" w:ascii="Times New Roman" w:hAnsi="Times New Roman" w:eastAsia="宋体" w:cs="Times New Roman"/>
                <w:color w:val="auto"/>
                <w:spacing w:val="2"/>
                <w:sz w:val="24"/>
                <w:szCs w:val="20"/>
                <w:lang w:eastAsia="zh-CN"/>
              </w:rPr>
              <w:t>，</w:t>
            </w:r>
            <w:r>
              <w:rPr>
                <w:rFonts w:hint="default" w:ascii="Times New Roman" w:hAnsi="Times New Roman" w:eastAsia="宋体" w:cs="Times New Roman"/>
                <w:color w:val="auto"/>
                <w:sz w:val="24"/>
                <w:szCs w:val="20"/>
                <w:lang w:val="en-US" w:eastAsia="zh-CN" w:bidi="ar"/>
              </w:rPr>
              <w:t>根据类比调查，油的平均挥发量为总耗油量的2.83%，经估算，本项目食堂产生油烟量为</w:t>
            </w:r>
            <w:r>
              <w:rPr>
                <w:rFonts w:hint="eastAsia" w:ascii="Times New Roman" w:hAnsi="Times New Roman" w:eastAsia="宋体" w:cs="Times New Roman"/>
                <w:color w:val="auto"/>
                <w:sz w:val="24"/>
                <w:szCs w:val="20"/>
                <w:lang w:val="en-US" w:eastAsia="zh-CN" w:bidi="ar"/>
              </w:rPr>
              <w:t>4.24</w:t>
            </w:r>
            <w:r>
              <w:rPr>
                <w:rFonts w:hint="default" w:ascii="Times New Roman" w:hAnsi="Times New Roman" w:eastAsia="宋体" w:cs="Times New Roman"/>
                <w:color w:val="auto"/>
                <w:sz w:val="24"/>
                <w:szCs w:val="20"/>
                <w:lang w:val="en-US" w:eastAsia="zh-CN" w:bidi="ar"/>
              </w:rPr>
              <w:t>g/d，</w:t>
            </w:r>
            <w:r>
              <w:rPr>
                <w:rFonts w:hint="eastAsia" w:ascii="Times New Roman" w:hAnsi="Times New Roman" w:eastAsia="宋体" w:cs="Times New Roman"/>
                <w:color w:val="auto"/>
                <w:sz w:val="24"/>
                <w:szCs w:val="20"/>
                <w:lang w:val="en-US" w:eastAsia="zh-CN" w:bidi="ar"/>
              </w:rPr>
              <w:t>1.54</w:t>
            </w:r>
            <w:r>
              <w:rPr>
                <w:rFonts w:hint="default" w:ascii="Times New Roman" w:hAnsi="Times New Roman" w:eastAsia="宋体" w:cs="Times New Roman"/>
                <w:color w:val="auto"/>
                <w:sz w:val="24"/>
                <w:szCs w:val="20"/>
                <w:lang w:val="en-US" w:eastAsia="zh-CN" w:bidi="ar"/>
              </w:rPr>
              <w:t>kg/a</w:t>
            </w:r>
            <w:r>
              <w:rPr>
                <w:rFonts w:hint="default" w:ascii="Times New Roman" w:hAnsi="Times New Roman" w:eastAsia="宋体" w:cs="Times New Roman"/>
                <w:color w:val="auto"/>
                <w:spacing w:val="2"/>
                <w:sz w:val="24"/>
                <w:szCs w:val="20"/>
              </w:rPr>
              <w:t>，</w:t>
            </w:r>
            <w:r>
              <w:rPr>
                <w:rFonts w:hint="default" w:ascii="Times New Roman" w:hAnsi="Times New Roman" w:eastAsia="宋体" w:cs="Times New Roman"/>
                <w:color w:val="auto"/>
                <w:spacing w:val="2"/>
                <w:sz w:val="24"/>
                <w:szCs w:val="20"/>
                <w:lang w:val="en-US" w:eastAsia="zh-CN"/>
              </w:rPr>
              <w:t>本次</w:t>
            </w:r>
            <w:r>
              <w:rPr>
                <w:rFonts w:hint="default" w:ascii="Times New Roman" w:hAnsi="Times New Roman" w:eastAsia="宋体" w:cs="Times New Roman"/>
                <w:color w:val="auto"/>
                <w:sz w:val="24"/>
                <w:szCs w:val="20"/>
              </w:rPr>
              <w:t>要求建设单位安装抽油烟机</w:t>
            </w:r>
            <w:r>
              <w:rPr>
                <w:rFonts w:hint="default" w:ascii="Times New Roman" w:hAnsi="Times New Roman" w:eastAsia="宋体" w:cs="Times New Roman"/>
                <w:color w:val="auto"/>
                <w:sz w:val="24"/>
                <w:szCs w:val="20"/>
                <w:lang w:val="zh-CN"/>
              </w:rPr>
              <w:t>，</w:t>
            </w:r>
            <w:r>
              <w:rPr>
                <w:rFonts w:hint="default" w:ascii="Times New Roman" w:hAnsi="Times New Roman" w:eastAsia="宋体" w:cs="Times New Roman"/>
                <w:color w:val="auto"/>
                <w:sz w:val="24"/>
                <w:szCs w:val="20"/>
              </w:rPr>
              <w:t>食堂产生的油烟废气经抽油烟机处理后排放</w:t>
            </w:r>
            <w:r>
              <w:rPr>
                <w:rFonts w:hint="default" w:ascii="Times New Roman" w:hAnsi="Times New Roman" w:eastAsia="宋体" w:cs="Times New Roman"/>
                <w:color w:val="auto"/>
                <w:sz w:val="24"/>
                <w:szCs w:val="20"/>
                <w:lang w:val="zh-CN"/>
              </w:rPr>
              <w:t>，食堂油烟对周围环境影响不大。</w:t>
            </w:r>
          </w:p>
          <w:p w14:paraId="62D6140C">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②汽车废气</w:t>
            </w:r>
          </w:p>
          <w:p w14:paraId="7F4AEDB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项目运行期进入项目区内的车辆较少，主要为物料运输车辆。汽车排放的废气主要集中于停车场地，为地上停车位，在汽车的启动和停车过程中产生，废气中主要污染物为CO、HC、NO</w:t>
            </w:r>
            <w:r>
              <w:rPr>
                <w:rFonts w:hint="default" w:ascii="Times New Roman" w:hAnsi="Times New Roman" w:eastAsia="宋体" w:cs="Times New Roman"/>
                <w:color w:val="auto"/>
                <w:sz w:val="24"/>
                <w:vertAlign w:val="subscript"/>
              </w:rPr>
              <w:t>X</w:t>
            </w:r>
            <w:r>
              <w:rPr>
                <w:rFonts w:hint="default" w:ascii="Times New Roman" w:hAnsi="Times New Roman" w:eastAsia="宋体" w:cs="Times New Roman"/>
                <w:color w:val="auto"/>
                <w:sz w:val="24"/>
              </w:rPr>
              <w:t>等，产生量较少，呈无组织排放。</w:t>
            </w:r>
          </w:p>
          <w:p w14:paraId="161F9EBF">
            <w:pPr>
              <w:adjustRightInd w:val="0"/>
              <w:snapToGrid w:val="0"/>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由于项目内车辆排放尾气的时间短，而且国家对汽车尾气排放有严格的规定，加上停车多为自备车辆，车型偏小，因此，汽车尾气不会形成较大的集中污染源，对环境影响较小。</w:t>
            </w:r>
          </w:p>
          <w:p w14:paraId="38F4344F">
            <w:pPr>
              <w:numPr>
                <w:ilvl w:val="0"/>
                <w:numId w:val="0"/>
              </w:numPr>
              <w:spacing w:line="360" w:lineRule="auto"/>
              <w:ind w:firstLine="480" w:firstLineChars="200"/>
              <w:rPr>
                <w:rFonts w:hint="default" w:ascii="Times New Roman" w:hAnsi="Times New Roman" w:cs="Times New Roman"/>
              </w:rPr>
            </w:pPr>
            <w:r>
              <w:rPr>
                <w:rFonts w:hint="default" w:ascii="Times New Roman" w:hAnsi="Times New Roman" w:cs="Times New Roman"/>
              </w:rPr>
              <w:t>③异味</w:t>
            </w:r>
          </w:p>
          <w:p w14:paraId="275DC44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项目异味主要来自垃圾桶、</w:t>
            </w:r>
            <w:r>
              <w:rPr>
                <w:rFonts w:hint="eastAsia" w:ascii="Times New Roman" w:hAnsi="Times New Roman" w:eastAsia="宋体" w:cs="Times New Roman"/>
                <w:color w:val="auto"/>
                <w:sz w:val="24"/>
                <w:lang w:eastAsia="zh-CN"/>
              </w:rPr>
              <w:t>隔油池、</w:t>
            </w:r>
            <w:r>
              <w:rPr>
                <w:rFonts w:hint="default" w:ascii="Times New Roman" w:hAnsi="Times New Roman" w:eastAsia="宋体" w:cs="Times New Roman"/>
                <w:color w:val="auto"/>
                <w:sz w:val="24"/>
              </w:rPr>
              <w:t>化粪池及</w:t>
            </w:r>
            <w:r>
              <w:rPr>
                <w:rFonts w:hint="eastAsia" w:ascii="Times New Roman" w:hAnsi="Times New Roman" w:eastAsia="宋体" w:cs="Times New Roman"/>
                <w:color w:val="auto"/>
                <w:sz w:val="24"/>
                <w:lang w:eastAsia="zh-CN"/>
              </w:rPr>
              <w:t>废水收集池</w:t>
            </w:r>
            <w:r>
              <w:rPr>
                <w:rFonts w:hint="default" w:ascii="Times New Roman" w:hAnsi="Times New Roman" w:eastAsia="宋体" w:cs="Times New Roman"/>
                <w:color w:val="auto"/>
                <w:sz w:val="24"/>
              </w:rPr>
              <w:t>。</w:t>
            </w:r>
          </w:p>
          <w:p w14:paraId="7799D07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contextualSpacing/>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生活垃圾主要来自于生活区，产生的生活垃圾统一收集于垃圾桶内。垃圾在临时存放过程中将会产生异味，</w:t>
            </w:r>
            <w:r>
              <w:rPr>
                <w:rFonts w:hint="default" w:ascii="Times New Roman" w:hAnsi="Times New Roman" w:eastAsia="宋体" w:cs="Times New Roman"/>
                <w:color w:val="auto"/>
                <w:kern w:val="0"/>
                <w:sz w:val="24"/>
                <w:szCs w:val="20"/>
              </w:rPr>
              <w:t>局部空气臭气浓度增加</w:t>
            </w:r>
            <w:r>
              <w:rPr>
                <w:rFonts w:hint="default" w:ascii="Times New Roman" w:hAnsi="Times New Roman" w:eastAsia="宋体" w:cs="Times New Roman"/>
                <w:color w:val="auto"/>
                <w:kern w:val="0"/>
                <w:sz w:val="24"/>
              </w:rPr>
              <w:t>。主要为无组织排放，一般排放量较小，垃圾桶设置为封闭式，生活垃圾尽量做到日产日清。</w:t>
            </w:r>
          </w:p>
          <w:p w14:paraId="1F460BB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contextualSpacing/>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rPr>
              <w:t>升压站内设置水冲厕、</w:t>
            </w:r>
            <w:r>
              <w:rPr>
                <w:rFonts w:hint="eastAsia" w:ascii="Times New Roman" w:hAnsi="Times New Roman" w:eastAsia="宋体" w:cs="Times New Roman"/>
                <w:color w:val="auto"/>
                <w:kern w:val="0"/>
                <w:sz w:val="24"/>
                <w:lang w:eastAsia="zh-CN"/>
              </w:rPr>
              <w:t>隔油池、</w:t>
            </w:r>
            <w:r>
              <w:rPr>
                <w:rFonts w:hint="default" w:ascii="Times New Roman" w:hAnsi="Times New Roman" w:eastAsia="宋体" w:cs="Times New Roman"/>
                <w:color w:val="auto"/>
                <w:sz w:val="24"/>
              </w:rPr>
              <w:t>化粪池</w:t>
            </w:r>
            <w:r>
              <w:rPr>
                <w:rFonts w:hint="default" w:ascii="Times New Roman" w:hAnsi="Times New Roman" w:eastAsia="宋体" w:cs="Times New Roman"/>
                <w:color w:val="auto"/>
                <w:kern w:val="0"/>
                <w:sz w:val="24"/>
              </w:rPr>
              <w:t>处理生活污水</w:t>
            </w:r>
            <w:r>
              <w:rPr>
                <w:rFonts w:hint="eastAsia" w:ascii="Times New Roman" w:hAnsi="Times New Roman" w:eastAsia="宋体" w:cs="Times New Roman"/>
                <w:color w:val="auto"/>
                <w:kern w:val="0"/>
                <w:sz w:val="24"/>
                <w:lang w:eastAsia="zh-CN"/>
              </w:rPr>
              <w:t>，进入废水收集池进行暂存</w:t>
            </w:r>
            <w:r>
              <w:rPr>
                <w:rFonts w:hint="default"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eastAsia="zh-CN"/>
              </w:rPr>
              <w:t>项目隔油池、化粪池</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废水收集池均设置盖板，其产生异味较小，</w:t>
            </w:r>
            <w:r>
              <w:rPr>
                <w:rFonts w:hint="default" w:ascii="Times New Roman" w:hAnsi="Times New Roman" w:eastAsia="宋体" w:cs="Times New Roman"/>
                <w:color w:val="auto"/>
                <w:kern w:val="0"/>
                <w:sz w:val="24"/>
              </w:rPr>
              <w:t>主要为无组织排放</w:t>
            </w:r>
            <w:r>
              <w:rPr>
                <w:rFonts w:hint="default" w:ascii="Times New Roman" w:hAnsi="Times New Roman" w:eastAsia="宋体" w:cs="Times New Roman"/>
                <w:color w:val="auto"/>
                <w:sz w:val="24"/>
              </w:rPr>
              <w:t>，通过稀释扩散对</w:t>
            </w:r>
            <w:r>
              <w:rPr>
                <w:rFonts w:hint="eastAsia" w:ascii="Times New Roman" w:hAnsi="Times New Roman" w:eastAsia="宋体" w:cs="Times New Roman"/>
                <w:color w:val="auto"/>
                <w:sz w:val="24"/>
                <w:lang w:eastAsia="zh-CN"/>
              </w:rPr>
              <w:t>周围环境</w:t>
            </w:r>
            <w:r>
              <w:rPr>
                <w:rFonts w:hint="default" w:ascii="Times New Roman" w:hAnsi="Times New Roman" w:eastAsia="宋体" w:cs="Times New Roman"/>
                <w:color w:val="auto"/>
                <w:sz w:val="24"/>
              </w:rPr>
              <w:t>的影响</w:t>
            </w:r>
            <w:r>
              <w:rPr>
                <w:rFonts w:hint="eastAsia" w:ascii="Times New Roman" w:hAnsi="Times New Roman" w:eastAsia="宋体" w:cs="Times New Roman"/>
                <w:color w:val="auto"/>
                <w:sz w:val="24"/>
                <w:lang w:eastAsia="zh-CN"/>
              </w:rPr>
              <w:t>较小</w:t>
            </w:r>
            <w:r>
              <w:rPr>
                <w:rFonts w:hint="default" w:ascii="Times New Roman" w:hAnsi="Times New Roman" w:eastAsia="宋体" w:cs="Times New Roman"/>
                <w:color w:val="auto"/>
                <w:sz w:val="24"/>
              </w:rPr>
              <w:t>。</w:t>
            </w:r>
          </w:p>
          <w:p w14:paraId="3AF2268C">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（2）水环境影响分析</w:t>
            </w:r>
          </w:p>
          <w:p w14:paraId="5B6ECE7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项目运营期废水</w:t>
            </w:r>
            <w:r>
              <w:rPr>
                <w:rFonts w:hint="eastAsia" w:ascii="Times New Roman" w:hAnsi="Times New Roman" w:eastAsia="宋体" w:cs="Times New Roman"/>
                <w:lang w:eastAsia="zh-CN"/>
              </w:rPr>
              <w:t>主要</w:t>
            </w:r>
            <w:r>
              <w:rPr>
                <w:rFonts w:hint="default" w:ascii="Times New Roman" w:hAnsi="Times New Roman" w:eastAsia="宋体" w:cs="Times New Roman"/>
              </w:rPr>
              <w:t>是光伏电池板清洗废水和值班人员的生活污水。</w:t>
            </w:r>
          </w:p>
          <w:p w14:paraId="43631FAE">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1）水污染物源强</w:t>
            </w:r>
          </w:p>
          <w:p w14:paraId="60097AF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①光伏电池板清洗废水</w:t>
            </w:r>
          </w:p>
          <w:p w14:paraId="2BF20549">
            <w:pPr>
              <w:numPr>
                <w:ilvl w:val="0"/>
                <w:numId w:val="0"/>
              </w:numPr>
              <w:spacing w:line="360" w:lineRule="auto"/>
              <w:ind w:firstLine="480" w:firstLineChars="200"/>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rPr>
              <w:t>太阳电池组件周围环境所产生的灰尘及杂物随着空气的流动，会附着在电池组件的表面，影响其光电的转换效率，降低其使用性能。如果树叶、鸟粪粘在其表面还会引起太阳电池局部发热而烧坏组件。据相关文献报道，该项因素会对光伏组件的输出功率产生约7%的影响。</w:t>
            </w:r>
            <w:r>
              <w:rPr>
                <w:rFonts w:hint="default" w:ascii="Times New Roman" w:hAnsi="Times New Roman" w:eastAsia="宋体" w:cs="Times New Roman"/>
                <w:color w:val="auto"/>
                <w:kern w:val="0"/>
                <w:sz w:val="24"/>
                <w:szCs w:val="24"/>
                <w:lang w:val="en-US" w:eastAsia="zh-CN" w:bidi="ar-SA"/>
              </w:rPr>
              <w:t>为了保证光伏电站的发电效率，需定期和不定期对太阳电池组件上的积尘进行清扫和去除。</w:t>
            </w:r>
            <w:r>
              <w:rPr>
                <w:rFonts w:hint="eastAsia" w:ascii="Times New Roman" w:hAnsi="Times New Roman" w:eastAsia="宋体" w:cs="Times New Roman"/>
                <w:color w:val="auto"/>
                <w:kern w:val="0"/>
                <w:sz w:val="24"/>
                <w:szCs w:val="24"/>
                <w:lang w:val="en-US" w:eastAsia="zh-CN" w:bidi="ar-SA"/>
              </w:rPr>
              <w:t>光伏电站工程的清洗方式考虑靠近道路及方便清洗车辆进入的区域采用机械清洗，其他区域采用人工清洗。机械清洗分为粗洗和精洗两种方式。在组件表面积尘到一定程度后采用移动式空气压缩机吹洗电池组件表面进行粗洗，将电池组件表面较大的灰尘颗粒吹落，但由于二次扬尘的问题，细小的灰尘仍会落在电池组件表面。之后，采用移动式节能喷水设施进行精洗。</w:t>
            </w:r>
          </w:p>
          <w:p w14:paraId="3007E1C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auto"/>
                <w:kern w:val="0"/>
                <w:sz w:val="24"/>
                <w:lang w:val="en-US" w:eastAsia="zh-CN"/>
              </w:rPr>
              <w:t>根据实际情况，</w:t>
            </w:r>
            <w:r>
              <w:rPr>
                <w:rFonts w:hint="eastAsia" w:ascii="Times New Roman" w:hAnsi="Times New Roman" w:eastAsia="宋体" w:cs="Times New Roman"/>
                <w:color w:val="auto"/>
                <w:kern w:val="0"/>
                <w:sz w:val="24"/>
                <w:lang w:val="en-US" w:eastAsia="zh-CN"/>
              </w:rPr>
              <w:t>雨季时降雨冲刷太阳能电池组件表面可达到自然清洁的目的，一般不需再额外进行人工清洗；项目主要在旱季时组织开展组件清洗，</w:t>
            </w:r>
            <w:r>
              <w:rPr>
                <w:rFonts w:hint="default" w:ascii="Times New Roman" w:hAnsi="Times New Roman" w:eastAsia="宋体" w:cs="Times New Roman"/>
              </w:rPr>
              <w:t>其人工清洗频率一般为6个月一次</w:t>
            </w:r>
            <w:r>
              <w:rPr>
                <w:rFonts w:hint="default" w:ascii="Times New Roman" w:hAnsi="Times New Roman" w:eastAsia="宋体" w:cs="Times New Roman"/>
                <w:lang w:eastAsia="zh-CN"/>
              </w:rPr>
              <w:t>，</w:t>
            </w:r>
            <w:r>
              <w:rPr>
                <w:rFonts w:hint="default" w:ascii="Times New Roman" w:hAnsi="Times New Roman" w:eastAsia="宋体" w:cs="Times New Roman"/>
              </w:rPr>
              <w:t>一年清洗2次，每次清洗约1个月时间完成。</w:t>
            </w:r>
          </w:p>
          <w:p w14:paraId="5EC002B7">
            <w:pPr>
              <w:numPr>
                <w:ilvl w:val="0"/>
                <w:numId w:val="0"/>
              </w:num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color w:val="auto"/>
                <w:kern w:val="0"/>
                <w:sz w:val="24"/>
                <w:lang w:val="en-US" w:eastAsia="zh-CN"/>
              </w:rPr>
              <w:t>组件清洗用水量参照《云南省地方标准 用水定额》（</w:t>
            </w:r>
            <w:r>
              <w:rPr>
                <w:rFonts w:hint="default" w:ascii="Times New Roman" w:hAnsi="Times New Roman" w:eastAsia="宋体" w:cs="Times New Roman"/>
                <w:color w:val="auto"/>
                <w:kern w:val="0"/>
                <w:sz w:val="24"/>
                <w:lang w:val="en-US" w:eastAsia="zh-CN"/>
              </w:rPr>
              <w:t>DB53/T168-2019</w:t>
            </w:r>
            <w:r>
              <w:rPr>
                <w:rFonts w:hint="eastAsia" w:ascii="Times New Roman" w:hAnsi="Times New Roman" w:eastAsia="宋体" w:cs="Times New Roman"/>
                <w:color w:val="auto"/>
                <w:kern w:val="0"/>
                <w:sz w:val="24"/>
                <w:lang w:val="en-US" w:eastAsia="zh-CN"/>
              </w:rPr>
              <w:t>）中环境卫生管理场地清洗用水量，</w:t>
            </w:r>
            <w:r>
              <w:rPr>
                <w:rFonts w:hint="default" w:ascii="Times New Roman" w:hAnsi="Times New Roman" w:eastAsia="宋体" w:cs="Times New Roman"/>
                <w:color w:val="auto"/>
                <w:sz w:val="24"/>
              </w:rPr>
              <w:t>电池板清洁</w:t>
            </w:r>
            <w:r>
              <w:rPr>
                <w:rFonts w:hint="default" w:ascii="Times New Roman" w:hAnsi="Times New Roman" w:eastAsia="宋体" w:cs="Times New Roman"/>
                <w:color w:val="auto"/>
                <w:sz w:val="24"/>
                <w:szCs w:val="20"/>
              </w:rPr>
              <w:t>用水量以</w:t>
            </w:r>
            <w:r>
              <w:rPr>
                <w:rFonts w:hint="eastAsia" w:ascii="Times New Roman" w:hAnsi="Times New Roman" w:eastAsia="宋体" w:cs="Times New Roman"/>
                <w:color w:val="auto"/>
                <w:sz w:val="24"/>
                <w:szCs w:val="20"/>
                <w:lang w:val="en-US" w:eastAsia="zh-CN"/>
              </w:rPr>
              <w:t>2.0</w:t>
            </w:r>
            <w:r>
              <w:rPr>
                <w:rFonts w:hint="default" w:ascii="Times New Roman" w:hAnsi="Times New Roman" w:eastAsia="宋体" w:cs="Times New Roman"/>
                <w:color w:val="auto"/>
                <w:sz w:val="24"/>
                <w:szCs w:val="20"/>
              </w:rPr>
              <w:t>L/</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m</w:t>
            </w:r>
            <w:r>
              <w:rPr>
                <w:rFonts w:hint="default" w:ascii="Times New Roman" w:hAnsi="Times New Roman" w:eastAsia="宋体" w:cs="Times New Roman"/>
                <w:color w:val="auto"/>
                <w:sz w:val="24"/>
                <w:szCs w:val="20"/>
                <w:vertAlign w:val="superscript"/>
              </w:rPr>
              <w:t>2</w:t>
            </w:r>
            <w:r>
              <w:rPr>
                <w:rFonts w:hint="eastAsia" w:ascii="Times New Roman" w:hAnsi="Times New Roman" w:eastAsia="宋体" w:cs="Times New Roman"/>
                <w:color w:val="auto"/>
                <w:sz w:val="24"/>
                <w:szCs w:val="20"/>
                <w:lang w:val="en-US" w:eastAsia="zh-CN"/>
              </w:rPr>
              <w:t>·次</w:t>
            </w:r>
            <w:r>
              <w:rPr>
                <w:rFonts w:hint="eastAsia"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计</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项目共设置有</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36080</w:t>
            </w:r>
            <w:r>
              <w:rPr>
                <w:rFonts w:hint="default" w:ascii="Times New Roman" w:hAnsi="Times New Roman" w:eastAsia="宋体" w:cs="Times New Roman"/>
                <w:color w:val="auto"/>
              </w:rPr>
              <w:t>块光伏组件</w:t>
            </w:r>
            <w:r>
              <w:rPr>
                <w:rFonts w:hint="default" w:ascii="Times New Roman" w:hAnsi="Times New Roman" w:eastAsia="宋体" w:cs="Times New Roman"/>
              </w:rPr>
              <w:t>，每块光伏组件的面积为</w:t>
            </w:r>
            <w:r>
              <w:rPr>
                <w:rFonts w:hint="eastAsia" w:ascii="Times New Roman" w:hAnsi="Times New Roman" w:eastAsia="宋体" w:cs="Times New Roman"/>
                <w:lang w:val="en-US" w:eastAsia="zh-CN"/>
              </w:rPr>
              <w:t>3.1</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w:t>
            </w:r>
            <w:r>
              <w:rPr>
                <w:rFonts w:hint="default" w:ascii="Times New Roman" w:hAnsi="Times New Roman" w:eastAsia="宋体" w:cs="Times New Roman"/>
                <w:lang w:val="en-US" w:eastAsia="zh-CN"/>
              </w:rPr>
              <w:t>2384mm×1303mm</w:t>
            </w:r>
            <w:r>
              <w:rPr>
                <w:rFonts w:hint="default" w:ascii="Times New Roman" w:hAnsi="Times New Roman" w:eastAsia="宋体" w:cs="Times New Roman"/>
              </w:rPr>
              <w:t>），则需清洗的光伏电池板总面积为</w:t>
            </w:r>
            <w:r>
              <w:rPr>
                <w:rFonts w:hint="eastAsia" w:ascii="Times New Roman" w:hAnsi="Times New Roman" w:eastAsia="宋体" w:cs="Times New Roman"/>
                <w:lang w:val="en-US" w:eastAsia="zh-CN"/>
              </w:rPr>
              <w:t>421848</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eastAsia="宋体" w:cs="Times New Roman"/>
              </w:rPr>
              <w:t xml:space="preserve">，则项目每次人工清洗的用水量约 </w:t>
            </w:r>
            <w:r>
              <w:rPr>
                <w:rFonts w:hint="eastAsia" w:ascii="Times New Roman" w:hAnsi="Times New Roman" w:eastAsia="宋体" w:cs="Times New Roman"/>
                <w:lang w:val="en-US" w:eastAsia="zh-CN"/>
              </w:rPr>
              <w:t>843.7</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1687.4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w:t>
            </w:r>
            <w:r>
              <w:rPr>
                <w:rFonts w:hint="eastAsia" w:ascii="Times New Roman" w:hAnsi="Times New Roman" w:eastAsia="宋体" w:cs="Times New Roman"/>
                <w:lang w:val="en-US" w:eastAsia="zh-CN"/>
              </w:rPr>
              <w:t>85</w:t>
            </w:r>
            <w:r>
              <w:rPr>
                <w:rFonts w:hint="default" w:ascii="Times New Roman" w:hAnsi="Times New Roman" w:eastAsia="宋体" w:cs="Times New Roman"/>
              </w:rPr>
              <w:t>计，则光伏电池板清洗废水产量为</w:t>
            </w:r>
            <w:r>
              <w:rPr>
                <w:rFonts w:hint="eastAsia" w:ascii="Times New Roman" w:hAnsi="Times New Roman" w:eastAsia="宋体" w:cs="Times New Roman"/>
                <w:lang w:val="en-US" w:eastAsia="zh-CN"/>
              </w:rPr>
              <w:t>717.14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r>
              <w:rPr>
                <w:rFonts w:hint="default" w:ascii="Times New Roman" w:hAnsi="Times New Roman" w:eastAsia="宋体" w:cs="Times New Roman"/>
                <w:lang w:eastAsia="zh-CN"/>
              </w:rPr>
              <w:t>，</w:t>
            </w:r>
            <w:r>
              <w:rPr>
                <w:rFonts w:hint="eastAsia" w:ascii="Times New Roman" w:hAnsi="Times New Roman" w:eastAsia="宋体" w:cs="Times New Roman"/>
                <w:lang w:val="en-US" w:eastAsia="zh-CN"/>
              </w:rPr>
              <w:t>1434.29</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w:t>
            </w:r>
            <w:r>
              <w:rPr>
                <w:rFonts w:hint="default" w:ascii="Times New Roman" w:hAnsi="Times New Roman" w:eastAsia="宋体" w:cs="Times New Roman"/>
                <w:lang w:val="en-US" w:eastAsia="zh-CN"/>
              </w:rPr>
              <w:t>a</w:t>
            </w:r>
            <w:r>
              <w:rPr>
                <w:rFonts w:hint="default" w:ascii="Times New Roman" w:hAnsi="Times New Roman" w:eastAsia="宋体" w:cs="Times New Roman"/>
              </w:rPr>
              <w:t>，污染物主要为SS。</w:t>
            </w:r>
          </w:p>
          <w:p w14:paraId="5B0A4427">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②生活污水</w:t>
            </w:r>
          </w:p>
          <w:p w14:paraId="026BF8C3">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本工程全站定员</w:t>
            </w:r>
            <w:r>
              <w:rPr>
                <w:rFonts w:hint="eastAsia" w:ascii="Times New Roman" w:hAnsi="Times New Roman" w:eastAsia="宋体" w:cs="Times New Roman"/>
                <w:lang w:val="en-US" w:eastAsia="zh-CN"/>
              </w:rPr>
              <w:t>5</w:t>
            </w:r>
            <w:r>
              <w:rPr>
                <w:rFonts w:hint="default" w:ascii="Times New Roman" w:hAnsi="Times New Roman" w:eastAsia="宋体" w:cs="Times New Roman"/>
              </w:rPr>
              <w:t>人，均在项目内食宿，年运行365天。根据《云南省行业用水定额地方标准》（DB53/T168-2019），生活用水定额取为100L/人.d计，则用水量为0.</w:t>
            </w:r>
            <w:r>
              <w:rPr>
                <w:rFonts w:hint="eastAsia" w:ascii="Times New Roman" w:hAnsi="Times New Roman" w:eastAsia="宋体" w:cs="Times New Roman"/>
                <w:lang w:val="en-US" w:eastAsia="zh-CN"/>
              </w:rPr>
              <w:t>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182.5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/a），产污系数按0.8计算，则污水产生量为0</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146</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eastAsia="zh-CN"/>
              </w:rPr>
              <w:t>其中厨房废水量为</w:t>
            </w:r>
            <w:r>
              <w:rPr>
                <w:rFonts w:hint="eastAsia" w:ascii="Times New Roman" w:hAnsi="Times New Roman" w:eastAsia="宋体" w:cs="Times New Roman"/>
                <w:lang w:val="en-US" w:eastAsia="zh-CN"/>
              </w:rPr>
              <w:t>0.1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/d（</w:t>
            </w:r>
            <w:r>
              <w:rPr>
                <w:rFonts w:hint="eastAsia" w:ascii="Times New Roman" w:hAnsi="Times New Roman" w:eastAsia="宋体" w:cs="Times New Roman"/>
                <w:lang w:val="en-US" w:eastAsia="zh-CN"/>
              </w:rPr>
              <w:t>36.5</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/a）</w:t>
            </w:r>
            <w:r>
              <w:rPr>
                <w:rFonts w:hint="eastAsia" w:ascii="Times New Roman" w:hAnsi="Times New Roman" w:eastAsia="宋体" w:cs="Times New Roman"/>
                <w:lang w:val="en-US" w:eastAsia="zh-CN"/>
              </w:rPr>
              <w:t>，</w:t>
            </w:r>
          </w:p>
          <w:p w14:paraId="24581C7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default" w:ascii="Times New Roman" w:hAnsi="Times New Roman" w:eastAsia="宋体" w:cs="Times New Roman"/>
              </w:rPr>
              <w:t>项目产生的生活污水经隔油池、化粪池</w:t>
            </w:r>
            <w:r>
              <w:rPr>
                <w:rFonts w:hint="eastAsia" w:ascii="Times New Roman" w:hAnsi="Times New Roman" w:eastAsia="宋体" w:cs="Times New Roman"/>
                <w:lang w:eastAsia="zh-CN"/>
              </w:rPr>
              <w:t>处理后暂存于废水收集池，</w:t>
            </w:r>
            <w:r>
              <w:rPr>
                <w:rFonts w:hint="default" w:ascii="Times New Roman" w:hAnsi="Times New Roman" w:eastAsia="宋体" w:cs="Times New Roman"/>
              </w:rPr>
              <w:t>用于升压站绿化，废水不外排。</w:t>
            </w:r>
          </w:p>
          <w:p w14:paraId="4D4CAD2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③绿化用水</w:t>
            </w:r>
          </w:p>
          <w:p w14:paraId="684527CB">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项目升压站内绿化面积约为</w:t>
            </w:r>
            <w:r>
              <w:rPr>
                <w:rFonts w:hint="eastAsia" w:ascii="Times New Roman" w:hAnsi="Times New Roman" w:eastAsia="宋体" w:cs="Times New Roman"/>
                <w:color w:val="auto"/>
                <w:sz w:val="24"/>
                <w:lang w:val="en-US" w:eastAsia="zh-CN"/>
              </w:rPr>
              <w:t>300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。根据《云南省地方标准 用水定额》（DB53/T168-2019），绿化用水按3L/m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•d计，雨天绿化不用水，晴天绿化用水量为0.</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/d。根据当地的气候情况，</w:t>
            </w:r>
            <w:r>
              <w:rPr>
                <w:rFonts w:hint="default" w:ascii="Times New Roman" w:hAnsi="Times New Roman" w:eastAsia="宋体" w:cs="Times New Roman"/>
                <w:bCs/>
                <w:color w:val="auto"/>
                <w:sz w:val="24"/>
                <w:szCs w:val="24"/>
              </w:rPr>
              <w:t>年平均降水日数170天，非降水日195天</w:t>
            </w:r>
            <w:r>
              <w:rPr>
                <w:rFonts w:hint="default" w:ascii="Times New Roman" w:hAnsi="Times New Roman" w:eastAsia="宋体" w:cs="Times New Roman"/>
                <w:color w:val="auto"/>
                <w:sz w:val="24"/>
              </w:rPr>
              <w:t>，则项目升压站绿化每年用水量为</w:t>
            </w:r>
            <w:r>
              <w:rPr>
                <w:rFonts w:hint="eastAsia" w:ascii="Times New Roman" w:hAnsi="Times New Roman" w:eastAsia="宋体" w:cs="Times New Roman"/>
                <w:color w:val="auto"/>
                <w:sz w:val="24"/>
                <w:lang w:val="en-US" w:eastAsia="zh-CN"/>
              </w:rPr>
              <w:t>175.5</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tbl>
            <w:tblPr>
              <w:tblStyle w:val="21"/>
              <w:tblpPr w:leftFromText="180" w:rightFromText="180" w:vertAnchor="text" w:horzAnchor="page" w:tblpX="110" w:tblpY="468"/>
              <w:tblOverlap w:val="never"/>
              <w:tblW w:w="851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50"/>
              <w:gridCol w:w="1273"/>
              <w:gridCol w:w="1173"/>
              <w:gridCol w:w="1297"/>
              <w:gridCol w:w="2486"/>
              <w:gridCol w:w="1038"/>
            </w:tblGrid>
            <w:tr w14:paraId="79A15C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3452F372">
                  <w:pPr>
                    <w:adjustRightInd w:val="0"/>
                    <w:snapToGrid w:val="0"/>
                    <w:jc w:val="center"/>
                    <w:rPr>
                      <w:rFonts w:hint="eastAsia" w:eastAsia="宋体"/>
                      <w:b/>
                      <w:color w:val="auto"/>
                      <w:lang w:eastAsia="zh-CN"/>
                    </w:rPr>
                  </w:pPr>
                  <w:r>
                    <w:rPr>
                      <w:rFonts w:hint="eastAsia"/>
                      <w:b/>
                      <w:color w:val="auto"/>
                      <w:lang w:eastAsia="zh-CN"/>
                    </w:rPr>
                    <w:t>产排污环节</w:t>
                  </w:r>
                </w:p>
              </w:tc>
              <w:tc>
                <w:tcPr>
                  <w:tcW w:w="1273" w:type="dxa"/>
                  <w:vAlign w:val="center"/>
                </w:tcPr>
                <w:p w14:paraId="645B342F">
                  <w:pPr>
                    <w:adjustRightInd w:val="0"/>
                    <w:snapToGrid w:val="0"/>
                    <w:jc w:val="center"/>
                    <w:rPr>
                      <w:rFonts w:hint="eastAsia" w:eastAsia="宋体"/>
                      <w:b/>
                      <w:color w:val="auto"/>
                      <w:lang w:eastAsia="zh-CN"/>
                    </w:rPr>
                  </w:pPr>
                  <w:r>
                    <w:rPr>
                      <w:rFonts w:hint="eastAsia"/>
                      <w:b/>
                      <w:color w:val="auto"/>
                      <w:lang w:eastAsia="zh-CN"/>
                    </w:rPr>
                    <w:t>污染物种类</w:t>
                  </w:r>
                </w:p>
              </w:tc>
              <w:tc>
                <w:tcPr>
                  <w:tcW w:w="1173" w:type="dxa"/>
                  <w:vAlign w:val="center"/>
                </w:tcPr>
                <w:p w14:paraId="41588CB7">
                  <w:pPr>
                    <w:adjustRightInd w:val="0"/>
                    <w:snapToGrid w:val="0"/>
                    <w:jc w:val="center"/>
                    <w:rPr>
                      <w:b/>
                      <w:color w:val="auto"/>
                    </w:rPr>
                  </w:pPr>
                  <w:r>
                    <w:rPr>
                      <w:rFonts w:hint="eastAsia"/>
                      <w:b/>
                      <w:color w:val="auto"/>
                      <w:lang w:eastAsia="zh-CN"/>
                    </w:rPr>
                    <w:t>用水</w:t>
                  </w:r>
                  <w:r>
                    <w:rPr>
                      <w:b/>
                      <w:color w:val="auto"/>
                    </w:rPr>
                    <w:t>量</w:t>
                  </w:r>
                  <w:r>
                    <w:rPr>
                      <w:rFonts w:hint="default" w:ascii="Times New Roman" w:hAnsi="Times New Roman" w:cs="Times New Roman"/>
                      <w:b/>
                      <w:color w:val="auto"/>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rPr>
                    <w:t>/a）</w:t>
                  </w:r>
                </w:p>
              </w:tc>
              <w:tc>
                <w:tcPr>
                  <w:tcW w:w="1297" w:type="dxa"/>
                  <w:vAlign w:val="center"/>
                </w:tcPr>
                <w:p w14:paraId="02C35797">
                  <w:pPr>
                    <w:adjustRightInd w:val="0"/>
                    <w:snapToGrid w:val="0"/>
                    <w:jc w:val="center"/>
                    <w:rPr>
                      <w:rFonts w:hint="default"/>
                      <w:b/>
                      <w:color w:val="auto"/>
                      <w:lang w:val="en-US" w:eastAsia="zh-CN"/>
                    </w:rPr>
                  </w:pPr>
                  <w:r>
                    <w:rPr>
                      <w:rFonts w:hint="eastAsia"/>
                      <w:b/>
                      <w:color w:val="auto"/>
                      <w:lang w:eastAsia="zh-CN"/>
                    </w:rPr>
                    <w:t>废水产生量</w:t>
                  </w:r>
                  <w:r>
                    <w:rPr>
                      <w:rFonts w:hint="eastAsia"/>
                      <w:b/>
                      <w:color w:val="auto"/>
                      <w:lang w:val="en-US" w:eastAsia="zh-CN"/>
                    </w:rPr>
                    <w:t>(</w:t>
                  </w:r>
                  <w:r>
                    <w:rPr>
                      <w:rFonts w:hint="default" w:ascii="Times New Roman" w:hAnsi="Times New Roman" w:cs="Times New Roman"/>
                      <w:b/>
                      <w:color w:val="auto"/>
                      <w:lang w:val="en-US" w:eastAsia="zh-CN"/>
                    </w:rPr>
                    <w:t>m</w:t>
                  </w:r>
                  <w:r>
                    <w:rPr>
                      <w:rFonts w:hint="default" w:ascii="Times New Roman" w:hAnsi="Times New Roman" w:cs="Times New Roman"/>
                      <w:b/>
                      <w:color w:val="auto"/>
                      <w:vertAlign w:val="superscript"/>
                      <w:lang w:val="en-US" w:eastAsia="zh-CN"/>
                    </w:rPr>
                    <w:t>3</w:t>
                  </w:r>
                  <w:r>
                    <w:rPr>
                      <w:rFonts w:hint="default" w:ascii="Times New Roman" w:hAnsi="Times New Roman" w:cs="Times New Roman"/>
                      <w:b/>
                      <w:color w:val="auto"/>
                      <w:lang w:val="en-US" w:eastAsia="zh-CN"/>
                    </w:rPr>
                    <w:t>/a</w:t>
                  </w:r>
                  <w:r>
                    <w:rPr>
                      <w:rFonts w:hint="eastAsia" w:ascii="Times New Roman" w:hAnsi="Times New Roman" w:cs="Times New Roman"/>
                      <w:b/>
                      <w:color w:val="auto"/>
                      <w:lang w:val="en-US" w:eastAsia="zh-CN"/>
                    </w:rPr>
                    <w:t>)</w:t>
                  </w:r>
                </w:p>
              </w:tc>
              <w:tc>
                <w:tcPr>
                  <w:tcW w:w="2486" w:type="dxa"/>
                  <w:vAlign w:val="center"/>
                </w:tcPr>
                <w:p w14:paraId="0C478AB2">
                  <w:pPr>
                    <w:adjustRightInd w:val="0"/>
                    <w:snapToGrid w:val="0"/>
                    <w:jc w:val="center"/>
                    <w:rPr>
                      <w:b/>
                      <w:color w:val="auto"/>
                    </w:rPr>
                  </w:pPr>
                  <w:r>
                    <w:rPr>
                      <w:b/>
                      <w:color w:val="auto"/>
                    </w:rPr>
                    <w:t>采取措施</w:t>
                  </w:r>
                </w:p>
              </w:tc>
              <w:tc>
                <w:tcPr>
                  <w:tcW w:w="1038" w:type="dxa"/>
                  <w:vAlign w:val="center"/>
                </w:tcPr>
                <w:p w14:paraId="5A845518">
                  <w:pPr>
                    <w:adjustRightInd w:val="0"/>
                    <w:snapToGrid w:val="0"/>
                    <w:jc w:val="center"/>
                    <w:rPr>
                      <w:b/>
                      <w:color w:val="auto"/>
                    </w:rPr>
                  </w:pPr>
                  <w:r>
                    <w:rPr>
                      <w:b/>
                      <w:color w:val="auto"/>
                    </w:rPr>
                    <w:t>排放量（t/a）</w:t>
                  </w:r>
                </w:p>
              </w:tc>
            </w:tr>
            <w:tr w14:paraId="2ECF98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1FD5CC0F">
                  <w:pPr>
                    <w:tabs>
                      <w:tab w:val="left" w:pos="30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生活用水</w:t>
                  </w:r>
                </w:p>
              </w:tc>
              <w:tc>
                <w:tcPr>
                  <w:tcW w:w="1273" w:type="dxa"/>
                  <w:vAlign w:val="center"/>
                </w:tcPr>
                <w:p w14:paraId="57B35B24">
                  <w:pPr>
                    <w:adjustRightInd w:val="0"/>
                    <w:snapToGrid w:val="0"/>
                    <w:jc w:val="center"/>
                    <w:rPr>
                      <w:rFonts w:hint="eastAsia"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bidi="ar"/>
                    </w:rPr>
                    <w:t>COD、BOD</w:t>
                  </w:r>
                  <w:r>
                    <w:rPr>
                      <w:rFonts w:hint="default" w:ascii="Times New Roman" w:hAnsi="Times New Roman" w:eastAsia="宋体" w:cs="Times New Roman"/>
                      <w:color w:val="auto"/>
                      <w:kern w:val="0"/>
                      <w:sz w:val="21"/>
                      <w:szCs w:val="21"/>
                      <w:vertAlign w:val="subscript"/>
                      <w:lang w:val="en-US" w:eastAsia="zh-CN" w:bidi="ar"/>
                    </w:rPr>
                    <w:t>5</w:t>
                  </w:r>
                  <w:r>
                    <w:rPr>
                      <w:rFonts w:hint="default" w:ascii="Times New Roman" w:hAnsi="Times New Roman" w:eastAsia="宋体" w:cs="Times New Roman"/>
                      <w:color w:val="auto"/>
                      <w:kern w:val="0"/>
                      <w:sz w:val="21"/>
                      <w:szCs w:val="21"/>
                      <w:lang w:val="en-US" w:eastAsia="zh-CN" w:bidi="ar"/>
                    </w:rPr>
                    <w:t>、总氮、NH</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-N、总磷</w:t>
                  </w:r>
                  <w:r>
                    <w:rPr>
                      <w:rFonts w:hint="eastAsia" w:ascii="Times New Roman" w:hAnsi="Times New Roman" w:eastAsia="宋体" w:cs="Times New Roman"/>
                      <w:color w:val="auto"/>
                      <w:kern w:val="0"/>
                      <w:sz w:val="21"/>
                      <w:szCs w:val="21"/>
                      <w:lang w:val="en-US" w:eastAsia="zh-CN" w:bidi="ar"/>
                    </w:rPr>
                    <w:t>等</w:t>
                  </w:r>
                </w:p>
              </w:tc>
              <w:tc>
                <w:tcPr>
                  <w:tcW w:w="1173" w:type="dxa"/>
                  <w:vAlign w:val="center"/>
                </w:tcPr>
                <w:p w14:paraId="2048449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182.5</w:t>
                  </w:r>
                </w:p>
              </w:tc>
              <w:tc>
                <w:tcPr>
                  <w:tcW w:w="1297" w:type="dxa"/>
                  <w:vAlign w:val="center"/>
                </w:tcPr>
                <w:p w14:paraId="41648B0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sz w:val="21"/>
                      <w:szCs w:val="21"/>
                      <w:lang w:val="en-US" w:eastAsia="zh-CN"/>
                    </w:rPr>
                    <w:t>146</w:t>
                  </w:r>
                </w:p>
              </w:tc>
              <w:tc>
                <w:tcPr>
                  <w:tcW w:w="2486" w:type="dxa"/>
                  <w:vAlign w:val="center"/>
                </w:tcPr>
                <w:p w14:paraId="126512A4">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b w:val="0"/>
                      <w:bCs w:val="0"/>
                      <w:color w:val="auto"/>
                      <w:sz w:val="21"/>
                      <w:szCs w:val="21"/>
                      <w:lang w:val="en-US" w:eastAsia="zh-CN"/>
                    </w:rPr>
                    <w:t>食堂废水经油水分离器处理后连同其余生活污水经化粪池处理后</w:t>
                  </w:r>
                  <w:r>
                    <w:rPr>
                      <w:rFonts w:hint="eastAsia" w:ascii="Times New Roman" w:hAnsi="Times New Roman" w:eastAsia="宋体" w:cs="Times New Roman"/>
                      <w:b w:val="0"/>
                      <w:bCs w:val="0"/>
                      <w:color w:val="auto"/>
                      <w:sz w:val="21"/>
                      <w:szCs w:val="21"/>
                      <w:lang w:val="en-US" w:eastAsia="zh-CN"/>
                    </w:rPr>
                    <w:t>暂存于废水收集池</w:t>
                  </w:r>
                  <w:r>
                    <w:rPr>
                      <w:rFonts w:hint="default" w:ascii="Times New Roman" w:hAnsi="Times New Roman" w:eastAsia="宋体" w:cs="Times New Roman"/>
                      <w:b w:val="0"/>
                      <w:bCs w:val="0"/>
                      <w:color w:val="auto"/>
                      <w:sz w:val="21"/>
                      <w:szCs w:val="21"/>
                      <w:lang w:val="en-US" w:eastAsia="zh-CN"/>
                    </w:rPr>
                    <w:t>，用于升压站绿化浇灌。</w:t>
                  </w:r>
                </w:p>
              </w:tc>
              <w:tc>
                <w:tcPr>
                  <w:tcW w:w="1038" w:type="dxa"/>
                  <w:vAlign w:val="center"/>
                </w:tcPr>
                <w:p w14:paraId="4FAA904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r>
            <w:tr w14:paraId="125E10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7F351E53">
                  <w:pPr>
                    <w:tabs>
                      <w:tab w:val="left" w:pos="3094"/>
                    </w:tabs>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sz w:val="21"/>
                      <w:szCs w:val="21"/>
                    </w:rPr>
                    <w:t>光伏电池板清洗废水</w:t>
                  </w:r>
                </w:p>
              </w:tc>
              <w:tc>
                <w:tcPr>
                  <w:tcW w:w="1273" w:type="dxa"/>
                  <w:vAlign w:val="center"/>
                </w:tcPr>
                <w:p w14:paraId="61309366">
                  <w:pPr>
                    <w:adjustRightInd w:val="0"/>
                    <w:snapToGrid w:val="0"/>
                    <w:jc w:val="center"/>
                    <w:rPr>
                      <w:rFonts w:hint="default" w:ascii="Times New Roman" w:hAnsi="Times New Roman" w:eastAsia="宋体" w:cs="Times New Roman"/>
                      <w:snapToGrid w:val="0"/>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ss</w:t>
                  </w:r>
                </w:p>
              </w:tc>
              <w:tc>
                <w:tcPr>
                  <w:tcW w:w="1173" w:type="dxa"/>
                  <w:vAlign w:val="center"/>
                </w:tcPr>
                <w:p w14:paraId="2059C3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1687.4</w:t>
                  </w:r>
                </w:p>
              </w:tc>
              <w:tc>
                <w:tcPr>
                  <w:tcW w:w="1297" w:type="dxa"/>
                  <w:vAlign w:val="center"/>
                </w:tcPr>
                <w:p w14:paraId="5460B47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sz w:val="21"/>
                      <w:szCs w:val="21"/>
                      <w:lang w:val="en-US" w:eastAsia="zh-CN"/>
                    </w:rPr>
                    <w:t>1434.29</w:t>
                  </w:r>
                </w:p>
              </w:tc>
              <w:tc>
                <w:tcPr>
                  <w:tcW w:w="2486" w:type="dxa"/>
                  <w:vAlign w:val="center"/>
                </w:tcPr>
                <w:p w14:paraId="6DE6C410">
                  <w:pPr>
                    <w:adjustRightInd w:val="0"/>
                    <w:snapToGrid w:val="0"/>
                    <w:jc w:val="center"/>
                    <w:rPr>
                      <w:rFonts w:hint="default" w:ascii="Times New Roman" w:hAnsi="Times New Roman" w:eastAsia="宋体" w:cs="Times New Roman"/>
                      <w:snapToGrid w:val="0"/>
                      <w:color w:val="auto"/>
                      <w:kern w:val="0"/>
                      <w:sz w:val="21"/>
                      <w:szCs w:val="21"/>
                      <w:lang w:eastAsia="zh-CN"/>
                    </w:rPr>
                  </w:pPr>
                  <w:r>
                    <w:rPr>
                      <w:rFonts w:hint="eastAsia" w:ascii="Times New Roman" w:hAnsi="Times New Roman" w:eastAsia="宋体" w:cs="Times New Roman"/>
                      <w:color w:val="auto"/>
                      <w:sz w:val="21"/>
                      <w:szCs w:val="21"/>
                      <w:lang w:eastAsia="zh-CN"/>
                    </w:rPr>
                    <w:t>暂存于沉淀池，用于</w:t>
                  </w:r>
                  <w:r>
                    <w:rPr>
                      <w:rFonts w:hint="default" w:ascii="Times New Roman" w:hAnsi="Times New Roman" w:eastAsia="宋体" w:cs="Times New Roman"/>
                      <w:color w:val="auto"/>
                      <w:sz w:val="21"/>
                      <w:szCs w:val="21"/>
                    </w:rPr>
                    <w:t>光伏阵列区</w:t>
                  </w:r>
                  <w:r>
                    <w:rPr>
                      <w:rFonts w:hint="default" w:ascii="Times New Roman" w:hAnsi="Times New Roman" w:eastAsia="宋体" w:cs="Times New Roman"/>
                      <w:color w:val="auto"/>
                      <w:sz w:val="21"/>
                      <w:szCs w:val="21"/>
                      <w:lang w:val="en-US" w:eastAsia="zh-CN"/>
                    </w:rPr>
                    <w:t>板下</w:t>
                  </w:r>
                  <w:r>
                    <w:rPr>
                      <w:rFonts w:hint="default" w:ascii="Times New Roman" w:hAnsi="Times New Roman" w:eastAsia="宋体" w:cs="Times New Roman"/>
                      <w:color w:val="auto"/>
                      <w:sz w:val="21"/>
                      <w:szCs w:val="21"/>
                    </w:rPr>
                    <w:t>植被</w:t>
                  </w:r>
                  <w:r>
                    <w:rPr>
                      <w:rFonts w:hint="default" w:ascii="Times New Roman" w:hAnsi="Times New Roman" w:eastAsia="宋体" w:cs="Times New Roman"/>
                      <w:color w:val="auto"/>
                      <w:sz w:val="21"/>
                      <w:szCs w:val="21"/>
                      <w:lang w:val="en-US" w:eastAsia="zh-CN"/>
                    </w:rPr>
                    <w:t>浇灌</w:t>
                  </w:r>
                </w:p>
              </w:tc>
              <w:tc>
                <w:tcPr>
                  <w:tcW w:w="1038" w:type="dxa"/>
                  <w:vAlign w:val="center"/>
                </w:tcPr>
                <w:p w14:paraId="78A3E9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w:t>
                  </w:r>
                </w:p>
              </w:tc>
            </w:tr>
            <w:tr w14:paraId="365FB9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250" w:type="dxa"/>
                  <w:vAlign w:val="center"/>
                </w:tcPr>
                <w:p w14:paraId="72866371">
                  <w:pPr>
                    <w:tabs>
                      <w:tab w:val="left" w:pos="3094"/>
                    </w:tabs>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绿化用水</w:t>
                  </w:r>
                </w:p>
              </w:tc>
              <w:tc>
                <w:tcPr>
                  <w:tcW w:w="1273" w:type="dxa"/>
                  <w:vAlign w:val="center"/>
                </w:tcPr>
                <w:p w14:paraId="0F29BC29">
                  <w:pPr>
                    <w:adjustRightInd w:val="0"/>
                    <w:snapToGrid w:val="0"/>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w:t>
                  </w:r>
                </w:p>
              </w:tc>
              <w:tc>
                <w:tcPr>
                  <w:tcW w:w="1173" w:type="dxa"/>
                  <w:vAlign w:val="center"/>
                </w:tcPr>
                <w:p w14:paraId="4D3B1AAE">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175.5</w:t>
                  </w:r>
                </w:p>
              </w:tc>
              <w:tc>
                <w:tcPr>
                  <w:tcW w:w="1297" w:type="dxa"/>
                  <w:vAlign w:val="center"/>
                </w:tcPr>
                <w:p w14:paraId="7F0B45F8">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w:t>
                  </w:r>
                </w:p>
              </w:tc>
              <w:tc>
                <w:tcPr>
                  <w:tcW w:w="2486" w:type="dxa"/>
                  <w:vAlign w:val="center"/>
                </w:tcPr>
                <w:p w14:paraId="34088048">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038" w:type="dxa"/>
                  <w:vAlign w:val="center"/>
                </w:tcPr>
                <w:p w14:paraId="7688C72B">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lang w:val="en-US" w:eastAsia="zh-CN"/>
                    </w:rPr>
                    <w:t>0</w:t>
                  </w:r>
                </w:p>
              </w:tc>
            </w:tr>
          </w:tbl>
          <w:p w14:paraId="64F0CAF6">
            <w:pPr>
              <w:spacing w:line="360" w:lineRule="auto"/>
              <w:ind w:firstLine="422" w:firstLineChars="200"/>
              <w:jc w:val="center"/>
              <w:rPr>
                <w:rFonts w:hint="eastAsia" w:ascii="Times New Roman" w:hAnsi="Times New Roman" w:eastAsia="宋体" w:cs="Times New Roman"/>
                <w:b/>
                <w:bCs/>
                <w:color w:val="auto"/>
                <w:sz w:val="21"/>
                <w:szCs w:val="21"/>
                <w:lang w:val="en-US" w:eastAsia="zh-CN"/>
              </w:rPr>
            </w:pPr>
            <w:r>
              <w:rPr>
                <w:b/>
                <w:bCs/>
                <w:color w:val="auto"/>
                <w:sz w:val="21"/>
                <w:szCs w:val="21"/>
              </w:rPr>
              <w:t>表</w:t>
            </w:r>
            <w:r>
              <w:rPr>
                <w:rFonts w:hint="default" w:ascii="Times New Roman" w:hAnsi="Times New Roman" w:eastAsia="仿宋" w:cs="Times New Roman"/>
                <w:b/>
                <w:bCs/>
                <w:color w:val="auto"/>
                <w:sz w:val="21"/>
                <w:szCs w:val="21"/>
                <w:lang w:val="en-US" w:eastAsia="zh-CN"/>
              </w:rPr>
              <w:t>4-</w:t>
            </w:r>
            <w:r>
              <w:rPr>
                <w:rFonts w:hint="eastAsia" w:eastAsia="仿宋" w:cs="Times New Roman"/>
                <w:b/>
                <w:bCs/>
                <w:color w:val="auto"/>
                <w:sz w:val="21"/>
                <w:szCs w:val="21"/>
                <w:lang w:val="en-US" w:eastAsia="zh-CN"/>
              </w:rPr>
              <w:t>5</w:t>
            </w:r>
            <w:r>
              <w:rPr>
                <w:rFonts w:hint="eastAsia" w:ascii="仿宋" w:hAnsi="仿宋" w:eastAsia="仿宋" w:cs="仿宋"/>
                <w:b/>
                <w:bCs/>
                <w:color w:val="auto"/>
                <w:sz w:val="21"/>
                <w:szCs w:val="21"/>
                <w:lang w:val="en-US" w:eastAsia="zh-CN"/>
              </w:rPr>
              <w:t xml:space="preserve"> </w:t>
            </w:r>
            <w:r>
              <w:rPr>
                <w:b/>
                <w:bCs/>
                <w:color w:val="auto"/>
                <w:sz w:val="21"/>
                <w:szCs w:val="21"/>
              </w:rPr>
              <w:t>项目</w:t>
            </w:r>
            <w:r>
              <w:rPr>
                <w:rFonts w:hint="eastAsia"/>
                <w:b/>
                <w:bCs/>
                <w:color w:val="auto"/>
                <w:sz w:val="21"/>
                <w:szCs w:val="21"/>
                <w:lang w:eastAsia="zh-CN"/>
              </w:rPr>
              <w:t>废水</w:t>
            </w:r>
            <w:r>
              <w:rPr>
                <w:b/>
                <w:bCs/>
                <w:color w:val="auto"/>
                <w:sz w:val="21"/>
                <w:szCs w:val="21"/>
              </w:rPr>
              <w:t>产排情况汇总</w:t>
            </w:r>
            <w:r>
              <w:rPr>
                <w:rFonts w:hint="eastAsia"/>
                <w:b/>
                <w:bCs/>
                <w:color w:val="auto"/>
                <w:sz w:val="21"/>
                <w:szCs w:val="21"/>
                <w:lang w:eastAsia="zh-CN"/>
              </w:rPr>
              <w:t>表</w:t>
            </w:r>
          </w:p>
          <w:p w14:paraId="651C5FCD">
            <w:pPr>
              <w:pStyle w:val="17"/>
              <w:rPr>
                <w:rFonts w:hint="eastAsia"/>
                <w:lang w:eastAsia="zh-CN"/>
              </w:rPr>
            </w:pPr>
            <w:r>
              <w:drawing>
                <wp:inline distT="0" distB="0" distL="114300" distR="114300">
                  <wp:extent cx="5196205" cy="2491105"/>
                  <wp:effectExtent l="0" t="0" r="4445" b="444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31"/>
                          <a:stretch>
                            <a:fillRect/>
                          </a:stretch>
                        </pic:blipFill>
                        <pic:spPr>
                          <a:xfrm>
                            <a:off x="0" y="0"/>
                            <a:ext cx="5196205" cy="2491105"/>
                          </a:xfrm>
                          <a:prstGeom prst="rect">
                            <a:avLst/>
                          </a:prstGeom>
                          <a:noFill/>
                          <a:ln>
                            <a:noFill/>
                          </a:ln>
                        </pic:spPr>
                      </pic:pic>
                    </a:graphicData>
                  </a:graphic>
                </wp:inline>
              </w:drawing>
            </w:r>
          </w:p>
          <w:p w14:paraId="111E7623">
            <w:pPr>
              <w:autoSpaceDE w:val="0"/>
              <w:autoSpaceDN w:val="0"/>
              <w:spacing w:line="360" w:lineRule="auto"/>
              <w:jc w:val="center"/>
              <w:rPr>
                <w:rFonts w:hint="default" w:ascii="Times New Roman" w:hAnsi="Times New Roman" w:eastAsia="宋体" w:cs="Times New Roman"/>
              </w:rPr>
            </w:pPr>
            <w:r>
              <w:rPr>
                <w:rFonts w:hint="default" w:ascii="Times New Roman" w:hAnsi="Times New Roman" w:eastAsia="宋体" w:cs="Times New Roman"/>
                <w:b/>
                <w:color w:val="auto"/>
                <w:sz w:val="24"/>
                <w:szCs w:val="24"/>
              </w:rPr>
              <w:t>图4-</w:t>
            </w:r>
            <w:r>
              <w:rPr>
                <w:rFonts w:hint="eastAsia" w:ascii="Times New Roman" w:hAnsi="Times New Roman" w:eastAsia="宋体"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项目水平衡图（单位：m</w:t>
            </w:r>
            <w:r>
              <w:rPr>
                <w:rFonts w:hint="default" w:ascii="Times New Roman" w:hAnsi="Times New Roman" w:eastAsia="宋体" w:cs="Times New Roman"/>
                <w:b/>
                <w:color w:val="auto"/>
                <w:sz w:val="24"/>
                <w:szCs w:val="24"/>
                <w:vertAlign w:val="superscript"/>
              </w:rPr>
              <w:t>3</w:t>
            </w:r>
            <w:r>
              <w:rPr>
                <w:rFonts w:hint="default" w:ascii="Times New Roman" w:hAnsi="Times New Roman" w:eastAsia="宋体" w:cs="Times New Roman"/>
                <w:b/>
                <w:color w:val="auto"/>
                <w:sz w:val="24"/>
                <w:szCs w:val="24"/>
              </w:rPr>
              <w:t>/a）</w:t>
            </w:r>
          </w:p>
          <w:p w14:paraId="65CEF8FD">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2）项目废水处理方案</w:t>
            </w:r>
          </w:p>
          <w:p w14:paraId="3F1F09E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①废水特征</w:t>
            </w:r>
          </w:p>
          <w:p w14:paraId="6EC58F71">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项目营运期间产生的光伏电池板清洗废水主要含SS，不含其它污染物，清洗 废水量约</w:t>
            </w:r>
            <w:r>
              <w:rPr>
                <w:rFonts w:hint="eastAsia" w:ascii="Times New Roman" w:hAnsi="Times New Roman" w:eastAsia="宋体" w:cs="Times New Roman"/>
                <w:lang w:val="en-US" w:eastAsia="zh-CN"/>
              </w:rPr>
              <w:t>717.14</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/次。</w:t>
            </w:r>
          </w:p>
          <w:p w14:paraId="7D1A94D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rPr>
              <w:t>营运期间产</w:t>
            </w:r>
            <w:r>
              <w:rPr>
                <w:rFonts w:hint="default" w:ascii="Times New Roman" w:hAnsi="Times New Roman" w:eastAsia="宋体" w:cs="Times New Roman"/>
                <w:color w:val="auto"/>
              </w:rPr>
              <w:t>生的生活污水量约</w:t>
            </w:r>
            <w:r>
              <w:rPr>
                <w:rFonts w:hint="eastAsia" w:ascii="Times New Roman" w:hAnsi="Times New Roman" w:eastAsia="宋体" w:cs="Times New Roman"/>
                <w:color w:val="auto"/>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rPr>
              <w:t>污水中含有的污染物主要是CODcr、BOD</w:t>
            </w:r>
            <w:r>
              <w:rPr>
                <w:rFonts w:hint="default" w:ascii="Times New Roman" w:hAnsi="Times New Roman" w:eastAsia="宋体" w:cs="Times New Roman"/>
                <w:vertAlign w:val="subscript"/>
              </w:rPr>
              <w:t>5</w:t>
            </w:r>
            <w:r>
              <w:rPr>
                <w:rFonts w:hint="default" w:ascii="Times New Roman" w:hAnsi="Times New Roman" w:eastAsia="宋体" w:cs="Times New Roman"/>
              </w:rPr>
              <w:t>、SS、氨氮、油脂和总磷</w:t>
            </w:r>
            <w:r>
              <w:rPr>
                <w:rFonts w:hint="default" w:ascii="Times New Roman" w:hAnsi="Times New Roman" w:eastAsia="宋体" w:cs="Times New Roman"/>
                <w:lang w:val="en-US" w:eastAsia="zh-CN"/>
              </w:rPr>
              <w:t>等</w:t>
            </w:r>
            <w:r>
              <w:rPr>
                <w:rFonts w:hint="eastAsia" w:ascii="Times New Roman" w:hAnsi="Times New Roman" w:eastAsia="宋体" w:cs="Times New Roman"/>
                <w:lang w:val="en-US" w:eastAsia="zh-CN"/>
              </w:rPr>
              <w:t>。</w:t>
            </w:r>
          </w:p>
          <w:p w14:paraId="234E682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w:t>
            </w:r>
            <w:r>
              <w:rPr>
                <w:rFonts w:hint="default" w:ascii="Times New Roman" w:hAnsi="Times New Roman" w:eastAsia="宋体" w:cs="Times New Roman"/>
                <w:color w:val="auto"/>
                <w:sz w:val="24"/>
              </w:rPr>
              <w:t>污染物排放情况</w:t>
            </w:r>
          </w:p>
          <w:p w14:paraId="721BF11D">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运营时产生的废水为生活污水和生产废水。</w:t>
            </w:r>
          </w:p>
          <w:p w14:paraId="4C53F571">
            <w:pPr>
              <w:adjustRightInd w:val="0"/>
              <w:snapToGrid w:val="0"/>
              <w:spacing w:line="360" w:lineRule="auto"/>
              <w:ind w:firstLine="480" w:firstLineChars="200"/>
              <w:rPr>
                <w:rFonts w:hint="eastAsia" w:ascii="Times New Roman" w:hAnsi="Times New Roman" w:eastAsia="宋体" w:cs="Times New Roman"/>
                <w:color w:val="auto"/>
                <w:sz w:val="24"/>
                <w:szCs w:val="20"/>
                <w:lang w:eastAsia="zh-CN"/>
              </w:rPr>
            </w:pPr>
            <w:r>
              <w:rPr>
                <w:rFonts w:hint="eastAsia" w:ascii="Times New Roman" w:hAnsi="Times New Roman" w:eastAsia="宋体" w:cs="Times New Roman"/>
                <w:color w:val="auto"/>
                <w:sz w:val="24"/>
                <w:lang w:val="en-US" w:eastAsia="zh-CN"/>
              </w:rPr>
              <w:t>①</w:t>
            </w:r>
            <w:r>
              <w:rPr>
                <w:rFonts w:hint="default" w:ascii="Times New Roman" w:hAnsi="Times New Roman" w:eastAsia="宋体" w:cs="Times New Roman"/>
                <w:color w:val="auto"/>
                <w:sz w:val="24"/>
              </w:rPr>
              <w:t>生产废水：项目产生的生产废水</w:t>
            </w:r>
            <w:r>
              <w:rPr>
                <w:rFonts w:hint="default" w:ascii="Times New Roman" w:hAnsi="Times New Roman" w:eastAsia="宋体" w:cs="Times New Roman"/>
                <w:color w:val="auto"/>
                <w:sz w:val="24"/>
                <w:szCs w:val="20"/>
              </w:rPr>
              <w:t>主要污染物是SS</w:t>
            </w:r>
            <w:r>
              <w:rPr>
                <w:rFonts w:hint="eastAsia" w:ascii="Times New Roman" w:hAnsi="Times New Roman" w:eastAsia="宋体" w:cs="Times New Roman"/>
                <w:color w:val="auto"/>
                <w:sz w:val="24"/>
                <w:szCs w:val="20"/>
                <w:lang w:eastAsia="zh-CN"/>
              </w:rPr>
              <w:t>。</w:t>
            </w:r>
          </w:p>
          <w:p w14:paraId="683266A5">
            <w:pPr>
              <w:adjustRightInd w:val="0"/>
              <w:snapToGrid w:val="0"/>
              <w:spacing w:line="360" w:lineRule="auto"/>
              <w:ind w:firstLine="424" w:firstLineChars="177"/>
              <w:rPr>
                <w:rFonts w:hint="default" w:ascii="Times New Roman" w:hAnsi="Times New Roman" w:eastAsia="宋体" w:cs="Times New Roman"/>
                <w:b/>
                <w:bCs/>
                <w:color w:val="auto"/>
                <w:sz w:val="24"/>
              </w:rPr>
            </w:pPr>
            <w:r>
              <w:rPr>
                <w:rFonts w:hint="eastAsia" w:ascii="Times New Roman" w:hAnsi="Times New Roman" w:eastAsia="宋体" w:cs="Times New Roman"/>
                <w:color w:val="auto"/>
                <w:sz w:val="24"/>
                <w:lang w:val="en-US" w:eastAsia="zh-CN"/>
              </w:rPr>
              <w:t>②</w:t>
            </w:r>
            <w:r>
              <w:rPr>
                <w:rFonts w:hint="default" w:ascii="Times New Roman" w:hAnsi="Times New Roman" w:eastAsia="宋体" w:cs="Times New Roman"/>
                <w:color w:val="auto"/>
                <w:sz w:val="24"/>
              </w:rPr>
              <w:t>生活污水：项目产生的生活污水经隔油池、化粪池处理后</w:t>
            </w:r>
            <w:r>
              <w:rPr>
                <w:rFonts w:hint="eastAsia" w:ascii="Times New Roman" w:hAnsi="Times New Roman" w:eastAsia="宋体" w:cs="Times New Roman"/>
                <w:color w:val="auto"/>
                <w:sz w:val="24"/>
                <w:lang w:eastAsia="zh-CN"/>
              </w:rPr>
              <w:t>暂存于废水收集池</w:t>
            </w:r>
            <w:r>
              <w:rPr>
                <w:rFonts w:hint="default" w:ascii="Times New Roman" w:hAnsi="Times New Roman" w:eastAsia="宋体" w:cs="Times New Roman"/>
                <w:color w:val="auto"/>
                <w:sz w:val="24"/>
              </w:rPr>
              <w:t>用于升压站绿化</w:t>
            </w:r>
            <w:r>
              <w:rPr>
                <w:rFonts w:hint="eastAsia" w:ascii="Times New Roman" w:hAnsi="Times New Roman" w:eastAsia="宋体" w:cs="Times New Roman"/>
                <w:color w:val="auto"/>
                <w:sz w:val="24"/>
                <w:lang w:eastAsia="zh-CN"/>
              </w:rPr>
              <w:t>施肥</w:t>
            </w:r>
            <w:r>
              <w:rPr>
                <w:rFonts w:hint="default" w:ascii="Times New Roman" w:hAnsi="Times New Roman" w:eastAsia="宋体" w:cs="Times New Roman"/>
                <w:color w:val="auto"/>
                <w:sz w:val="24"/>
              </w:rPr>
              <w:t>，废水不外排。</w:t>
            </w:r>
          </w:p>
          <w:p w14:paraId="085237D9">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3）污水处理设施</w:t>
            </w:r>
          </w:p>
          <w:p w14:paraId="3FC5C748">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①雨污分流</w:t>
            </w:r>
          </w:p>
          <w:p w14:paraId="7E48CD7B">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升压站内采取有组织排水，光伏组件阵列沿场内道路两侧布置，道路排水沟可拦截光伏组件阵列区上游地表汇流、收排光伏组件阵列区外排雨水；光伏支架对原始地形地貌改变不大，且因场地面积较大，为减少投资，光伏方阵依据自然地形采取自然排水。</w:t>
            </w:r>
          </w:p>
          <w:p w14:paraId="0C7EB76D">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②隔油池</w:t>
            </w:r>
          </w:p>
          <w:p w14:paraId="44957CE2">
            <w:pPr>
              <w:adjustRightInd w:val="0"/>
              <w:snapToGrid w:val="0"/>
              <w:spacing w:line="360" w:lineRule="auto"/>
              <w:ind w:firstLine="424" w:firstLineChars="177"/>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隔油池污水处理规模以项目运行期的废水产生量为基数并取1.2的安全变化系数。项目食堂废水产生量为0.</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d，考虑后期发展需要，本次环评要求</w:t>
            </w:r>
            <w:r>
              <w:rPr>
                <w:rFonts w:hint="eastAsia" w:ascii="Times New Roman" w:hAnsi="Times New Roman" w:eastAsia="宋体" w:cs="Times New Roman"/>
                <w:color w:val="auto"/>
                <w:sz w:val="24"/>
                <w:lang w:val="en-US" w:eastAsia="zh-CN"/>
              </w:rPr>
              <w:t>建设</w:t>
            </w:r>
            <w:r>
              <w:rPr>
                <w:rFonts w:hint="default" w:ascii="Times New Roman" w:hAnsi="Times New Roman" w:eastAsia="宋体" w:cs="Times New Roman"/>
                <w:color w:val="auto"/>
                <w:sz w:val="24"/>
              </w:rPr>
              <w:t>隔油池有效容积应不小于0.5m</w:t>
            </w:r>
            <w:r>
              <w:rPr>
                <w:rFonts w:hint="default" w:ascii="Times New Roman" w:hAnsi="Times New Roman" w:eastAsia="宋体" w:cs="Times New Roman"/>
                <w:color w:val="auto"/>
                <w:sz w:val="24"/>
                <w:vertAlign w:val="superscript"/>
              </w:rPr>
              <w:t>3</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完全满足隔油需要。</w:t>
            </w:r>
          </w:p>
          <w:p w14:paraId="43B13CE9">
            <w:pPr>
              <w:adjustRightInd w:val="0"/>
              <w:snapToGrid w:val="0"/>
              <w:spacing w:line="360" w:lineRule="auto"/>
              <w:ind w:firstLine="424" w:firstLineChars="177"/>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③化粪池</w:t>
            </w:r>
          </w:p>
          <w:p w14:paraId="2A181366">
            <w:pPr>
              <w:adjustRightInd w:val="0"/>
              <w:snapToGrid w:val="0"/>
              <w:spacing w:line="360" w:lineRule="auto"/>
              <w:ind w:firstLine="424" w:firstLineChars="177"/>
              <w:rPr>
                <w:rFonts w:hint="default" w:ascii="Times New Roman" w:hAnsi="Times New Roman" w:eastAsia="宋体" w:cs="Times New Roman"/>
                <w:bCs/>
                <w:color w:val="auto"/>
                <w:sz w:val="24"/>
                <w:szCs w:val="20"/>
              </w:rPr>
            </w:pPr>
            <w:r>
              <w:rPr>
                <w:rFonts w:hint="default" w:ascii="Times New Roman" w:hAnsi="Times New Roman" w:eastAsia="宋体" w:cs="Times New Roman"/>
                <w:color w:val="auto"/>
                <w:sz w:val="24"/>
              </w:rPr>
              <w:t>化粪池处理规模以废水产生量为基数</w:t>
            </w:r>
            <w:r>
              <w:rPr>
                <w:rFonts w:hint="default" w:ascii="Times New Roman" w:hAnsi="Times New Roman" w:eastAsia="宋体" w:cs="Times New Roman"/>
                <w:bCs/>
                <w:color w:val="auto"/>
                <w:sz w:val="24"/>
                <w:szCs w:val="20"/>
              </w:rPr>
              <w:t>并考虑20%的余量取定。本项目运行期生活污水产生量为</w:t>
            </w:r>
            <w:r>
              <w:rPr>
                <w:rFonts w:hint="eastAsia" w:ascii="Times New Roman" w:hAnsi="Times New Roman" w:eastAsia="宋体" w:cs="Times New Roman"/>
                <w:bCs/>
                <w:color w:val="auto"/>
                <w:sz w:val="24"/>
                <w:szCs w:val="20"/>
                <w:lang w:val="en-US" w:eastAsia="zh-CN"/>
              </w:rPr>
              <w:t>0.4</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/d，考虑后期发展需要，</w:t>
            </w:r>
            <w:r>
              <w:rPr>
                <w:rFonts w:hint="eastAsia" w:ascii="Times New Roman" w:hAnsi="Times New Roman" w:eastAsia="宋体" w:cs="Times New Roman"/>
                <w:bCs/>
                <w:color w:val="auto"/>
                <w:sz w:val="24"/>
                <w:szCs w:val="20"/>
                <w:lang w:val="en-US" w:eastAsia="zh-CN"/>
              </w:rPr>
              <w:t>要求</w:t>
            </w:r>
            <w:r>
              <w:rPr>
                <w:rFonts w:hint="default" w:ascii="Times New Roman" w:hAnsi="Times New Roman" w:eastAsia="宋体" w:cs="Times New Roman"/>
                <w:bCs/>
                <w:color w:val="auto"/>
                <w:sz w:val="24"/>
                <w:szCs w:val="20"/>
              </w:rPr>
              <w:t>建设一个</w:t>
            </w:r>
            <w:r>
              <w:rPr>
                <w:rFonts w:hint="eastAsia" w:ascii="Times New Roman" w:hAnsi="Times New Roman" w:eastAsia="宋体" w:cs="Times New Roman"/>
                <w:bCs/>
                <w:color w:val="auto"/>
                <w:sz w:val="24"/>
                <w:szCs w:val="20"/>
                <w:lang w:val="en-US" w:eastAsia="zh-CN"/>
              </w:rPr>
              <w:t>4.0</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的化粪池收集厕所的废水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完全满足生活污水预处理需要</w:t>
            </w:r>
            <w:r>
              <w:rPr>
                <w:rFonts w:hint="default" w:ascii="Times New Roman" w:hAnsi="Times New Roman" w:eastAsia="宋体" w:cs="Times New Roman"/>
                <w:bCs/>
                <w:color w:val="auto"/>
                <w:sz w:val="24"/>
                <w:szCs w:val="20"/>
              </w:rPr>
              <w:t>。</w:t>
            </w:r>
          </w:p>
          <w:p w14:paraId="469FAA69">
            <w:pPr>
              <w:spacing w:line="360" w:lineRule="auto"/>
              <w:ind w:firstLine="480"/>
              <w:rPr>
                <w:rFonts w:hint="eastAsia" w:ascii="Times New Roman" w:hAnsi="Times New Roman" w:eastAsia="宋体" w:cs="Times New Roman"/>
                <w:bCs/>
                <w:color w:val="auto"/>
                <w:sz w:val="24"/>
                <w:szCs w:val="20"/>
                <w:lang w:eastAsia="zh-CN"/>
              </w:rPr>
            </w:pPr>
            <w:r>
              <w:rPr>
                <w:rFonts w:hint="default" w:ascii="Times New Roman" w:hAnsi="Times New Roman" w:eastAsia="宋体" w:cs="Times New Roman"/>
                <w:bCs/>
                <w:color w:val="auto"/>
                <w:sz w:val="24"/>
                <w:szCs w:val="20"/>
              </w:rPr>
              <w:t>④</w:t>
            </w:r>
            <w:r>
              <w:rPr>
                <w:rFonts w:hint="eastAsia" w:ascii="Times New Roman" w:hAnsi="Times New Roman" w:eastAsia="宋体" w:cs="Times New Roman"/>
                <w:bCs/>
                <w:color w:val="auto"/>
                <w:sz w:val="24"/>
                <w:szCs w:val="20"/>
                <w:lang w:eastAsia="zh-CN"/>
              </w:rPr>
              <w:t>废水收集池</w:t>
            </w:r>
          </w:p>
          <w:p w14:paraId="4154C3B7">
            <w:pPr>
              <w:spacing w:line="360" w:lineRule="auto"/>
              <w:ind w:firstLine="480"/>
              <w:rPr>
                <w:rFonts w:hint="default" w:ascii="Times New Roman" w:hAnsi="Times New Roman" w:eastAsia="宋体" w:cs="Times New Roman"/>
                <w:bCs/>
                <w:color w:val="auto"/>
                <w:sz w:val="24"/>
                <w:szCs w:val="20"/>
                <w:lang w:val="en-US" w:eastAsia="zh-CN"/>
              </w:rPr>
            </w:pPr>
            <w:r>
              <w:rPr>
                <w:rFonts w:hint="eastAsia" w:ascii="Times New Roman" w:hAnsi="Times New Roman" w:eastAsia="宋体" w:cs="Times New Roman"/>
                <w:bCs/>
                <w:color w:val="auto"/>
                <w:sz w:val="24"/>
                <w:szCs w:val="20"/>
                <w:lang w:eastAsia="zh-CN"/>
              </w:rPr>
              <w:t>废水收集池用于暂存经隔油池及化粪池处理后的生活污水，项目生活污水产生量为</w:t>
            </w:r>
            <w:r>
              <w:rPr>
                <w:rFonts w:hint="eastAsia" w:ascii="Times New Roman" w:hAnsi="Times New Roman" w:eastAsia="宋体" w:cs="Times New Roman"/>
                <w:bCs/>
                <w:color w:val="auto"/>
                <w:sz w:val="24"/>
                <w:szCs w:val="20"/>
                <w:lang w:val="en-US" w:eastAsia="zh-CN"/>
              </w:rPr>
              <w:t>0.4</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default" w:ascii="Times New Roman" w:hAnsi="Times New Roman" w:eastAsia="宋体" w:cs="Times New Roman"/>
                <w:bCs/>
                <w:color w:val="auto"/>
                <w:sz w:val="24"/>
                <w:szCs w:val="20"/>
              </w:rPr>
              <w:t>/d</w:t>
            </w:r>
            <w:r>
              <w:rPr>
                <w:rFonts w:hint="eastAsia" w:ascii="Times New Roman" w:hAnsi="Times New Roman" w:eastAsia="宋体" w:cs="Times New Roman"/>
                <w:bCs/>
                <w:color w:val="auto"/>
                <w:sz w:val="24"/>
                <w:szCs w:val="20"/>
                <w:lang w:eastAsia="zh-CN"/>
              </w:rPr>
              <w:t>，废水收集池收集废水用于厂区绿化，考虑连续</w:t>
            </w:r>
            <w:r>
              <w:rPr>
                <w:rFonts w:hint="eastAsia" w:ascii="Times New Roman" w:hAnsi="Times New Roman" w:eastAsia="宋体" w:cs="Times New Roman"/>
                <w:bCs/>
                <w:color w:val="auto"/>
                <w:sz w:val="24"/>
                <w:szCs w:val="20"/>
                <w:lang w:val="en-US" w:eastAsia="zh-CN"/>
              </w:rPr>
              <w:t>7天的降雨天气，项目废水收集池容积不小于2.8</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eastAsia" w:ascii="Times New Roman" w:hAnsi="Times New Roman" w:eastAsia="宋体" w:cs="Times New Roman"/>
                <w:bCs/>
                <w:color w:val="auto"/>
                <w:sz w:val="24"/>
                <w:szCs w:val="20"/>
                <w:lang w:eastAsia="zh-CN"/>
              </w:rPr>
              <w:t>，</w:t>
            </w:r>
            <w:r>
              <w:rPr>
                <w:rFonts w:hint="default" w:ascii="Times New Roman" w:hAnsi="Times New Roman" w:eastAsia="宋体" w:cs="Times New Roman"/>
                <w:bCs/>
                <w:color w:val="auto"/>
                <w:sz w:val="24"/>
                <w:szCs w:val="20"/>
              </w:rPr>
              <w:t>考虑后期发展需要</w:t>
            </w:r>
            <w:r>
              <w:rPr>
                <w:rFonts w:hint="eastAsia" w:ascii="Times New Roman" w:hAnsi="Times New Roman" w:eastAsia="宋体" w:cs="Times New Roman"/>
                <w:bCs/>
                <w:color w:val="auto"/>
                <w:sz w:val="24"/>
                <w:szCs w:val="20"/>
                <w:lang w:eastAsia="zh-CN"/>
              </w:rPr>
              <w:t>及应急需求，项目建设</w:t>
            </w:r>
            <w:r>
              <w:rPr>
                <w:rFonts w:hint="eastAsia" w:ascii="Times New Roman" w:hAnsi="Times New Roman" w:eastAsia="宋体" w:cs="Times New Roman"/>
                <w:bCs/>
                <w:color w:val="auto"/>
                <w:sz w:val="24"/>
                <w:szCs w:val="20"/>
                <w:lang w:val="en-US" w:eastAsia="zh-CN"/>
              </w:rPr>
              <w:t>18</w:t>
            </w:r>
            <w:r>
              <w:rPr>
                <w:rFonts w:hint="default" w:ascii="Times New Roman" w:hAnsi="Times New Roman" w:eastAsia="宋体" w:cs="Times New Roman"/>
                <w:bCs/>
                <w:color w:val="auto"/>
                <w:sz w:val="24"/>
                <w:szCs w:val="20"/>
              </w:rPr>
              <w:t>m</w:t>
            </w:r>
            <w:r>
              <w:rPr>
                <w:rFonts w:hint="default" w:ascii="Times New Roman" w:hAnsi="Times New Roman" w:eastAsia="宋体" w:cs="Times New Roman"/>
                <w:bCs/>
                <w:color w:val="auto"/>
                <w:sz w:val="24"/>
                <w:szCs w:val="20"/>
                <w:vertAlign w:val="superscript"/>
              </w:rPr>
              <w:t>3</w:t>
            </w:r>
            <w:r>
              <w:rPr>
                <w:rFonts w:hint="eastAsia" w:ascii="Times New Roman" w:hAnsi="Times New Roman" w:eastAsia="宋体" w:cs="Times New Roman"/>
                <w:bCs/>
                <w:color w:val="auto"/>
                <w:sz w:val="24"/>
                <w:szCs w:val="20"/>
                <w:lang w:eastAsia="zh-CN"/>
              </w:rPr>
              <w:t>废水收集池，满足容纳</w:t>
            </w:r>
            <w:r>
              <w:rPr>
                <w:rFonts w:hint="eastAsia" w:ascii="Times New Roman" w:hAnsi="Times New Roman" w:eastAsia="宋体" w:cs="Times New Roman"/>
                <w:bCs/>
                <w:color w:val="auto"/>
                <w:sz w:val="24"/>
                <w:szCs w:val="20"/>
                <w:lang w:val="en-US" w:eastAsia="zh-CN"/>
              </w:rPr>
              <w:t>7天生活污水量的要求。</w:t>
            </w:r>
          </w:p>
          <w:p w14:paraId="1E0AA276">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⑤光伏区沉淀池</w:t>
            </w:r>
          </w:p>
          <w:p w14:paraId="380772A7">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sz w:val="24"/>
                <w:szCs w:val="24"/>
                <w:lang w:val="en-US" w:eastAsia="zh-CN"/>
              </w:rPr>
              <w:t>项目光伏区定期进行清洗，清洗废水产生量为</w:t>
            </w:r>
            <w:r>
              <w:rPr>
                <w:rFonts w:hint="eastAsia" w:ascii="Times New Roman" w:hAnsi="Times New Roman" w:eastAsia="宋体" w:cs="Times New Roman"/>
                <w:sz w:val="24"/>
                <w:szCs w:val="24"/>
                <w:lang w:val="en-US" w:eastAsia="zh-CN"/>
              </w:rPr>
              <w:t>717.14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/次</w:t>
            </w:r>
            <w:r>
              <w:rPr>
                <w:rFonts w:hint="eastAsia" w:ascii="Times New Roman" w:hAnsi="Times New Roman" w:eastAsia="宋体" w:cs="Times New Roman"/>
                <w:sz w:val="24"/>
                <w:szCs w:val="24"/>
                <w:lang w:eastAsia="zh-CN"/>
              </w:rPr>
              <w:t>，污染物主要为SS。其人工清洗频率一般为6个月一次，一年清洗2次，每次清洗约1个月时间完成。则项目清洗废水产生量为</w:t>
            </w:r>
            <w:r>
              <w:rPr>
                <w:rFonts w:hint="eastAsia" w:ascii="Times New Roman" w:hAnsi="Times New Roman" w:eastAsia="宋体" w:cs="Times New Roman"/>
                <w:sz w:val="24"/>
                <w:szCs w:val="24"/>
                <w:lang w:val="en-US" w:eastAsia="zh-CN"/>
              </w:rPr>
              <w:t>24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天，项目考虑连续</w:t>
            </w:r>
            <w:r>
              <w:rPr>
                <w:rFonts w:hint="eastAsia" w:ascii="Times New Roman" w:hAnsi="Times New Roman" w:eastAsia="宋体" w:cs="Times New Roman"/>
                <w:sz w:val="24"/>
                <w:szCs w:val="24"/>
                <w:lang w:val="en-US" w:eastAsia="zh-CN"/>
              </w:rPr>
              <w:t>7天连续下雨，光伏板下植被无</w:t>
            </w:r>
            <w:r>
              <w:rPr>
                <w:rFonts w:hint="eastAsia" w:ascii="Times New Roman" w:hAnsi="Times New Roman" w:eastAsia="宋体" w:cs="Times New Roman"/>
                <w:lang w:val="en-US" w:eastAsia="zh-CN"/>
              </w:rPr>
              <w:t>需浇灌，则光伏区沉淀池总容积不小于189</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lang w:val="en-US" w:eastAsia="zh-CN"/>
              </w:rPr>
              <w:t>。本光伏区沉淀池总容积为200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eastAsia" w:ascii="Times New Roman" w:hAnsi="Times New Roman" w:eastAsia="宋体" w:cs="Times New Roman"/>
                <w:lang w:val="en-US" w:eastAsia="zh-CN"/>
              </w:rPr>
              <w:t>，满足7天清洗废水暂存要求。</w:t>
            </w:r>
          </w:p>
          <w:p w14:paraId="481E981D">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）项目生活污水不外排可行性分析</w:t>
            </w:r>
          </w:p>
          <w:p w14:paraId="6ED46E00">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项目内生活污水产生量</w:t>
            </w:r>
            <w:r>
              <w:rPr>
                <w:rFonts w:hint="eastAsia" w:ascii="Times New Roman" w:hAnsi="Times New Roman" w:eastAsia="宋体" w:cs="Times New Roman"/>
                <w:lang w:val="en-US" w:eastAsia="zh-CN"/>
              </w:rPr>
              <w:t>0.4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eastAsia="zh-CN"/>
              </w:rPr>
              <w:t>项目设施化粪池容积为</w:t>
            </w:r>
            <w:r>
              <w:rPr>
                <w:rFonts w:hint="default" w:ascii="Times New Roman" w:hAnsi="Times New Roman" w:eastAsia="宋体" w:cs="Times New Roman"/>
                <w:color w:val="auto"/>
                <w:lang w:val="en-US" w:eastAsia="zh-CN"/>
              </w:rPr>
              <w:t>4m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，足够容纳项目连续</w:t>
            </w:r>
            <w:r>
              <w:rPr>
                <w:rFonts w:hint="eastAsia" w:ascii="Times New Roman" w:hAnsi="Times New Roman" w:eastAsia="宋体" w:cs="Times New Roman"/>
                <w:color w:val="auto"/>
                <w:lang w:val="en-US" w:eastAsia="zh-CN"/>
              </w:rPr>
              <w:t>10</w:t>
            </w:r>
            <w:r>
              <w:rPr>
                <w:rFonts w:hint="default" w:ascii="Times New Roman" w:hAnsi="Times New Roman" w:eastAsia="宋体" w:cs="Times New Roman"/>
                <w:color w:val="auto"/>
                <w:lang w:val="en-US" w:eastAsia="zh-CN"/>
              </w:rPr>
              <w:t>天的生活污水，</w:t>
            </w:r>
            <w:r>
              <w:rPr>
                <w:rFonts w:hint="default" w:ascii="Times New Roman" w:hAnsi="Times New Roman" w:eastAsia="宋体" w:cs="Times New Roman"/>
                <w:color w:val="auto"/>
              </w:rPr>
              <w:t xml:space="preserve">同时项目区应设置 </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废水收集池</w:t>
            </w:r>
            <w:r>
              <w:rPr>
                <w:rFonts w:hint="default" w:ascii="Times New Roman" w:hAnsi="Times New Roman" w:eastAsia="宋体" w:cs="Times New Roman"/>
                <w:color w:val="auto"/>
              </w:rPr>
              <w:t>一个，用于暂存</w:t>
            </w:r>
            <w:r>
              <w:rPr>
                <w:rFonts w:hint="default" w:ascii="Times New Roman" w:hAnsi="Times New Roman" w:eastAsia="宋体" w:cs="Times New Roman"/>
                <w:color w:val="auto"/>
                <w:lang w:eastAsia="zh-CN"/>
              </w:rPr>
              <w:t>项目经</w:t>
            </w:r>
            <w:r>
              <w:rPr>
                <w:rFonts w:hint="eastAsia" w:ascii="Times New Roman" w:hAnsi="Times New Roman" w:eastAsia="宋体" w:cs="Times New Roman"/>
                <w:color w:val="auto"/>
                <w:lang w:eastAsia="zh-CN"/>
              </w:rPr>
              <w:t>隔油池、化粪池</w:t>
            </w:r>
            <w:r>
              <w:rPr>
                <w:rFonts w:hint="default" w:ascii="Times New Roman" w:hAnsi="Times New Roman" w:eastAsia="宋体" w:cs="Times New Roman"/>
                <w:color w:val="auto"/>
                <w:lang w:eastAsia="zh-CN"/>
              </w:rPr>
              <w:t>处理后的生活污水</w:t>
            </w:r>
            <w:r>
              <w:rPr>
                <w:rFonts w:hint="default" w:ascii="Times New Roman" w:hAnsi="Times New Roman" w:eastAsia="宋体" w:cs="Times New Roman"/>
                <w:color w:val="auto"/>
              </w:rPr>
              <w:t>，保证能满足连续</w:t>
            </w:r>
            <w:r>
              <w:rPr>
                <w:rFonts w:hint="eastAsia" w:ascii="Times New Roman" w:hAnsi="Times New Roman" w:eastAsia="宋体" w:cs="Times New Roman"/>
                <w:color w:val="auto"/>
                <w:lang w:val="en-US" w:eastAsia="zh-CN"/>
              </w:rPr>
              <w:t>45</w:t>
            </w:r>
            <w:r>
              <w:rPr>
                <w:rFonts w:hint="default" w:ascii="Times New Roman" w:hAnsi="Times New Roman" w:eastAsia="宋体" w:cs="Times New Roman"/>
                <w:color w:val="auto"/>
              </w:rPr>
              <w:t>天的生活污水储存量，本项目绿化面积为</w:t>
            </w:r>
            <w:r>
              <w:rPr>
                <w:rFonts w:hint="eastAsia" w:ascii="Times New Roman" w:hAnsi="Times New Roman" w:eastAsia="宋体" w:cs="Times New Roman"/>
                <w:color w:val="auto"/>
                <w:lang w:val="en-US" w:eastAsia="zh-CN"/>
              </w:rPr>
              <w:t>300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，绿化用地定额为3L/m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，则项目非雨天绿化需水量</w:t>
            </w:r>
            <w:r>
              <w:rPr>
                <w:rFonts w:hint="eastAsia" w:ascii="Times New Roman" w:hAnsi="Times New Roman" w:eastAsia="宋体" w:cs="Times New Roman"/>
                <w:color w:val="auto"/>
                <w:lang w:val="en-US" w:eastAsia="zh-CN"/>
              </w:rPr>
              <w:t>0.9</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根据资料显示，</w:t>
            </w:r>
            <w:r>
              <w:rPr>
                <w:rFonts w:hint="eastAsia" w:ascii="Times New Roman" w:hAnsi="Times New Roman" w:eastAsia="宋体" w:cs="Times New Roman"/>
                <w:color w:val="auto"/>
                <w:lang w:eastAsia="zh-CN"/>
              </w:rPr>
              <w:t>芒市</w:t>
            </w:r>
            <w:r>
              <w:rPr>
                <w:rFonts w:hint="default" w:ascii="Times New Roman" w:hAnsi="Times New Roman" w:eastAsia="宋体" w:cs="Times New Roman"/>
                <w:color w:val="auto"/>
              </w:rPr>
              <w:t>连续降雨天数较短</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 xml:space="preserve">3 </w:t>
            </w:r>
            <w:r>
              <w:rPr>
                <w:rFonts w:hint="default" w:ascii="Times New Roman" w:hAnsi="Times New Roman" w:eastAsia="宋体" w:cs="Times New Roman"/>
                <w:color w:val="auto"/>
              </w:rPr>
              <w:t>储水池能保证该地区连续降雨时生活污水的储存，</w:t>
            </w:r>
            <w:r>
              <w:rPr>
                <w:rFonts w:hint="eastAsia" w:ascii="Times New Roman" w:hAnsi="Times New Roman" w:eastAsia="宋体" w:cs="Times New Roman"/>
                <w:bCs/>
                <w:color w:val="auto"/>
                <w:sz w:val="24"/>
                <w:lang w:val="en-US" w:eastAsia="zh-CN"/>
              </w:rPr>
              <w:t>待非雨天逐步回用</w:t>
            </w:r>
            <w:r>
              <w:rPr>
                <w:rFonts w:hint="eastAsia" w:ascii="Times New Roman" w:hAnsi="Times New Roman" w:eastAsia="宋体" w:cs="Times New Roman"/>
                <w:color w:val="auto"/>
                <w:sz w:val="24"/>
                <w:szCs w:val="20"/>
                <w:lang w:val="en-US" w:eastAsia="zh-CN"/>
              </w:rPr>
              <w:t>于升压站绿化</w:t>
            </w:r>
            <w:r>
              <w:rPr>
                <w:rFonts w:hint="default" w:ascii="Times New Roman" w:hAnsi="Times New Roman" w:eastAsia="宋体" w:cs="Times New Roman"/>
                <w:color w:val="auto"/>
                <w:sz w:val="24"/>
                <w:szCs w:val="20"/>
              </w:rPr>
              <w:t>，</w:t>
            </w:r>
            <w:r>
              <w:rPr>
                <w:rFonts w:hint="eastAsia" w:ascii="Times New Roman" w:hAnsi="Times New Roman" w:eastAsia="宋体" w:cs="Times New Roman"/>
                <w:color w:val="auto"/>
                <w:sz w:val="24"/>
                <w:szCs w:val="20"/>
                <w:lang w:val="en-US" w:eastAsia="zh-CN"/>
              </w:rPr>
              <w:t>不外排</w:t>
            </w:r>
            <w:r>
              <w:rPr>
                <w:rFonts w:hint="default" w:ascii="Times New Roman" w:hAnsi="Times New Roman" w:eastAsia="宋体" w:cs="Times New Roman"/>
                <w:color w:val="auto"/>
              </w:rPr>
              <w:t>。</w:t>
            </w:r>
          </w:p>
          <w:p w14:paraId="18DB1F1F">
            <w:pPr>
              <w:numPr>
                <w:ilvl w:val="0"/>
                <w:numId w:val="12"/>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对地表水体影响分析</w:t>
            </w:r>
          </w:p>
          <w:p w14:paraId="4E73E3FC">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项目光伏矩阵距离水体较近，光伏矩阵运行过程中</w:t>
            </w:r>
            <w:r>
              <w:rPr>
                <w:rFonts w:hint="eastAsia" w:ascii="Times New Roman" w:hAnsi="Times New Roman" w:eastAsia="宋体" w:cs="Times New Roman"/>
                <w:sz w:val="24"/>
                <w:szCs w:val="24"/>
                <w:lang w:val="en-US" w:eastAsia="zh-CN"/>
              </w:rPr>
              <w:t>光伏板清洗废水经集水沟收集后进入末端设置的沉淀池处理后用于光伏板下植被</w:t>
            </w:r>
            <w:r>
              <w:rPr>
                <w:rFonts w:hint="eastAsia" w:ascii="Times New Roman" w:hAnsi="Times New Roman" w:eastAsia="宋体" w:cs="Times New Roman"/>
                <w:lang w:val="en-US" w:eastAsia="zh-CN"/>
              </w:rPr>
              <w:t>浇灌，本光伏区沉淀池总容积为200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color w:val="auto"/>
              </w:rPr>
              <w:t>，</w:t>
            </w:r>
            <w:r>
              <w:rPr>
                <w:rFonts w:hint="eastAsia" w:ascii="Times New Roman" w:hAnsi="Times New Roman" w:eastAsia="宋体" w:cs="Times New Roman"/>
                <w:color w:val="auto"/>
                <w:lang w:eastAsia="zh-CN"/>
              </w:rPr>
              <w:t>足够容乃光伏板清洗废水</w:t>
            </w:r>
            <w:r>
              <w:rPr>
                <w:rFonts w:hint="default" w:ascii="Times New Roman" w:hAnsi="Times New Roman" w:eastAsia="宋体" w:cs="Times New Roman"/>
                <w:color w:val="auto"/>
              </w:rPr>
              <w:t>对周围地表水环境影响较小。运营过程中升压站生活区设置</w:t>
            </w:r>
            <w:r>
              <w:rPr>
                <w:rFonts w:hint="eastAsia" w:ascii="Times New Roman" w:hAnsi="Times New Roman" w:eastAsia="宋体" w:cs="Times New Roman"/>
                <w:color w:val="auto"/>
                <w:lang w:eastAsia="zh-CN"/>
              </w:rPr>
              <w:t>隔油池、化粪池和废水收集池</w:t>
            </w:r>
            <w:r>
              <w:rPr>
                <w:rFonts w:hint="default" w:ascii="Times New Roman" w:hAnsi="Times New Roman" w:eastAsia="宋体" w:cs="Times New Roman"/>
                <w:color w:val="auto"/>
              </w:rPr>
              <w:t>， 应加强管理，禁止生活污水</w:t>
            </w:r>
            <w:r>
              <w:rPr>
                <w:rFonts w:hint="default" w:ascii="Times New Roman" w:hAnsi="Times New Roman" w:eastAsia="宋体" w:cs="Times New Roman"/>
                <w:color w:val="auto"/>
                <w:lang w:eastAsia="zh-CN"/>
              </w:rPr>
              <w:t>外排</w:t>
            </w:r>
            <w:r>
              <w:rPr>
                <w:rFonts w:hint="default" w:ascii="Times New Roman" w:hAnsi="Times New Roman" w:eastAsia="宋体" w:cs="Times New Roman"/>
                <w:color w:val="auto"/>
              </w:rPr>
              <w:t>；主变设置有</w:t>
            </w:r>
            <w:r>
              <w:rPr>
                <w:rFonts w:hint="eastAsia" w:ascii="Times New Roman" w:hAnsi="Times New Roman" w:eastAsia="宋体" w:cs="Times New Roman"/>
                <w:color w:val="auto"/>
                <w:lang w:eastAsia="zh-CN"/>
              </w:rPr>
              <w:t>效容积不小于</w:t>
            </w:r>
            <w:r>
              <w:rPr>
                <w:rFonts w:hint="eastAsia" w:ascii="Times New Roman" w:hAnsi="Times New Roman" w:eastAsia="宋体" w:cs="Times New Roman"/>
                <w:color w:val="auto"/>
                <w:lang w:val="en-US" w:eastAsia="zh-CN"/>
              </w:rPr>
              <w:t>30</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事故油池</w:t>
            </w:r>
            <w:r>
              <w:rPr>
                <w:rFonts w:hint="default" w:ascii="Times New Roman" w:hAnsi="Times New Roman" w:eastAsia="宋体" w:cs="Times New Roman"/>
                <w:color w:val="auto"/>
                <w:lang w:eastAsia="zh-CN"/>
              </w:rPr>
              <w:t>及</w:t>
            </w:r>
            <w:r>
              <w:rPr>
                <w:rFonts w:hint="eastAsia" w:ascii="Times New Roman" w:hAnsi="Times New Roman" w:eastAsia="宋体" w:cs="Times New Roman"/>
                <w:color w:val="auto"/>
                <w:lang w:val="en-US" w:eastAsia="zh-CN"/>
              </w:rPr>
              <w:t>26</w:t>
            </w:r>
            <w:r>
              <w:rPr>
                <w:rFonts w:hint="default" w:ascii="Times New Roman" w:hAnsi="Times New Roman" w:eastAsia="宋体" w:cs="Times New Roman"/>
                <w:color w:val="auto"/>
                <w:lang w:val="en-US" w:eastAsia="zh-CN"/>
              </w:rPr>
              <w:t>个箱变各设置一个容积为</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eastAsia="zh-CN"/>
              </w:rPr>
              <w:t>的事故池。</w:t>
            </w:r>
            <w:r>
              <w:rPr>
                <w:rFonts w:hint="default" w:ascii="Times New Roman" w:hAnsi="Times New Roman" w:eastAsia="宋体" w:cs="Times New Roman"/>
                <w:color w:val="auto"/>
              </w:rPr>
              <w:t>运营过程中应加强管理，基本不会发生油品泄漏，确保油品不外泄进入</w:t>
            </w:r>
            <w:r>
              <w:rPr>
                <w:rFonts w:hint="default" w:ascii="Times New Roman" w:hAnsi="Times New Roman" w:eastAsia="宋体" w:cs="Times New Roman"/>
                <w:color w:val="auto"/>
                <w:lang w:eastAsia="zh-CN"/>
              </w:rPr>
              <w:t>地表水</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项目附近地表水</w:t>
            </w:r>
            <w:r>
              <w:rPr>
                <w:rFonts w:hint="default" w:ascii="Times New Roman" w:hAnsi="Times New Roman" w:eastAsia="宋体" w:cs="Times New Roman"/>
                <w:color w:val="auto"/>
              </w:rPr>
              <w:t>功能主要为农灌功能，无饮用功能。通过采取上述措施后，运营过程中对周围地表水影响较小。</w:t>
            </w:r>
          </w:p>
          <w:p w14:paraId="6E199568">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综上所述，项目产生的废水可以得到妥善处理，对周围地表水体影响较小。</w:t>
            </w:r>
          </w:p>
          <w:p w14:paraId="4C379240">
            <w:pPr>
              <w:numPr>
                <w:ilvl w:val="0"/>
                <w:numId w:val="0"/>
              </w:num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（3）声环境影响分析</w:t>
            </w:r>
          </w:p>
          <w:p w14:paraId="4B8AA4F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项目运营期的噪声源主要为光伏电站设备运行噪声，主要为电站场内箱式变压器、逆变器、主变压器运行时产生的设备噪声。</w:t>
            </w:r>
          </w:p>
          <w:p w14:paraId="7BB2A86B">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项目箱式变压器、主变压器及逆变器，噪声源1m处的噪声源强约为60～65dB（A），只要布置合理，采用一定隔声措施，随着距离的衰减对周围环境影响较小。</w:t>
            </w:r>
          </w:p>
          <w:p w14:paraId="4B1DE74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光伏厂区采用</w:t>
            </w:r>
            <w:r>
              <w:rPr>
                <w:rFonts w:hint="eastAsia" w:ascii="Times New Roman" w:hAnsi="Times New Roman" w:eastAsia="宋体" w:cs="Times New Roman"/>
                <w:lang w:val="en-US" w:eastAsia="zh-CN"/>
              </w:rPr>
              <w:t>320</w:t>
            </w:r>
            <w:r>
              <w:rPr>
                <w:rFonts w:hint="default" w:ascii="Times New Roman" w:hAnsi="Times New Roman" w:eastAsia="宋体" w:cs="Times New Roman"/>
                <w:lang w:val="en-US" w:eastAsia="zh-CN"/>
              </w:rPr>
              <w:t>kW组串式逆变器，1MW单个子方阵采用3台320kW组串式逆变器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1.6MW单个子方阵采用5台320kW组串式逆变器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2MW单个子方阵采用6台320kW组串式逆变器</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3.2MW单个子方阵采用10台320kW组串式逆变器每个方阵布置35kV箱式变压器一台，</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共计分成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26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个光伏并网发电单元，共由</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个1MW 光伏子方阵、1个1.6MW光伏子方阵、8个2MW光伏子方阵和</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16</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个3.2MW 光伏子方阵组成</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rPr>
              <w:t>逆变器及箱式变压器相对分散</w:t>
            </w:r>
            <w:r>
              <w:rPr>
                <w:rFonts w:hint="default" w:ascii="Times New Roman" w:hAnsi="Times New Roman" w:eastAsia="宋体" w:cs="Times New Roman"/>
                <w:lang w:eastAsia="zh-CN"/>
              </w:rPr>
              <w:t>，</w:t>
            </w:r>
            <w:r>
              <w:rPr>
                <w:rFonts w:hint="default" w:ascii="Times New Roman" w:hAnsi="Times New Roman" w:eastAsia="宋体" w:cs="Times New Roman"/>
              </w:rPr>
              <w:t>且箱式变压器设置于箱变房内，逆变器设置于逆变器箱内，进行密封隔声，隔声降噪量为10dB。逆变器和箱式变压器距离场界最近距离为5m，逆变器和箱式变压器噪声可近似视为点源处理。根据点声源噪声衰减模式，计算出离点声源不同距离处的噪声值，预测模式如下：</w:t>
            </w:r>
          </w:p>
          <w:p w14:paraId="5D01F356">
            <w:pPr>
              <w:numPr>
                <w:ilvl w:val="0"/>
                <w:numId w:val="0"/>
              </w:numPr>
              <w:spacing w:line="360" w:lineRule="auto"/>
              <w:ind w:firstLine="480" w:firstLineChars="200"/>
              <w:jc w:val="center"/>
              <w:rPr>
                <w:rFonts w:hint="default" w:ascii="Times New Roman" w:hAnsi="Times New Roman" w:eastAsia="宋体" w:cs="Times New Roman"/>
              </w:rPr>
            </w:pPr>
            <w:r>
              <w:rPr>
                <w:rFonts w:hint="default" w:ascii="Times New Roman" w:hAnsi="Times New Roman" w:eastAsia="宋体" w:cs="Times New Roman"/>
              </w:rPr>
              <w:t>Lp=LP0－20lg(r/r0)</w:t>
            </w:r>
          </w:p>
          <w:p w14:paraId="280BEF4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式中： Lp—距声源r（m）处声压级， dB(A)；</w:t>
            </w:r>
          </w:p>
          <w:p w14:paraId="6E05A664">
            <w:pPr>
              <w:numPr>
                <w:ilvl w:val="0"/>
                <w:numId w:val="0"/>
              </w:numPr>
              <w:spacing w:line="360" w:lineRule="auto"/>
              <w:ind w:firstLine="1200" w:firstLineChars="500"/>
              <w:rPr>
                <w:rFonts w:hint="default" w:ascii="Times New Roman" w:hAnsi="Times New Roman" w:eastAsia="宋体" w:cs="Times New Roman"/>
              </w:rPr>
            </w:pPr>
            <w:r>
              <w:rPr>
                <w:rFonts w:hint="default" w:ascii="Times New Roman" w:hAnsi="Times New Roman" w:eastAsia="宋体" w:cs="Times New Roman"/>
              </w:rPr>
              <w:t>Lp0—距声源r0（m ）处声压级， dB(A)；</w:t>
            </w:r>
          </w:p>
          <w:p w14:paraId="4A69CAD2">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6</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光伏场区</w:t>
            </w:r>
            <w:r>
              <w:rPr>
                <w:rFonts w:hint="default" w:ascii="Times New Roman" w:hAnsi="Times New Roman" w:eastAsia="宋体" w:cs="Times New Roman"/>
                <w:b/>
                <w:color w:val="auto"/>
                <w:sz w:val="21"/>
                <w:szCs w:val="21"/>
              </w:rPr>
              <w:t xml:space="preserve">噪声随距离衰减后的影响值 </w:t>
            </w:r>
          </w:p>
          <w:tbl>
            <w:tblPr>
              <w:tblStyle w:val="21"/>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60DF0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2C1BC52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604F346B">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4D85F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4ED2A2FA">
                  <w:pPr>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71F5C0E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1569DFD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7DF50D3B">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053283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2A2369D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30D154BE">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01B8A4C1">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5FD79EC0">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7C58DAF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649469D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7DE90B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4C94DEA7">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64AD7D60">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55</w:t>
                  </w:r>
                </w:p>
              </w:tc>
              <w:tc>
                <w:tcPr>
                  <w:tcW w:w="625" w:type="dxa"/>
                  <w:tcBorders>
                    <w:tl2br w:val="nil"/>
                    <w:tr2bl w:val="nil"/>
                  </w:tcBorders>
                  <w:vAlign w:val="center"/>
                </w:tcPr>
                <w:p w14:paraId="48E1BE8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680" w:type="dxa"/>
                  <w:tcBorders>
                    <w:tl2br w:val="nil"/>
                    <w:tr2bl w:val="nil"/>
                  </w:tcBorders>
                  <w:vAlign w:val="center"/>
                </w:tcPr>
                <w:p w14:paraId="51D5E45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c>
                <w:tcPr>
                  <w:tcW w:w="583" w:type="dxa"/>
                  <w:tcBorders>
                    <w:tl2br w:val="nil"/>
                    <w:tr2bl w:val="nil"/>
                  </w:tcBorders>
                  <w:vAlign w:val="center"/>
                </w:tcPr>
                <w:p w14:paraId="2051A98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683" w:type="dxa"/>
                  <w:tcBorders>
                    <w:tl2br w:val="nil"/>
                    <w:tr2bl w:val="nil"/>
                  </w:tcBorders>
                  <w:vAlign w:val="center"/>
                </w:tcPr>
                <w:p w14:paraId="1A0E3DF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57" w:type="dxa"/>
                  <w:tcBorders>
                    <w:tl2br w:val="nil"/>
                    <w:tr2bl w:val="nil"/>
                  </w:tcBorders>
                  <w:vAlign w:val="center"/>
                </w:tcPr>
                <w:p w14:paraId="2D8CE66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629EE4D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5429D28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052DFFF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6AA3DE1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4781E4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7B6CDDE2">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箱变</w:t>
                  </w:r>
                </w:p>
              </w:tc>
              <w:tc>
                <w:tcPr>
                  <w:tcW w:w="654" w:type="dxa"/>
                  <w:tcBorders>
                    <w:tl2br w:val="nil"/>
                    <w:tr2bl w:val="nil"/>
                  </w:tcBorders>
                  <w:vAlign w:val="center"/>
                </w:tcPr>
                <w:p w14:paraId="731F3352">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069D4F0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680" w:type="dxa"/>
                  <w:tcBorders>
                    <w:tl2br w:val="nil"/>
                    <w:tr2bl w:val="nil"/>
                  </w:tcBorders>
                  <w:vAlign w:val="center"/>
                </w:tcPr>
                <w:p w14:paraId="569A087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583" w:type="dxa"/>
                  <w:tcBorders>
                    <w:tl2br w:val="nil"/>
                    <w:tr2bl w:val="nil"/>
                  </w:tcBorders>
                  <w:vAlign w:val="center"/>
                </w:tcPr>
                <w:p w14:paraId="03C8B36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22478BD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57" w:type="dxa"/>
                  <w:tcBorders>
                    <w:tl2br w:val="nil"/>
                    <w:tr2bl w:val="nil"/>
                  </w:tcBorders>
                  <w:vAlign w:val="center"/>
                </w:tcPr>
                <w:p w14:paraId="0328497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0FBC2E9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20D275F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7AA9AAF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674CA6F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61992A4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auto"/>
                <w:sz w:val="24"/>
                <w:lang w:val="en-US" w:eastAsia="zh-CN"/>
              </w:rPr>
              <w:t>根据预测，</w:t>
            </w:r>
            <w:r>
              <w:rPr>
                <w:rFonts w:hint="eastAsia" w:ascii="Times New Roman" w:hAnsi="Times New Roman" w:eastAsia="宋体" w:cs="Times New Roman"/>
                <w:color w:val="auto"/>
                <w:sz w:val="24"/>
                <w:lang w:val="en-US" w:eastAsia="zh-CN"/>
              </w:rPr>
              <w:t>项目光伏场区逆变器噪声在</w:t>
            </w:r>
            <w:r>
              <w:rPr>
                <w:rFonts w:hint="default" w:ascii="Times New Roman" w:hAnsi="Times New Roman" w:eastAsia="宋体" w:cs="Times New Roman"/>
                <w:color w:val="auto"/>
                <w:sz w:val="24"/>
                <w:lang w:val="en-US" w:eastAsia="zh-CN"/>
              </w:rPr>
              <w:t>2m</w:t>
            </w:r>
            <w:r>
              <w:rPr>
                <w:rFonts w:hint="eastAsia" w:ascii="Times New Roman" w:hAnsi="Times New Roman" w:eastAsia="宋体" w:cs="Times New Roman"/>
                <w:color w:val="auto"/>
                <w:sz w:val="24"/>
                <w:lang w:val="en-US" w:eastAsia="zh-CN"/>
              </w:rPr>
              <w:t>之外、箱变噪声在</w:t>
            </w:r>
            <w:r>
              <w:rPr>
                <w:rFonts w:hint="default" w:ascii="Times New Roman" w:hAnsi="Times New Roman" w:eastAsia="宋体" w:cs="Times New Roman"/>
                <w:color w:val="auto"/>
                <w:sz w:val="24"/>
                <w:lang w:val="en-US" w:eastAsia="zh-CN"/>
              </w:rPr>
              <w:t>4m</w:t>
            </w:r>
            <w:r>
              <w:rPr>
                <w:rFonts w:hint="eastAsia" w:ascii="Times New Roman" w:hAnsi="Times New Roman" w:eastAsia="宋体" w:cs="Times New Roman"/>
                <w:color w:val="auto"/>
                <w:sz w:val="24"/>
                <w:lang w:val="en-US" w:eastAsia="zh-CN"/>
              </w:rPr>
              <w:t>之外能满足《工业企业厂界环境噪声排放标准》（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类标准（昼间：</w:t>
            </w:r>
            <w:r>
              <w:rPr>
                <w:rFonts w:hint="default" w:ascii="Times New Roman" w:hAnsi="Times New Roman" w:eastAsia="宋体" w:cs="Times New Roman"/>
                <w:color w:val="auto"/>
                <w:sz w:val="24"/>
                <w:lang w:val="en-US" w:eastAsia="zh-CN"/>
              </w:rPr>
              <w:t>60dB(A)</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lang w:val="en-US" w:eastAsia="zh-CN"/>
              </w:rPr>
              <w:t>50dB(A)</w:t>
            </w:r>
            <w:r>
              <w:rPr>
                <w:rFonts w:hint="eastAsia" w:ascii="Times New Roman" w:hAnsi="Times New Roman" w:eastAsia="宋体" w:cs="Times New Roman"/>
                <w:color w:val="auto"/>
                <w:sz w:val="24"/>
                <w:lang w:val="en-US" w:eastAsia="zh-CN"/>
              </w:rPr>
              <w:t>）要求。根据工程总体布局情况，各逆变器及箱变与厂界的距离均在</w:t>
            </w:r>
            <w:r>
              <w:rPr>
                <w:rFonts w:hint="default" w:ascii="Times New Roman" w:hAnsi="Times New Roman" w:eastAsia="宋体" w:cs="Times New Roman"/>
                <w:color w:val="auto"/>
                <w:sz w:val="24"/>
                <w:lang w:val="en-US" w:eastAsia="zh-CN"/>
              </w:rPr>
              <w:t>4m</w:t>
            </w:r>
            <w:r>
              <w:rPr>
                <w:rFonts w:hint="eastAsia" w:ascii="Times New Roman" w:hAnsi="Times New Roman" w:eastAsia="宋体" w:cs="Times New Roman"/>
                <w:color w:val="auto"/>
                <w:sz w:val="24"/>
                <w:lang w:val="en-US" w:eastAsia="zh-CN"/>
              </w:rPr>
              <w:t>以上，且各设备布局较为分散，光伏场区场界噪声可达标。</w:t>
            </w:r>
            <w:r>
              <w:rPr>
                <w:rFonts w:hint="default" w:ascii="Times New Roman" w:hAnsi="Times New Roman" w:eastAsia="宋体" w:cs="Times New Roman"/>
              </w:rPr>
              <w:t>本项目</w:t>
            </w:r>
            <w:r>
              <w:rPr>
                <w:rFonts w:hint="default" w:ascii="Times New Roman" w:hAnsi="Times New Roman" w:eastAsia="宋体" w:cs="Times New Roman"/>
                <w:lang w:eastAsia="zh-CN"/>
              </w:rPr>
              <w:t>光伏阵列区</w:t>
            </w:r>
            <w:r>
              <w:rPr>
                <w:rFonts w:hint="default" w:ascii="Times New Roman" w:hAnsi="Times New Roman" w:eastAsia="宋体" w:cs="Times New Roman"/>
              </w:rPr>
              <w:t>50m范围内有</w:t>
            </w:r>
            <w:r>
              <w:rPr>
                <w:rFonts w:hint="eastAsia" w:ascii="Times New Roman" w:hAnsi="Times New Roman" w:eastAsia="宋体" w:cs="Times New Roman"/>
                <w:lang w:val="en-US" w:eastAsia="zh-CN"/>
              </w:rPr>
              <w:t>2</w:t>
            </w:r>
            <w:r>
              <w:rPr>
                <w:rFonts w:hint="default" w:ascii="Times New Roman" w:hAnsi="Times New Roman" w:eastAsia="宋体" w:cs="Times New Roman"/>
              </w:rPr>
              <w:t>个声环境敏感目标</w:t>
            </w:r>
            <w:r>
              <w:rPr>
                <w:rFonts w:hint="eastAsia" w:ascii="Times New Roman" w:hAnsi="Times New Roman" w:eastAsia="宋体" w:cs="Times New Roman"/>
                <w:lang w:eastAsia="zh-CN"/>
              </w:rPr>
              <w:t>，</w:t>
            </w:r>
            <w:r>
              <w:rPr>
                <w:rFonts w:hint="default" w:ascii="Times New Roman" w:hAnsi="Times New Roman" w:eastAsia="宋体" w:cs="Times New Roman"/>
              </w:rPr>
              <w:t>项目逆变器及箱式变压器尽量远离村庄一侧布局，减轻光伏发电区产生的噪声对周边声环境影响。</w:t>
            </w:r>
          </w:p>
          <w:p w14:paraId="16EE69B8">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周边最近的保护目标与项目南侧光伏场区场界距离为10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上邦瓦</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420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lang w:val="en-US" w:eastAsia="zh-CN"/>
              </w:rPr>
              <w:t>，与项目北侧光伏场区场界距离为13</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210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val="en-US" w:eastAsia="zh-CN"/>
              </w:rPr>
              <w:t>逆变器及箱变等的噪声对保护目标的影响不大。</w:t>
            </w:r>
          </w:p>
          <w:p w14:paraId="7119BC8B">
            <w:pPr>
              <w:keepNext/>
              <w:keepLines/>
              <w:adjustRightInd w:val="0"/>
              <w:snapToGrid w:val="0"/>
              <w:spacing w:line="360" w:lineRule="auto"/>
              <w:ind w:firstLine="480" w:firstLineChars="200"/>
              <w:outlineLvl w:val="2"/>
              <w:rPr>
                <w:rFonts w:hint="default" w:ascii="Times New Roman" w:hAnsi="Times New Roman" w:eastAsia="宋体" w:cs="Times New Roman"/>
                <w:bCs/>
                <w:color w:val="auto"/>
                <w:sz w:val="24"/>
                <w:szCs w:val="20"/>
              </w:rPr>
            </w:pPr>
            <w:r>
              <w:rPr>
                <w:rFonts w:hint="default" w:ascii="Times New Roman" w:hAnsi="Times New Roman" w:eastAsia="宋体" w:cs="Times New Roman"/>
                <w:bCs/>
                <w:color w:val="auto"/>
                <w:sz w:val="24"/>
                <w:szCs w:val="20"/>
              </w:rPr>
              <w:t>②升压站运行</w:t>
            </w:r>
            <w:r>
              <w:rPr>
                <w:rFonts w:hint="default" w:ascii="Times New Roman" w:hAnsi="Times New Roman" w:eastAsia="宋体" w:cs="Times New Roman"/>
                <w:color w:val="auto"/>
                <w:sz w:val="24"/>
              </w:rPr>
              <w:t xml:space="preserve">噪声影响 </w:t>
            </w:r>
          </w:p>
          <w:p w14:paraId="09856DE5">
            <w:pPr>
              <w:spacing w:line="360" w:lineRule="auto"/>
              <w:ind w:firstLine="468" w:firstLineChars="200"/>
              <w:jc w:val="left"/>
              <w:rPr>
                <w:rFonts w:hint="default" w:ascii="Times New Roman" w:hAnsi="Times New Roman" w:eastAsia="宋体" w:cs="Times New Roman"/>
                <w:color w:val="auto"/>
              </w:rPr>
            </w:pPr>
            <w:r>
              <w:rPr>
                <w:rFonts w:hint="default" w:ascii="Times New Roman" w:hAnsi="Times New Roman" w:eastAsia="宋体" w:cs="Times New Roman"/>
                <w:color w:val="auto"/>
                <w:spacing w:val="-3"/>
                <w:sz w:val="24"/>
              </w:rPr>
              <w:t>噪声源主要来自于升压站内</w:t>
            </w:r>
            <w:r>
              <w:rPr>
                <w:rFonts w:hint="default" w:ascii="Times New Roman" w:hAnsi="Times New Roman" w:eastAsia="宋体" w:cs="Times New Roman"/>
                <w:color w:val="auto"/>
                <w:sz w:val="24"/>
              </w:rPr>
              <w:t>设置</w:t>
            </w:r>
            <w:r>
              <w:rPr>
                <w:rFonts w:hint="eastAsia" w:ascii="Times New Roman" w:hAnsi="Times New Roman" w:eastAsia="宋体" w:cs="Times New Roman"/>
                <w:color w:val="auto"/>
                <w:sz w:val="24"/>
                <w:lang w:val="en-US" w:eastAsia="zh-CN"/>
              </w:rPr>
              <w:t>有主变压器、</w:t>
            </w:r>
            <w:r>
              <w:rPr>
                <w:rFonts w:hint="default" w:ascii="Times New Roman" w:hAnsi="Times New Roman" w:eastAsia="宋体" w:cs="Times New Roman"/>
                <w:color w:val="auto"/>
                <w:spacing w:val="-3"/>
                <w:sz w:val="24"/>
              </w:rPr>
              <w:t>水泵、配电室和逆变器，</w:t>
            </w:r>
            <w:r>
              <w:rPr>
                <w:rFonts w:hint="eastAsia" w:ascii="Times New Roman" w:hAnsi="Times New Roman" w:eastAsia="宋体" w:cs="Times New Roman"/>
                <w:color w:val="auto"/>
                <w:sz w:val="24"/>
                <w:lang w:val="en-US" w:eastAsia="zh-CN"/>
              </w:rPr>
              <w:t>主变压器、</w:t>
            </w:r>
            <w:r>
              <w:rPr>
                <w:rFonts w:hint="default" w:ascii="Times New Roman" w:hAnsi="Times New Roman" w:eastAsia="宋体" w:cs="Times New Roman"/>
                <w:color w:val="auto"/>
                <w:spacing w:val="-4"/>
                <w:sz w:val="24"/>
              </w:rPr>
              <w:t>35KV</w:t>
            </w:r>
            <w:r>
              <w:rPr>
                <w:rFonts w:hint="default" w:ascii="Times New Roman" w:hAnsi="Times New Roman" w:eastAsia="宋体" w:cs="Times New Roman"/>
                <w:color w:val="auto"/>
                <w:sz w:val="24"/>
              </w:rPr>
              <w:t>配电室、逆变器，以及光伏发电项目辅助配套设施，噪声值在</w:t>
            </w:r>
            <w:r>
              <w:rPr>
                <w:rFonts w:hint="default" w:ascii="Times New Roman" w:hAnsi="Times New Roman" w:eastAsia="宋体" w:cs="Times New Roman"/>
                <w:color w:val="auto"/>
                <w:spacing w:val="-60"/>
                <w:sz w:val="24"/>
              </w:rPr>
              <w:t xml:space="preserve"> </w:t>
            </w:r>
            <w:r>
              <w:rPr>
                <w:rFonts w:hint="eastAsia" w:ascii="Times New Roman" w:hAnsi="Times New Roman" w:eastAsia="宋体" w:cs="Times New Roman"/>
                <w:color w:val="auto"/>
                <w:spacing w:val="-1"/>
                <w:sz w:val="24"/>
                <w:lang w:val="en-US" w:eastAsia="zh-CN"/>
              </w:rPr>
              <w:t>5</w:t>
            </w:r>
            <w:r>
              <w:rPr>
                <w:rFonts w:hint="default" w:ascii="Times New Roman" w:hAnsi="Times New Roman" w:eastAsia="宋体" w:cs="Times New Roman"/>
                <w:color w:val="auto"/>
                <w:spacing w:val="-1"/>
                <w:sz w:val="24"/>
              </w:rPr>
              <w:t>5～70dB(A)之间。</w:t>
            </w:r>
          </w:p>
          <w:p w14:paraId="51122E6B">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ascii="Times New Roman" w:hAnsi="Times New Roman" w:eastAsia="宋体" w:cs="Times New Roman"/>
                <w:b/>
                <w:color w:val="auto"/>
                <w:sz w:val="21"/>
                <w:szCs w:val="21"/>
                <w:lang w:val="en-US" w:eastAsia="zh-CN"/>
              </w:rPr>
              <w:t>7</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val="en-US" w:eastAsia="zh-CN"/>
              </w:rPr>
              <w:t>升压站</w:t>
            </w:r>
            <w:r>
              <w:rPr>
                <w:rFonts w:hint="default" w:ascii="Times New Roman" w:hAnsi="Times New Roman" w:eastAsia="宋体" w:cs="Times New Roman"/>
                <w:b/>
                <w:color w:val="auto"/>
                <w:sz w:val="21"/>
                <w:szCs w:val="21"/>
              </w:rPr>
              <w:t xml:space="preserve">噪声随距离衰减后的影响值 </w:t>
            </w:r>
          </w:p>
          <w:tbl>
            <w:tblPr>
              <w:tblStyle w:val="21"/>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2"/>
              <w:gridCol w:w="654"/>
              <w:gridCol w:w="625"/>
              <w:gridCol w:w="680"/>
              <w:gridCol w:w="583"/>
              <w:gridCol w:w="683"/>
              <w:gridCol w:w="757"/>
              <w:gridCol w:w="784"/>
              <w:gridCol w:w="743"/>
              <w:gridCol w:w="690"/>
              <w:gridCol w:w="697"/>
            </w:tblGrid>
            <w:tr w14:paraId="11132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restart"/>
                  <w:tcBorders>
                    <w:tl2br w:val="nil"/>
                    <w:tr2bl w:val="nil"/>
                  </w:tcBorders>
                  <w:vAlign w:val="center"/>
                </w:tcPr>
                <w:p w14:paraId="6DBC335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设备名称</w:t>
                  </w:r>
                </w:p>
              </w:tc>
              <w:tc>
                <w:tcPr>
                  <w:tcW w:w="6896" w:type="dxa"/>
                  <w:gridSpan w:val="10"/>
                  <w:tcBorders>
                    <w:tl2br w:val="nil"/>
                    <w:tr2bl w:val="nil"/>
                  </w:tcBorders>
                  <w:vAlign w:val="center"/>
                </w:tcPr>
                <w:p w14:paraId="13D79F8C">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不同距离处</w:t>
                  </w:r>
                  <w:r>
                    <w:rPr>
                      <w:rFonts w:hint="default" w:ascii="Times New Roman" w:hAnsi="Times New Roman" w:eastAsia="宋体" w:cs="Times New Roman"/>
                      <w:color w:val="auto"/>
                      <w:sz w:val="21"/>
                      <w:szCs w:val="21"/>
                    </w:rPr>
                    <w:t>噪声预测值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lang w:eastAsia="zh-CN"/>
                    </w:rPr>
                    <w:t>dB（A）</w:t>
                  </w:r>
                  <w:r>
                    <w:rPr>
                      <w:rFonts w:hint="eastAsia" w:ascii="Times New Roman" w:hAnsi="Times New Roman" w:eastAsia="宋体" w:cs="Times New Roman"/>
                      <w:color w:val="auto"/>
                      <w:sz w:val="21"/>
                      <w:szCs w:val="21"/>
                      <w:lang w:eastAsia="zh-CN"/>
                    </w:rPr>
                    <w:t>）</w:t>
                  </w:r>
                </w:p>
              </w:tc>
            </w:tr>
            <w:tr w14:paraId="7902A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vMerge w:val="continue"/>
                  <w:tcBorders>
                    <w:tl2br w:val="nil"/>
                    <w:tr2bl w:val="nil"/>
                  </w:tcBorders>
                  <w:vAlign w:val="center"/>
                </w:tcPr>
                <w:p w14:paraId="1316A81D">
                  <w:pPr>
                    <w:jc w:val="center"/>
                    <w:rPr>
                      <w:rFonts w:hint="default" w:ascii="Times New Roman" w:hAnsi="Times New Roman" w:eastAsia="宋体" w:cs="Times New Roman"/>
                      <w:color w:val="auto"/>
                      <w:sz w:val="21"/>
                      <w:szCs w:val="21"/>
                    </w:rPr>
                  </w:pPr>
                </w:p>
              </w:tc>
              <w:tc>
                <w:tcPr>
                  <w:tcW w:w="654" w:type="dxa"/>
                  <w:tcBorders>
                    <w:tl2br w:val="nil"/>
                    <w:tr2bl w:val="nil"/>
                  </w:tcBorders>
                  <w:vAlign w:val="center"/>
                </w:tcPr>
                <w:p w14:paraId="35C828C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c>
                <w:tcPr>
                  <w:tcW w:w="625" w:type="dxa"/>
                  <w:tcBorders>
                    <w:tl2br w:val="nil"/>
                    <w:tr2bl w:val="nil"/>
                  </w:tcBorders>
                  <w:vAlign w:val="center"/>
                </w:tcPr>
                <w:p w14:paraId="35F572CC">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2m</w:t>
                  </w:r>
                </w:p>
              </w:tc>
              <w:tc>
                <w:tcPr>
                  <w:tcW w:w="680" w:type="dxa"/>
                  <w:tcBorders>
                    <w:tl2br w:val="nil"/>
                    <w:tr2bl w:val="nil"/>
                  </w:tcBorders>
                  <w:vAlign w:val="center"/>
                </w:tcPr>
                <w:p w14:paraId="142B6C39">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3m</w:t>
                  </w:r>
                </w:p>
              </w:tc>
              <w:tc>
                <w:tcPr>
                  <w:tcW w:w="583" w:type="dxa"/>
                  <w:tcBorders>
                    <w:tl2br w:val="nil"/>
                    <w:tr2bl w:val="nil"/>
                  </w:tcBorders>
                  <w:vAlign w:val="center"/>
                </w:tcPr>
                <w:p w14:paraId="5BF0F76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4m</w:t>
                  </w:r>
                </w:p>
              </w:tc>
              <w:tc>
                <w:tcPr>
                  <w:tcW w:w="683" w:type="dxa"/>
                  <w:tcBorders>
                    <w:tl2br w:val="nil"/>
                    <w:tr2bl w:val="nil"/>
                  </w:tcBorders>
                  <w:vAlign w:val="center"/>
                </w:tcPr>
                <w:p w14:paraId="5D1B032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5m</w:t>
                  </w:r>
                </w:p>
              </w:tc>
              <w:tc>
                <w:tcPr>
                  <w:tcW w:w="757" w:type="dxa"/>
                  <w:tcBorders>
                    <w:tl2br w:val="nil"/>
                    <w:tr2bl w:val="nil"/>
                  </w:tcBorders>
                  <w:vAlign w:val="center"/>
                </w:tcPr>
                <w:p w14:paraId="5C90F369">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10m</w:t>
                  </w:r>
                </w:p>
              </w:tc>
              <w:tc>
                <w:tcPr>
                  <w:tcW w:w="784" w:type="dxa"/>
                  <w:tcBorders>
                    <w:tl2br w:val="nil"/>
                    <w:tr2bl w:val="nil"/>
                  </w:tcBorders>
                  <w:vAlign w:val="center"/>
                </w:tcPr>
                <w:p w14:paraId="50674C67">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15m</w:t>
                  </w:r>
                </w:p>
              </w:tc>
              <w:tc>
                <w:tcPr>
                  <w:tcW w:w="743" w:type="dxa"/>
                  <w:tcBorders>
                    <w:tl2br w:val="nil"/>
                    <w:tr2bl w:val="nil"/>
                  </w:tcBorders>
                  <w:vAlign w:val="center"/>
                </w:tcPr>
                <w:p w14:paraId="38FCB81D">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20m</w:t>
                  </w:r>
                </w:p>
              </w:tc>
              <w:tc>
                <w:tcPr>
                  <w:tcW w:w="690" w:type="dxa"/>
                  <w:tcBorders>
                    <w:tl2br w:val="nil"/>
                    <w:tr2bl w:val="nil"/>
                  </w:tcBorders>
                  <w:vAlign w:val="center"/>
                </w:tcPr>
                <w:p w14:paraId="7C54A767">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25m</w:t>
                  </w:r>
                </w:p>
              </w:tc>
              <w:tc>
                <w:tcPr>
                  <w:tcW w:w="697" w:type="dxa"/>
                  <w:tcBorders>
                    <w:tl2br w:val="nil"/>
                    <w:tr2bl w:val="nil"/>
                  </w:tcBorders>
                  <w:vAlign w:val="center"/>
                </w:tcPr>
                <w:p w14:paraId="0FD75A1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30m</w:t>
                  </w:r>
                </w:p>
              </w:tc>
            </w:tr>
            <w:tr w14:paraId="1B047D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0146B4E1">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逆变器</w:t>
                  </w:r>
                </w:p>
              </w:tc>
              <w:tc>
                <w:tcPr>
                  <w:tcW w:w="654" w:type="dxa"/>
                  <w:tcBorders>
                    <w:tl2br w:val="nil"/>
                    <w:tr2bl w:val="nil"/>
                  </w:tcBorders>
                  <w:vAlign w:val="center"/>
                </w:tcPr>
                <w:p w14:paraId="656593AF">
                  <w:pPr>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55</w:t>
                  </w:r>
                </w:p>
              </w:tc>
              <w:tc>
                <w:tcPr>
                  <w:tcW w:w="625" w:type="dxa"/>
                  <w:tcBorders>
                    <w:tl2br w:val="nil"/>
                    <w:tr2bl w:val="nil"/>
                  </w:tcBorders>
                  <w:vAlign w:val="center"/>
                </w:tcPr>
                <w:p w14:paraId="077CAD8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680" w:type="dxa"/>
                  <w:tcBorders>
                    <w:tl2br w:val="nil"/>
                    <w:tr2bl w:val="nil"/>
                  </w:tcBorders>
                  <w:vAlign w:val="center"/>
                </w:tcPr>
                <w:p w14:paraId="1920CA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45.5</w:t>
                  </w:r>
                </w:p>
              </w:tc>
              <w:tc>
                <w:tcPr>
                  <w:tcW w:w="583" w:type="dxa"/>
                  <w:tcBorders>
                    <w:tl2br w:val="nil"/>
                    <w:tr2bl w:val="nil"/>
                  </w:tcBorders>
                  <w:vAlign w:val="center"/>
                </w:tcPr>
                <w:p w14:paraId="35AE09F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683" w:type="dxa"/>
                  <w:tcBorders>
                    <w:tl2br w:val="nil"/>
                    <w:tr2bl w:val="nil"/>
                  </w:tcBorders>
                  <w:vAlign w:val="center"/>
                </w:tcPr>
                <w:p w14:paraId="574C6DF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757" w:type="dxa"/>
                  <w:tcBorders>
                    <w:tl2br w:val="nil"/>
                    <w:tr2bl w:val="nil"/>
                  </w:tcBorders>
                  <w:vAlign w:val="center"/>
                </w:tcPr>
                <w:p w14:paraId="0D76AF7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784" w:type="dxa"/>
                  <w:tcBorders>
                    <w:tl2br w:val="nil"/>
                    <w:tr2bl w:val="nil"/>
                  </w:tcBorders>
                  <w:vAlign w:val="center"/>
                </w:tcPr>
                <w:p w14:paraId="3AC2F0C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31.5</w:t>
                  </w:r>
                </w:p>
              </w:tc>
              <w:tc>
                <w:tcPr>
                  <w:tcW w:w="743" w:type="dxa"/>
                  <w:tcBorders>
                    <w:tl2br w:val="nil"/>
                    <w:tr2bl w:val="nil"/>
                  </w:tcBorders>
                  <w:vAlign w:val="center"/>
                </w:tcPr>
                <w:p w14:paraId="4CF3985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29</w:t>
                  </w:r>
                </w:p>
              </w:tc>
              <w:tc>
                <w:tcPr>
                  <w:tcW w:w="690" w:type="dxa"/>
                  <w:tcBorders>
                    <w:tl2br w:val="nil"/>
                    <w:tr2bl w:val="nil"/>
                  </w:tcBorders>
                  <w:vAlign w:val="center"/>
                </w:tcPr>
                <w:p w14:paraId="7A91224D">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27</w:t>
                  </w:r>
                </w:p>
              </w:tc>
              <w:tc>
                <w:tcPr>
                  <w:tcW w:w="697" w:type="dxa"/>
                  <w:tcBorders>
                    <w:tl2br w:val="nil"/>
                    <w:tr2bl w:val="nil"/>
                  </w:tcBorders>
                  <w:vAlign w:val="center"/>
                </w:tcPr>
                <w:p w14:paraId="27AE7B2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14:paraId="49F13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7310D2CA">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主变压器</w:t>
                  </w:r>
                </w:p>
              </w:tc>
              <w:tc>
                <w:tcPr>
                  <w:tcW w:w="654" w:type="dxa"/>
                  <w:tcBorders>
                    <w:tl2br w:val="nil"/>
                    <w:tr2bl w:val="nil"/>
                  </w:tcBorders>
                  <w:vAlign w:val="center"/>
                </w:tcPr>
                <w:p w14:paraId="0A45391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625" w:type="dxa"/>
                  <w:tcBorders>
                    <w:tl2br w:val="nil"/>
                    <w:tr2bl w:val="nil"/>
                  </w:tcBorders>
                  <w:vAlign w:val="center"/>
                </w:tcPr>
                <w:p w14:paraId="6184345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64</w:t>
                  </w:r>
                </w:p>
              </w:tc>
              <w:tc>
                <w:tcPr>
                  <w:tcW w:w="680" w:type="dxa"/>
                  <w:tcBorders>
                    <w:tl2br w:val="nil"/>
                    <w:tr2bl w:val="nil"/>
                  </w:tcBorders>
                  <w:vAlign w:val="center"/>
                </w:tcPr>
                <w:p w14:paraId="2C79D33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60.5</w:t>
                  </w:r>
                </w:p>
              </w:tc>
              <w:tc>
                <w:tcPr>
                  <w:tcW w:w="583" w:type="dxa"/>
                  <w:tcBorders>
                    <w:tl2br w:val="nil"/>
                    <w:tr2bl w:val="nil"/>
                  </w:tcBorders>
                  <w:vAlign w:val="center"/>
                </w:tcPr>
                <w:p w14:paraId="6DAAC01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683" w:type="dxa"/>
                  <w:tcBorders>
                    <w:tl2br w:val="nil"/>
                    <w:tr2bl w:val="nil"/>
                  </w:tcBorders>
                  <w:vAlign w:val="center"/>
                </w:tcPr>
                <w:p w14:paraId="25D00F9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56</w:t>
                  </w:r>
                </w:p>
              </w:tc>
              <w:tc>
                <w:tcPr>
                  <w:tcW w:w="757" w:type="dxa"/>
                  <w:tcBorders>
                    <w:tl2br w:val="nil"/>
                    <w:tr2bl w:val="nil"/>
                  </w:tcBorders>
                  <w:vAlign w:val="center"/>
                </w:tcPr>
                <w:p w14:paraId="4842D9A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w:t>
                  </w:r>
                </w:p>
              </w:tc>
              <w:tc>
                <w:tcPr>
                  <w:tcW w:w="784" w:type="dxa"/>
                  <w:tcBorders>
                    <w:tl2br w:val="nil"/>
                    <w:tr2bl w:val="nil"/>
                  </w:tcBorders>
                  <w:vAlign w:val="center"/>
                </w:tcPr>
                <w:p w14:paraId="41B0EEB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46.5</w:t>
                  </w:r>
                </w:p>
              </w:tc>
              <w:tc>
                <w:tcPr>
                  <w:tcW w:w="743" w:type="dxa"/>
                  <w:tcBorders>
                    <w:tl2br w:val="nil"/>
                    <w:tr2bl w:val="nil"/>
                  </w:tcBorders>
                  <w:vAlign w:val="center"/>
                </w:tcPr>
                <w:p w14:paraId="3D963B1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44</w:t>
                  </w:r>
                </w:p>
              </w:tc>
              <w:tc>
                <w:tcPr>
                  <w:tcW w:w="690" w:type="dxa"/>
                  <w:tcBorders>
                    <w:tl2br w:val="nil"/>
                    <w:tr2bl w:val="nil"/>
                  </w:tcBorders>
                  <w:vAlign w:val="center"/>
                </w:tcPr>
                <w:p w14:paraId="742A012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p>
              </w:tc>
              <w:tc>
                <w:tcPr>
                  <w:tcW w:w="697" w:type="dxa"/>
                  <w:tcBorders>
                    <w:tl2br w:val="nil"/>
                    <w:tr2bl w:val="nil"/>
                  </w:tcBorders>
                  <w:vAlign w:val="center"/>
                </w:tcPr>
                <w:p w14:paraId="777B2C3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r>
            <w:tr w14:paraId="70138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22" w:type="dxa"/>
                  <w:tcBorders>
                    <w:tl2br w:val="nil"/>
                    <w:tr2bl w:val="nil"/>
                  </w:tcBorders>
                  <w:vAlign w:val="center"/>
                </w:tcPr>
                <w:p w14:paraId="75FC0DC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配电器</w:t>
                  </w:r>
                </w:p>
              </w:tc>
              <w:tc>
                <w:tcPr>
                  <w:tcW w:w="654" w:type="dxa"/>
                  <w:tcBorders>
                    <w:tl2br w:val="nil"/>
                    <w:tr2bl w:val="nil"/>
                  </w:tcBorders>
                  <w:vAlign w:val="center"/>
                </w:tcPr>
                <w:p w14:paraId="048F303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60</w:t>
                  </w:r>
                </w:p>
              </w:tc>
              <w:tc>
                <w:tcPr>
                  <w:tcW w:w="625" w:type="dxa"/>
                  <w:tcBorders>
                    <w:tl2br w:val="nil"/>
                    <w:tr2bl w:val="nil"/>
                  </w:tcBorders>
                  <w:vAlign w:val="center"/>
                </w:tcPr>
                <w:p w14:paraId="61A4B02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54</w:t>
                  </w:r>
                </w:p>
              </w:tc>
              <w:tc>
                <w:tcPr>
                  <w:tcW w:w="680" w:type="dxa"/>
                  <w:tcBorders>
                    <w:tl2br w:val="nil"/>
                    <w:tr2bl w:val="nil"/>
                  </w:tcBorders>
                  <w:vAlign w:val="center"/>
                </w:tcPr>
                <w:p w14:paraId="47AB593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50.5</w:t>
                  </w:r>
                </w:p>
              </w:tc>
              <w:tc>
                <w:tcPr>
                  <w:tcW w:w="583" w:type="dxa"/>
                  <w:tcBorders>
                    <w:tl2br w:val="nil"/>
                    <w:tr2bl w:val="nil"/>
                  </w:tcBorders>
                  <w:vAlign w:val="center"/>
                </w:tcPr>
                <w:p w14:paraId="6A39280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48</w:t>
                  </w:r>
                </w:p>
              </w:tc>
              <w:tc>
                <w:tcPr>
                  <w:tcW w:w="683" w:type="dxa"/>
                  <w:tcBorders>
                    <w:tl2br w:val="nil"/>
                    <w:tr2bl w:val="nil"/>
                  </w:tcBorders>
                  <w:vAlign w:val="center"/>
                </w:tcPr>
                <w:p w14:paraId="0B2D298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46</w:t>
                  </w:r>
                </w:p>
              </w:tc>
              <w:tc>
                <w:tcPr>
                  <w:tcW w:w="757" w:type="dxa"/>
                  <w:tcBorders>
                    <w:tl2br w:val="nil"/>
                    <w:tr2bl w:val="nil"/>
                  </w:tcBorders>
                  <w:vAlign w:val="center"/>
                </w:tcPr>
                <w:p w14:paraId="77CE932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784" w:type="dxa"/>
                  <w:tcBorders>
                    <w:tl2br w:val="nil"/>
                    <w:tr2bl w:val="nil"/>
                  </w:tcBorders>
                  <w:vAlign w:val="center"/>
                </w:tcPr>
                <w:p w14:paraId="0294EA9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36.5</w:t>
                  </w:r>
                </w:p>
              </w:tc>
              <w:tc>
                <w:tcPr>
                  <w:tcW w:w="743" w:type="dxa"/>
                  <w:tcBorders>
                    <w:tl2br w:val="nil"/>
                    <w:tr2bl w:val="nil"/>
                  </w:tcBorders>
                  <w:vAlign w:val="center"/>
                </w:tcPr>
                <w:p w14:paraId="38B54CA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w:t>
                  </w:r>
                </w:p>
              </w:tc>
              <w:tc>
                <w:tcPr>
                  <w:tcW w:w="690" w:type="dxa"/>
                  <w:tcBorders>
                    <w:tl2br w:val="nil"/>
                    <w:tr2bl w:val="nil"/>
                  </w:tcBorders>
                  <w:vAlign w:val="center"/>
                </w:tcPr>
                <w:p w14:paraId="53ACDFC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32</w:t>
                  </w:r>
                </w:p>
              </w:tc>
              <w:tc>
                <w:tcPr>
                  <w:tcW w:w="697" w:type="dxa"/>
                  <w:tcBorders>
                    <w:tl2br w:val="nil"/>
                    <w:tr2bl w:val="nil"/>
                  </w:tcBorders>
                  <w:vAlign w:val="center"/>
                </w:tcPr>
                <w:p w14:paraId="11E5E51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r>
          </w:tbl>
          <w:p w14:paraId="4D27A225">
            <w:pPr>
              <w:numPr>
                <w:ilvl w:val="0"/>
                <w:numId w:val="0"/>
              </w:num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根据升压站区平面布置图，本期工程项目主变与最近厂界的距离为25</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，且厂界处设置有围墙进行隔声降噪（围墙隔声效果约10</w:t>
            </w:r>
            <w:r>
              <w:rPr>
                <w:rFonts w:hint="default" w:ascii="Times New Roman" w:hAnsi="Times New Roman" w:eastAsia="宋体" w:cs="Times New Roman"/>
                <w:color w:val="auto"/>
                <w:sz w:val="24"/>
                <w:lang w:val="en-US" w:eastAsia="zh-CN"/>
              </w:rPr>
              <w:t>dB（A）</w:t>
            </w:r>
            <w:r>
              <w:rPr>
                <w:rFonts w:hint="eastAsia" w:ascii="Times New Roman" w:hAnsi="Times New Roman" w:eastAsia="宋体" w:cs="Times New Roman"/>
                <w:color w:val="auto"/>
                <w:sz w:val="24"/>
                <w:lang w:val="en-US" w:eastAsia="zh-CN"/>
              </w:rPr>
              <w:t>），经距离衰减和围墙隔声后，其在厂界的噪声贡献值为</w:t>
            </w:r>
            <w:r>
              <w:rPr>
                <w:rFonts w:hint="default"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dB</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A</w:t>
            </w:r>
            <w:r>
              <w:rPr>
                <w:rFonts w:hint="eastAsia" w:ascii="Times New Roman" w:hAnsi="Times New Roman" w:eastAsia="宋体" w:cs="Times New Roman"/>
                <w:color w:val="auto"/>
                <w:sz w:val="24"/>
                <w:lang w:val="en-US" w:eastAsia="zh-CN"/>
              </w:rPr>
              <w:t>），可满足《工业企业厂界环境噪声排放标准》（</w:t>
            </w:r>
            <w:r>
              <w:rPr>
                <w:rFonts w:hint="default" w:ascii="Times New Roman" w:hAnsi="Times New Roman" w:eastAsia="宋体" w:cs="Times New Roman"/>
                <w:color w:val="auto"/>
                <w:sz w:val="24"/>
                <w:lang w:val="en-US" w:eastAsia="zh-CN"/>
              </w:rPr>
              <w:t>GB12348-2008</w:t>
            </w:r>
            <w:r>
              <w:rPr>
                <w:rFonts w:hint="eastAsia"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类标准要求。</w:t>
            </w:r>
            <w:r>
              <w:rPr>
                <w:rFonts w:hint="default" w:ascii="Times New Roman" w:hAnsi="Times New Roman" w:eastAsia="宋体" w:cs="Times New Roman"/>
                <w:color w:val="auto"/>
                <w:sz w:val="24"/>
              </w:rPr>
              <w:t>本项目产生的噪声对周围声环境影响不大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rPr>
              <w:t>根据预测，通过密封隔声降噪和距离衰减后，主变、逆变器和箱式变压器在最近厂界的贡献值为</w:t>
            </w:r>
            <w:r>
              <w:rPr>
                <w:rFonts w:hint="eastAsia" w:ascii="Times New Roman" w:hAnsi="Times New Roman" w:eastAsia="宋体" w:cs="Times New Roman"/>
                <w:lang w:val="en-US" w:eastAsia="zh-CN"/>
              </w:rPr>
              <w:t>42</w:t>
            </w:r>
            <w:r>
              <w:rPr>
                <w:rFonts w:hint="default" w:ascii="Times New Roman" w:hAnsi="Times New Roman" w:eastAsia="宋体" w:cs="Times New Roman"/>
              </w:rPr>
              <w:t>dB（A），可满足《工业企业厂界环境噪声排放标准》（GB12348-2008）中2类标准要求。</w:t>
            </w:r>
          </w:p>
          <w:p w14:paraId="7AEE808C">
            <w:pPr>
              <w:numPr>
                <w:ilvl w:val="0"/>
                <w:numId w:val="0"/>
              </w:numPr>
              <w:spacing w:line="360" w:lineRule="auto"/>
              <w:ind w:firstLine="480" w:firstLineChars="200"/>
              <w:rPr>
                <w:rFonts w:hint="default" w:ascii="Times New Roman" w:hAnsi="Times New Roman" w:eastAsia="宋体" w:cs="Times New Roman"/>
              </w:rPr>
            </w:pPr>
            <w:r>
              <w:rPr>
                <w:rFonts w:hint="eastAsia" w:ascii="Times New Roman" w:hAnsi="Times New Roman" w:eastAsia="宋体" w:cs="Times New Roman"/>
                <w:color w:val="auto"/>
                <w:sz w:val="24"/>
                <w:lang w:eastAsia="zh-CN"/>
              </w:rPr>
              <w:t>项目</w:t>
            </w:r>
            <w:r>
              <w:rPr>
                <w:rFonts w:hint="default" w:ascii="Times New Roman" w:hAnsi="Times New Roman" w:eastAsia="宋体" w:cs="Times New Roman"/>
                <w:color w:val="auto"/>
                <w:sz w:val="24"/>
              </w:rPr>
              <w:t>升压站周边</w:t>
            </w:r>
            <w:r>
              <w:rPr>
                <w:rFonts w:hint="eastAsia" w:ascii="Times New Roman" w:hAnsi="Times New Roman" w:eastAsia="宋体" w:cs="Times New Roman"/>
                <w:color w:val="auto"/>
                <w:sz w:val="24"/>
                <w:lang w:val="en-US" w:eastAsia="zh-CN"/>
              </w:rPr>
              <w:t>200m范围无</w:t>
            </w:r>
            <w:r>
              <w:rPr>
                <w:rFonts w:hint="default" w:ascii="Times New Roman" w:hAnsi="Times New Roman" w:eastAsia="宋体" w:cs="Times New Roman"/>
                <w:color w:val="auto"/>
                <w:sz w:val="24"/>
              </w:rPr>
              <w:t>环境敏感点，</w:t>
            </w:r>
            <w:r>
              <w:rPr>
                <w:rFonts w:hint="eastAsia" w:ascii="Times New Roman" w:hAnsi="Times New Roman" w:eastAsia="宋体" w:cs="Times New Roman"/>
                <w:color w:val="auto"/>
                <w:sz w:val="24"/>
                <w:lang w:eastAsia="zh-CN"/>
              </w:rPr>
              <w:t>升压站最近居民点</w:t>
            </w:r>
            <w:r>
              <w:rPr>
                <w:rFonts w:hint="eastAsia" w:ascii="Times New Roman" w:hAnsi="Times New Roman" w:eastAsia="宋体" w:cs="Times New Roman"/>
                <w:color w:val="auto"/>
                <w:sz w:val="24"/>
                <w:lang w:val="en-US" w:eastAsia="zh-CN"/>
              </w:rPr>
              <w:t>为项目升压站场界北侧距离为230</w:t>
            </w:r>
            <w:r>
              <w:rPr>
                <w:rFonts w:hint="default" w:ascii="Times New Roman" w:hAnsi="Times New Roman" w:eastAsia="宋体" w:cs="Times New Roman"/>
                <w:color w:val="auto"/>
                <w:sz w:val="24"/>
                <w:lang w:val="en-US" w:eastAsia="zh-CN"/>
              </w:rPr>
              <w:t>m</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szCs w:val="24"/>
              </w:rPr>
              <w:t>居民点（约</w:t>
            </w:r>
            <w:r>
              <w:rPr>
                <w:rFonts w:hint="eastAsia" w:ascii="Times New Roman" w:hAnsi="Times New Roman" w:eastAsia="宋体" w:cs="Times New Roman"/>
                <w:color w:val="auto"/>
                <w:sz w:val="24"/>
                <w:szCs w:val="24"/>
                <w:lang w:val="en-US" w:eastAsia="zh-CN"/>
              </w:rPr>
              <w:t>210</w:t>
            </w:r>
            <w:r>
              <w:rPr>
                <w:rFonts w:hint="default" w:ascii="Times New Roman" w:hAnsi="Times New Roman" w:eastAsia="宋体" w:cs="Times New Roman"/>
                <w:color w:val="auto"/>
                <w:sz w:val="24"/>
                <w:szCs w:val="24"/>
              </w:rPr>
              <w:t>人）</w:t>
            </w:r>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spacing w:val="-1"/>
                <w:sz w:val="24"/>
                <w:szCs w:val="24"/>
              </w:rPr>
              <w:t>云南</w:t>
            </w:r>
            <w:r>
              <w:rPr>
                <w:rFonts w:hint="eastAsia" w:ascii="Times New Roman" w:hAnsi="Times New Roman" w:eastAsia="宋体" w:cs="Times New Roman"/>
                <w:spacing w:val="-1"/>
                <w:sz w:val="24"/>
                <w:szCs w:val="24"/>
                <w:lang w:eastAsia="zh-CN"/>
              </w:rPr>
              <w:t>晟蔚环保科技</w:t>
            </w:r>
            <w:r>
              <w:rPr>
                <w:rFonts w:hint="default" w:ascii="Times New Roman" w:hAnsi="Times New Roman" w:eastAsia="宋体" w:cs="Times New Roman"/>
                <w:spacing w:val="-1"/>
                <w:sz w:val="24"/>
                <w:szCs w:val="24"/>
              </w:rPr>
              <w:t>有限公司对项目区</w:t>
            </w:r>
            <w:r>
              <w:rPr>
                <w:rFonts w:hint="eastAsia" w:ascii="Times New Roman" w:hAnsi="Times New Roman" w:eastAsia="宋体" w:cs="Times New Roman"/>
                <w:spacing w:val="-1"/>
                <w:sz w:val="24"/>
                <w:szCs w:val="24"/>
                <w:lang w:eastAsia="zh-CN"/>
              </w:rPr>
              <w:t>升压站</w:t>
            </w:r>
            <w:r>
              <w:rPr>
                <w:rFonts w:hint="default" w:ascii="Times New Roman" w:hAnsi="Times New Roman" w:eastAsia="宋体" w:cs="Times New Roman"/>
                <w:spacing w:val="-1"/>
                <w:sz w:val="24"/>
                <w:szCs w:val="24"/>
              </w:rPr>
              <w:t>声环境质量现状进行监测</w:t>
            </w:r>
            <w:r>
              <w:rPr>
                <w:rFonts w:hint="eastAsia" w:ascii="Times New Roman" w:hAnsi="Times New Roman" w:eastAsia="宋体" w:cs="Times New Roman"/>
                <w:spacing w:val="-1"/>
                <w:sz w:val="24"/>
                <w:szCs w:val="24"/>
                <w:lang w:eastAsia="zh-CN"/>
              </w:rPr>
              <w:t>，</w:t>
            </w:r>
            <w:r>
              <w:rPr>
                <w:rFonts w:hint="eastAsia" w:ascii="Times New Roman" w:hAnsi="Times New Roman" w:eastAsia="宋体" w:cs="Times New Roman"/>
                <w:color w:val="auto"/>
                <w:sz w:val="24"/>
                <w:lang w:val="en-US" w:eastAsia="zh-CN"/>
              </w:rPr>
              <w:t>道坡村</w:t>
            </w:r>
            <w:r>
              <w:rPr>
                <w:rFonts w:hint="default" w:ascii="Times New Roman" w:hAnsi="Times New Roman" w:eastAsia="宋体" w:cs="Times New Roman"/>
                <w:color w:val="auto"/>
                <w:sz w:val="24"/>
              </w:rPr>
              <w:t>声环境质量</w:t>
            </w:r>
            <w:r>
              <w:rPr>
                <w:rFonts w:hint="eastAsia" w:ascii="Times New Roman" w:hAnsi="Times New Roman" w:eastAsia="宋体" w:cs="Times New Roman"/>
                <w:color w:val="auto"/>
                <w:sz w:val="24"/>
                <w:lang w:eastAsia="zh-CN"/>
              </w:rPr>
              <w:t>现状</w:t>
            </w:r>
            <w:r>
              <w:rPr>
                <w:rFonts w:hint="default" w:ascii="Times New Roman" w:hAnsi="Times New Roman" w:eastAsia="宋体" w:cs="Times New Roman"/>
                <w:color w:val="auto"/>
                <w:sz w:val="24"/>
              </w:rPr>
              <w:t>能达到《声环境质量标准》（GB2553-2008）2类区的标准。本项目产生的噪声对周围声环境影响不大。</w:t>
            </w:r>
          </w:p>
          <w:p w14:paraId="573F1F5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（4）固体废物影响分析</w:t>
            </w:r>
          </w:p>
          <w:p w14:paraId="21EDDB1A">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rPr>
              <w:t>拟建项目生产过程中产生的固体废物主要为生活垃圾、项目生产过程中产生的废旧的光伏组件。</w:t>
            </w:r>
          </w:p>
          <w:p w14:paraId="6E14972D">
            <w:pPr>
              <w:numPr>
                <w:ilvl w:val="0"/>
                <w:numId w:val="0"/>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1）生活垃圾：主要为员工生产生活的过程中产生，按照每人每天产生1kg计算，生活垃圾产生量为</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kg/d、</w:t>
            </w:r>
            <w:r>
              <w:rPr>
                <w:rFonts w:hint="eastAsia" w:ascii="Times New Roman" w:hAnsi="Times New Roman" w:eastAsia="宋体" w:cs="Times New Roman"/>
                <w:color w:val="auto"/>
                <w:lang w:val="en-US" w:eastAsia="zh-CN"/>
              </w:rPr>
              <w:t>1.8</w:t>
            </w:r>
            <w:r>
              <w:rPr>
                <w:rFonts w:hint="default" w:ascii="Times New Roman" w:hAnsi="Times New Roman" w:eastAsia="宋体" w:cs="Times New Roman"/>
                <w:color w:val="auto"/>
              </w:rPr>
              <w:t>t/a，生活垃圾经统一集中收集后，与附近村庄垃圾一同处置。</w:t>
            </w:r>
          </w:p>
          <w:p w14:paraId="54B142C3">
            <w:pPr>
              <w:numPr>
                <w:ilvl w:val="0"/>
                <w:numId w:val="0"/>
              </w:numPr>
              <w:spacing w:line="360" w:lineRule="auto"/>
              <w:ind w:firstLine="480" w:firstLineChars="200"/>
              <w:rPr>
                <w:rFonts w:hint="eastAsia" w:ascii="Times New Roman" w:hAnsi="Times New Roman" w:eastAsia="宋体" w:cs="Times New Roman"/>
                <w:lang w:eastAsia="zh-CN"/>
              </w:rPr>
            </w:pPr>
            <w:r>
              <w:rPr>
                <w:rFonts w:hint="default" w:ascii="Times New Roman" w:hAnsi="Times New Roman" w:eastAsia="宋体" w:cs="Times New Roman"/>
                <w:color w:val="auto"/>
              </w:rPr>
              <w:t>2）废旧的光伏组件：项目光伏系统使用寿命25年，其中组件寿命25年，逆变器寿命25年，电缆使用寿命大于20年，除</w:t>
            </w:r>
            <w:r>
              <w:rPr>
                <w:rFonts w:hint="default" w:ascii="Times New Roman" w:hAnsi="Times New Roman" w:eastAsia="宋体" w:cs="Times New Roman"/>
              </w:rPr>
              <w:t>人为破坏外基本无损坏，为保障太阳能发电站的稳定性，设备厂家对其进行定期检测，对于损坏更换的电池组件以及光伏电池组件使用寿命到期后更换下来的电池组件，根据《国家危险废物名录》 (2021版)，本项目所用单晶硅电池组件不属于危险废物，在厂区</w:t>
            </w:r>
            <w:r>
              <w:rPr>
                <w:rFonts w:hint="eastAsia" w:ascii="Times New Roman" w:hAnsi="Times New Roman" w:eastAsia="宋体" w:cs="Times New Roman"/>
                <w:lang w:eastAsia="zh-CN"/>
              </w:rPr>
              <w:t>一般固废暂存间暂存</w:t>
            </w:r>
            <w:r>
              <w:rPr>
                <w:rFonts w:hint="default" w:ascii="Times New Roman" w:hAnsi="Times New Roman" w:eastAsia="宋体" w:cs="Times New Roman"/>
              </w:rPr>
              <w:t>，最终由厂家回收处理。</w:t>
            </w:r>
            <w:r>
              <w:rPr>
                <w:rFonts w:hint="default" w:ascii="Times New Roman" w:hAnsi="Times New Roman" w:eastAsia="宋体" w:cs="Times New Roman"/>
                <w:bCs/>
                <w:color w:val="auto"/>
                <w:sz w:val="24"/>
                <w:szCs w:val="20"/>
              </w:rPr>
              <w:t>根</w:t>
            </w:r>
            <w:r>
              <w:rPr>
                <w:rFonts w:hint="default" w:ascii="Times New Roman" w:hAnsi="Times New Roman" w:eastAsia="宋体" w:cs="Times New Roman"/>
                <w:bCs/>
                <w:color w:val="auto"/>
                <w:sz w:val="24"/>
                <w:szCs w:val="24"/>
              </w:rPr>
              <w:t>据建设单位经验数据，组件损坏更换率以每年 0.1‰计，每块光伏组件重量32.3kg，共</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36080</w:t>
            </w:r>
            <w:r>
              <w:rPr>
                <w:rFonts w:hint="default" w:ascii="Times New Roman" w:hAnsi="Times New Roman" w:eastAsia="宋体" w:cs="Times New Roman"/>
                <w:color w:val="auto"/>
                <w:kern w:val="0"/>
                <w:sz w:val="24"/>
                <w:szCs w:val="24"/>
                <w:lang w:bidi="ar"/>
              </w:rPr>
              <w:t>块，</w:t>
            </w:r>
            <w:r>
              <w:rPr>
                <w:rFonts w:hint="default" w:ascii="Times New Roman" w:hAnsi="Times New Roman" w:eastAsia="宋体" w:cs="Times New Roman"/>
                <w:bCs/>
                <w:color w:val="auto"/>
                <w:sz w:val="24"/>
                <w:szCs w:val="24"/>
              </w:rPr>
              <w:t>则年损坏更换产生的废弃光伏组件约为0.</w:t>
            </w:r>
            <w:r>
              <w:rPr>
                <w:rFonts w:hint="eastAsia" w:ascii="Times New Roman" w:hAnsi="Times New Roman" w:eastAsia="宋体" w:cs="Times New Roman"/>
                <w:bCs/>
                <w:color w:val="auto"/>
                <w:sz w:val="24"/>
                <w:szCs w:val="24"/>
                <w:lang w:val="en-US" w:eastAsia="zh-CN"/>
              </w:rPr>
              <w:t>44</w:t>
            </w:r>
            <w:r>
              <w:rPr>
                <w:rFonts w:hint="default" w:ascii="Times New Roman" w:hAnsi="Times New Roman" w:eastAsia="宋体" w:cs="Times New Roman"/>
                <w:bCs/>
                <w:color w:val="auto"/>
                <w:sz w:val="24"/>
                <w:szCs w:val="24"/>
              </w:rPr>
              <w:t>t</w:t>
            </w:r>
            <w:r>
              <w:rPr>
                <w:rFonts w:hint="eastAsia" w:ascii="Times New Roman" w:hAnsi="Times New Roman" w:eastAsia="宋体" w:cs="Times New Roman"/>
                <w:bCs/>
                <w:color w:val="auto"/>
                <w:sz w:val="24"/>
                <w:szCs w:val="24"/>
                <w:lang w:eastAsia="zh-CN"/>
              </w:rPr>
              <w:t>。</w:t>
            </w:r>
          </w:p>
          <w:p w14:paraId="351D4C28">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3）废矿物油</w:t>
            </w:r>
          </w:p>
          <w:p w14:paraId="78C2588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①主变变压器油</w:t>
            </w:r>
          </w:p>
          <w:p w14:paraId="2C829ED0">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升压站运营期主变压器在维修中或事故情况下，将排放变压器废油，升压站内主变压器处将建设1个事故油池，事故油池设置为地埋式，</w:t>
            </w:r>
            <w:r>
              <w:rPr>
                <w:rFonts w:hint="eastAsia" w:ascii="Times New Roman" w:hAnsi="Times New Roman" w:eastAsia="宋体" w:cs="Times New Roman"/>
                <w:lang w:eastAsia="zh-CN"/>
              </w:rPr>
              <w:t>有效容积不小于</w:t>
            </w:r>
            <w:r>
              <w:rPr>
                <w:rFonts w:hint="eastAsia" w:ascii="Times New Roman" w:hAnsi="Times New Roman" w:eastAsia="宋体" w:cs="Times New Roman"/>
                <w:lang w:val="en-US" w:eastAsia="zh-CN"/>
              </w:rPr>
              <w:t>30</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。在事故情况下，主变压器产生的废油由事故油池</w:t>
            </w:r>
            <w:r>
              <w:rPr>
                <w:rFonts w:hint="default" w:ascii="Times New Roman" w:hAnsi="Times New Roman" w:eastAsia="宋体" w:cs="Times New Roman"/>
                <w:lang w:eastAsia="zh-CN"/>
              </w:rPr>
              <w:t>收集</w:t>
            </w:r>
            <w:r>
              <w:rPr>
                <w:rFonts w:hint="default" w:ascii="Times New Roman" w:hAnsi="Times New Roman" w:eastAsia="宋体" w:cs="Times New Roman"/>
              </w:rPr>
              <w:t>。</w:t>
            </w:r>
            <w:r>
              <w:rPr>
                <w:rFonts w:hint="default" w:ascii="Times New Roman" w:hAnsi="Times New Roman" w:eastAsia="宋体" w:cs="Times New Roman"/>
                <w:lang w:eastAsia="zh-CN"/>
              </w:rPr>
              <w:t>维修及保养产生的废油由专用容器收集暂存于危废暂存间。</w:t>
            </w:r>
            <w:r>
              <w:rPr>
                <w:rFonts w:hint="default" w:ascii="Times New Roman" w:hAnsi="Times New Roman" w:eastAsia="宋体" w:cs="Times New Roman"/>
              </w:rPr>
              <w:t>每年定期维护设备时产生少量废矿物油</w:t>
            </w:r>
            <w:r>
              <w:rPr>
                <w:rFonts w:hint="default" w:ascii="Times New Roman" w:hAnsi="Times New Roman" w:eastAsia="宋体" w:cs="Times New Roman"/>
                <w:lang w:eastAsia="zh-CN"/>
              </w:rPr>
              <w:t>，</w:t>
            </w:r>
            <w:r>
              <w:rPr>
                <w:rFonts w:hint="default" w:ascii="Times New Roman" w:hAnsi="Times New Roman" w:eastAsia="宋体" w:cs="Times New Roman"/>
              </w:rPr>
              <w:t>为危险废物(HW08，900-249-08)</w:t>
            </w:r>
            <w:r>
              <w:rPr>
                <w:rFonts w:hint="default" w:ascii="Times New Roman" w:hAnsi="Times New Roman" w:eastAsia="宋体" w:cs="Times New Roman"/>
                <w:lang w:eastAsia="zh-CN"/>
              </w:rPr>
              <w:t>，</w:t>
            </w:r>
            <w:r>
              <w:rPr>
                <w:rFonts w:hint="default" w:ascii="Times New Roman" w:hAnsi="Times New Roman" w:eastAsia="宋体" w:cs="Times New Roman"/>
              </w:rPr>
              <w:t>产生量约为50kg/a</w:t>
            </w:r>
            <w:r>
              <w:rPr>
                <w:rFonts w:hint="default" w:ascii="Times New Roman" w:hAnsi="Times New Roman" w:eastAsia="宋体" w:cs="Times New Roman"/>
                <w:lang w:eastAsia="zh-CN"/>
              </w:rPr>
              <w:t>，</w:t>
            </w:r>
            <w:r>
              <w:rPr>
                <w:rFonts w:hint="default" w:ascii="Times New Roman" w:hAnsi="Times New Roman" w:eastAsia="宋体" w:cs="Times New Roman"/>
              </w:rPr>
              <w:t>收集于专用容器内，在危废暂存间内暂存</w:t>
            </w:r>
            <w:r>
              <w:rPr>
                <w:rFonts w:hint="default" w:ascii="Times New Roman" w:hAnsi="Times New Roman" w:eastAsia="宋体" w:cs="Times New Roman"/>
                <w:lang w:eastAsia="zh-CN"/>
              </w:rPr>
              <w:t>，</w:t>
            </w:r>
            <w:r>
              <w:rPr>
                <w:rFonts w:hint="default" w:ascii="Times New Roman" w:hAnsi="Times New Roman" w:eastAsia="宋体" w:cs="Times New Roman"/>
              </w:rPr>
              <w:t>定期交有资质单位处置。</w:t>
            </w:r>
          </w:p>
          <w:p w14:paraId="0B7036B2">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②箱式变压器油</w:t>
            </w:r>
          </w:p>
          <w:p w14:paraId="2266EE3D">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项目共设置</w:t>
            </w:r>
            <w:r>
              <w:rPr>
                <w:rFonts w:hint="eastAsia" w:ascii="Times New Roman" w:hAnsi="Times New Roman" w:eastAsia="宋体" w:cs="Times New Roman"/>
                <w:lang w:val="en-US" w:eastAsia="zh-CN"/>
              </w:rPr>
              <w:t>26</w:t>
            </w:r>
            <w:r>
              <w:rPr>
                <w:rFonts w:hint="default" w:ascii="Times New Roman" w:hAnsi="Times New Roman" w:eastAsia="宋体" w:cs="Times New Roman"/>
              </w:rPr>
              <w:t>台箱变</w:t>
            </w:r>
            <w:r>
              <w:rPr>
                <w:rFonts w:hint="default" w:ascii="Times New Roman" w:hAnsi="Times New Roman" w:eastAsia="宋体" w:cs="Times New Roman"/>
                <w:lang w:eastAsia="zh-CN"/>
              </w:rPr>
              <w:t>，</w:t>
            </w:r>
            <w:r>
              <w:rPr>
                <w:rFonts w:hint="default" w:ascii="Times New Roman" w:hAnsi="Times New Roman" w:eastAsia="宋体" w:cs="Times New Roman"/>
              </w:rPr>
              <w:t>经与设计单位核实，本项目拟安装的每台箱变内各装有2200kg的变压器油，每台箱变分别配套设置有一个容积为</w:t>
            </w:r>
            <w:r>
              <w:rPr>
                <w:rFonts w:hint="eastAsia" w:ascii="Times New Roman" w:hAnsi="Times New Roman" w:eastAsia="宋体" w:cs="Times New Roman"/>
                <w:lang w:val="en-US" w:eastAsia="zh-CN"/>
              </w:rPr>
              <w:t>1</w:t>
            </w:r>
            <w:r>
              <w:rPr>
                <w:rFonts w:hint="default" w:ascii="Times New Roman" w:hAnsi="Times New Roman" w:eastAsia="宋体" w:cs="Times New Roman"/>
              </w:rPr>
              <w:t>m</w:t>
            </w:r>
            <w:r>
              <w:rPr>
                <w:rFonts w:hint="default" w:ascii="Times New Roman" w:hAnsi="Times New Roman" w:eastAsia="宋体" w:cs="Times New Roman"/>
                <w:vertAlign w:val="superscript"/>
              </w:rPr>
              <w:t>3</w:t>
            </w:r>
            <w:r>
              <w:rPr>
                <w:rFonts w:hint="default" w:ascii="Times New Roman" w:hAnsi="Times New Roman" w:eastAsia="宋体" w:cs="Times New Roman"/>
              </w:rPr>
              <w:t>的</w:t>
            </w:r>
            <w:r>
              <w:rPr>
                <w:rFonts w:hint="default" w:ascii="Times New Roman" w:hAnsi="Times New Roman" w:eastAsia="宋体" w:cs="Times New Roman"/>
                <w:lang w:eastAsia="zh-CN"/>
              </w:rPr>
              <w:t>事故池</w:t>
            </w:r>
            <w:r>
              <w:rPr>
                <w:rFonts w:hint="default" w:ascii="Times New Roman" w:hAnsi="Times New Roman" w:eastAsia="宋体" w:cs="Times New Roman"/>
              </w:rPr>
              <w:t>，</w:t>
            </w:r>
            <w:r>
              <w:rPr>
                <w:rFonts w:hint="default" w:ascii="Times New Roman" w:hAnsi="Times New Roman" w:eastAsia="宋体" w:cs="Times New Roman"/>
                <w:lang w:eastAsia="zh-CN"/>
              </w:rPr>
              <w:t>事故池</w:t>
            </w:r>
            <w:r>
              <w:rPr>
                <w:rFonts w:hint="default" w:ascii="Times New Roman" w:hAnsi="Times New Roman" w:eastAsia="宋体" w:cs="Times New Roman"/>
              </w:rPr>
              <w:t>的设计满足《火力发电厂与变电站设计防火标准》GB50229-2019中11.3.4的相关要求。</w:t>
            </w:r>
          </w:p>
          <w:p w14:paraId="34403EAB">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综上分析，项目运营期间正常情况下，箱变</w:t>
            </w:r>
            <w:r>
              <w:rPr>
                <w:rFonts w:hint="default" w:ascii="Times New Roman" w:hAnsi="Times New Roman" w:eastAsia="宋体" w:cs="Times New Roman"/>
                <w:lang w:eastAsia="zh-CN"/>
              </w:rPr>
              <w:t>一</w:t>
            </w:r>
            <w:r>
              <w:rPr>
                <w:rFonts w:hint="default" w:ascii="Times New Roman" w:hAnsi="Times New Roman" w:eastAsia="宋体" w:cs="Times New Roman"/>
              </w:rPr>
              <w:t>般不会产生废变压器油</w:t>
            </w:r>
            <w:r>
              <w:rPr>
                <w:rFonts w:hint="default" w:ascii="Times New Roman" w:hAnsi="Times New Roman" w:eastAsia="宋体" w:cs="Times New Roman"/>
                <w:lang w:eastAsia="zh-CN"/>
              </w:rPr>
              <w:t>：</w:t>
            </w:r>
            <w:r>
              <w:rPr>
                <w:rFonts w:hint="default" w:ascii="Times New Roman" w:hAnsi="Times New Roman" w:eastAsia="宋体" w:cs="Times New Roman"/>
              </w:rPr>
              <w:t>一旦发生事故，产生的事故油排入箱变的</w:t>
            </w:r>
            <w:r>
              <w:rPr>
                <w:rFonts w:hint="default" w:ascii="Times New Roman" w:hAnsi="Times New Roman" w:eastAsia="宋体" w:cs="Times New Roman"/>
                <w:lang w:eastAsia="zh-CN"/>
              </w:rPr>
              <w:t>事故池</w:t>
            </w:r>
            <w:r>
              <w:rPr>
                <w:rFonts w:hint="default" w:ascii="Times New Roman" w:hAnsi="Times New Roman" w:eastAsia="宋体" w:cs="Times New Roman"/>
              </w:rPr>
              <w:t>内，经收集后委托有资质的单位回收处置，对环境影响不大。</w:t>
            </w:r>
          </w:p>
          <w:p w14:paraId="1FB27DFC">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4）</w:t>
            </w:r>
            <w:r>
              <w:rPr>
                <w:rFonts w:hint="default" w:ascii="Times New Roman" w:hAnsi="Times New Roman" w:eastAsia="宋体" w:cs="Times New Roman"/>
              </w:rPr>
              <w:t>废铅蓄电池</w:t>
            </w:r>
          </w:p>
          <w:p w14:paraId="29C2FED6">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升压站内需要使用废铅蓄电池作业应急</w:t>
            </w:r>
            <w:r>
              <w:rPr>
                <w:rFonts w:hint="eastAsia" w:ascii="Times New Roman" w:hAnsi="Times New Roman" w:eastAsia="宋体" w:cs="Times New Roman"/>
                <w:lang w:eastAsia="zh-CN"/>
              </w:rPr>
              <w:t>备用</w:t>
            </w:r>
            <w:r>
              <w:rPr>
                <w:rFonts w:hint="default" w:ascii="Times New Roman" w:hAnsi="Times New Roman" w:eastAsia="宋体" w:cs="Times New Roman"/>
              </w:rPr>
              <w:t>，每年需要更换废铅蓄电池量约为200kg/a, 废铅蓄电池为危险废物，废物类别为HW31含铅废物，废物代码为900-052-31，经收集后，放置在危废暂存间暂存后，交有资质的单位处置。</w:t>
            </w:r>
          </w:p>
          <w:p w14:paraId="7EF7B863">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危险废物应严格按照《危险废物管理办法》和《危险废物贮存污染控制标准》（GB18597-2001）及修改单（2013年第36号）要求执行，作好危险废物情况的记录，记录上须注明危险废物的名称、来源、数量、特性和包装容器的类别，同时危险废物的记录和货单需保留3年。定期对所贮存的危险废物包装容器及贮存设施进行检查，发现破损，应及时采取措施清理更换；建立危险废物贮存的台账制度，应有危险废物出入库交接记录，执行危险废物转移联单制度。</w:t>
            </w:r>
          </w:p>
          <w:p w14:paraId="3CFFD66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综上所述，本项目产生的各类固废均得到了有效的处理及处置，不会产生二次 污染，对周边环境影响较小。</w:t>
            </w:r>
          </w:p>
          <w:p w14:paraId="1EABEAED">
            <w:pPr>
              <w:numPr>
                <w:ilvl w:val="0"/>
                <w:numId w:val="0"/>
              </w:numPr>
              <w:spacing w:line="360" w:lineRule="auto"/>
              <w:ind w:firstLine="482" w:firstLineChars="200"/>
              <w:rPr>
                <w:rFonts w:hint="default" w:ascii="Times New Roman" w:hAnsi="Times New Roman" w:eastAsia="宋体" w:cs="Times New Roman"/>
                <w:b/>
                <w:bCs/>
              </w:rPr>
            </w:pPr>
            <w:r>
              <w:rPr>
                <w:rFonts w:hint="default" w:ascii="Times New Roman" w:hAnsi="Times New Roman" w:eastAsia="宋体" w:cs="Times New Roman"/>
                <w:b/>
                <w:bCs/>
              </w:rPr>
              <w:t>（5）生态环境影响分析</w:t>
            </w:r>
          </w:p>
          <w:p w14:paraId="732A3917">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1）对占地范围内生态影响分析</w:t>
            </w:r>
          </w:p>
          <w:p w14:paraId="637D8989">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项目运营期的生态影响， 主要为大量光伏电池板遮挡阳光对植物生长的影响及光伏电池板占用草地和耕地对区域农作物耕种和放牧的影响。</w:t>
            </w:r>
          </w:p>
          <w:p w14:paraId="4326E35A">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①对植物光合作用造成影响：植物的生存和生长离不开光合作用，对阳生植物而言，这种影响表现得更为突出，光照条件不足会使植物生长受到制约；</w:t>
            </w:r>
          </w:p>
          <w:p w14:paraId="2A76204B">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②对植物水分利用效率造成影响：由于缺乏必要的光照，植物的生长异常缓慢甚至停滞，从而大大减少了植物对水的利用效率；</w:t>
            </w:r>
          </w:p>
          <w:p w14:paraId="6657D592">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③对受遮盖后的小环境造成影响：由于光伏电站建设不扰动林地，且占地区植被主要为次生性的寒温草甸和耕地，植物种类较少，生物量小，同时项目建成后将对项目光伏电池板间、板下区域种植喜阴草本植物， 因此工程建成运行后对项目地原有植被的影响在可接受的范围内。</w:t>
            </w:r>
          </w:p>
          <w:p w14:paraId="058DBA25">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2）对周围农作物的影响分析</w:t>
            </w:r>
          </w:p>
          <w:p w14:paraId="661A1A14">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光伏电站运行过程中无废气产生</w:t>
            </w:r>
            <w:r>
              <w:rPr>
                <w:rFonts w:hint="default" w:ascii="Times New Roman" w:hAnsi="Times New Roman" w:eastAsia="宋体" w:cs="Times New Roman"/>
                <w:lang w:eastAsia="zh-CN"/>
              </w:rPr>
              <w:t>，</w:t>
            </w:r>
            <w:r>
              <w:rPr>
                <w:rFonts w:hint="default" w:ascii="Times New Roman" w:hAnsi="Times New Roman" w:eastAsia="宋体" w:cs="Times New Roman"/>
              </w:rPr>
              <w:t>太阳能电池板清洗废水中主要含有SS，用于矩阵区绿化；光伏电站的运行吸收太阳能热量，太阳能为发散光源，项目的建设不会减少周围的光照时间，所以不会影响周围农作物的生长。因此，光伏板的运行对周围耕地和农作物不会造成影响。</w:t>
            </w:r>
          </w:p>
          <w:p w14:paraId="12D97E56">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（6）环境风险分析</w:t>
            </w:r>
          </w:p>
          <w:p w14:paraId="5501BE1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1）风险物质</w:t>
            </w:r>
          </w:p>
          <w:p w14:paraId="53E96E73">
            <w:pPr>
              <w:numPr>
                <w:ilvl w:val="0"/>
                <w:numId w:val="0"/>
              </w:numPr>
              <w:spacing w:line="360" w:lineRule="auto"/>
              <w:ind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该项目涉及的风险物质主要为主变压器油、危废间暂存废矿物油、箱变变压器油</w:t>
            </w:r>
            <w:r>
              <w:rPr>
                <w:rFonts w:hint="eastAsia" w:ascii="Times New Roman" w:hAnsi="Times New Roman" w:eastAsia="宋体" w:cs="Times New Roman"/>
                <w:lang w:val="en-US" w:eastAsia="zh-CN"/>
              </w:rPr>
              <w:t>、</w:t>
            </w:r>
            <w:r>
              <w:rPr>
                <w:rFonts w:hint="default" w:ascii="Times New Roman" w:hAnsi="Times New Roman" w:eastAsia="宋体" w:cs="Times New Roman"/>
                <w:color w:val="auto"/>
                <w:sz w:val="24"/>
                <w:szCs w:val="24"/>
              </w:rPr>
              <w:t>此外项目废铅蓄电池中含有硫酸，硫酸占电池总重量的7%左右</w:t>
            </w:r>
            <w:r>
              <w:rPr>
                <w:rFonts w:hint="default" w:ascii="Times New Roman" w:hAnsi="Times New Roman" w:eastAsia="宋体" w:cs="Times New Roman"/>
                <w:lang w:val="en-US" w:eastAsia="zh-CN"/>
              </w:rPr>
              <w:t>。项目涉及的风险物质储存量具体详见下表。</w:t>
            </w:r>
          </w:p>
          <w:p w14:paraId="22DABAF6">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8</w:t>
            </w:r>
            <w:r>
              <w:rPr>
                <w:rFonts w:hint="default" w:ascii="Times New Roman" w:hAnsi="Times New Roman" w:eastAsia="宋体" w:cs="Times New Roman"/>
                <w:b/>
                <w:bCs/>
                <w:sz w:val="21"/>
                <w:szCs w:val="21"/>
                <w:lang w:val="en-US" w:eastAsia="zh-CN"/>
              </w:rPr>
              <w:t xml:space="preserve"> 项目涉及危险物质储存一览表</w:t>
            </w:r>
          </w:p>
          <w:tbl>
            <w:tblPr>
              <w:tblStyle w:val="22"/>
              <w:tblW w:w="81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4"/>
              <w:gridCol w:w="805"/>
              <w:gridCol w:w="3191"/>
              <w:gridCol w:w="1592"/>
            </w:tblGrid>
            <w:tr w14:paraId="3B26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0369D179">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名称</w:t>
                  </w:r>
                </w:p>
              </w:tc>
              <w:tc>
                <w:tcPr>
                  <w:tcW w:w="805" w:type="dxa"/>
                  <w:tcBorders>
                    <w:tl2br w:val="nil"/>
                    <w:tr2bl w:val="nil"/>
                  </w:tcBorders>
                  <w:vAlign w:val="top"/>
                </w:tcPr>
                <w:p w14:paraId="5750DC87">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形态</w:t>
                  </w:r>
                </w:p>
              </w:tc>
              <w:tc>
                <w:tcPr>
                  <w:tcW w:w="3191" w:type="dxa"/>
                  <w:tcBorders>
                    <w:tl2br w:val="nil"/>
                    <w:tr2bl w:val="nil"/>
                  </w:tcBorders>
                  <w:vAlign w:val="top"/>
                </w:tcPr>
                <w:p w14:paraId="4737AE78">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最大储存量</w:t>
                  </w:r>
                </w:p>
              </w:tc>
              <w:tc>
                <w:tcPr>
                  <w:tcW w:w="1592" w:type="dxa"/>
                  <w:tcBorders>
                    <w:tl2br w:val="nil"/>
                    <w:tr2bl w:val="nil"/>
                  </w:tcBorders>
                  <w:vAlign w:val="top"/>
                </w:tcPr>
                <w:p w14:paraId="1F37993B">
                  <w:pPr>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储存位置</w:t>
                  </w:r>
                </w:p>
              </w:tc>
            </w:tr>
            <w:tr w14:paraId="42443C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4BA41119">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主变压器油</w:t>
                  </w:r>
                </w:p>
              </w:tc>
              <w:tc>
                <w:tcPr>
                  <w:tcW w:w="805" w:type="dxa"/>
                  <w:tcBorders>
                    <w:tl2br w:val="nil"/>
                    <w:tr2bl w:val="nil"/>
                  </w:tcBorders>
                  <w:vAlign w:val="top"/>
                </w:tcPr>
                <w:p w14:paraId="0301010B">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2C02D61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22.4t (25m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val="en-US" w:eastAsia="zh-CN"/>
                    </w:rPr>
                    <w:t>，相对密度按0.895)</w:t>
                  </w:r>
                </w:p>
              </w:tc>
              <w:tc>
                <w:tcPr>
                  <w:tcW w:w="1592" w:type="dxa"/>
                  <w:tcBorders>
                    <w:tl2br w:val="nil"/>
                    <w:tr2bl w:val="nil"/>
                  </w:tcBorders>
                  <w:vAlign w:val="top"/>
                </w:tcPr>
                <w:p w14:paraId="26D64971">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主变压器内</w:t>
                  </w:r>
                </w:p>
              </w:tc>
            </w:tr>
            <w:tr w14:paraId="08ACEC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574" w:type="dxa"/>
                  <w:tcBorders>
                    <w:tl2br w:val="nil"/>
                    <w:tr2bl w:val="nil"/>
                  </w:tcBorders>
                  <w:vAlign w:val="top"/>
                </w:tcPr>
                <w:p w14:paraId="7929CBA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危废间暂存废矿物油</w:t>
                  </w:r>
                </w:p>
              </w:tc>
              <w:tc>
                <w:tcPr>
                  <w:tcW w:w="805" w:type="dxa"/>
                  <w:tcBorders>
                    <w:tl2br w:val="nil"/>
                    <w:tr2bl w:val="nil"/>
                  </w:tcBorders>
                  <w:vAlign w:val="top"/>
                </w:tcPr>
                <w:p w14:paraId="4CF092C0">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422B82FA">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0.05t</w:t>
                  </w:r>
                </w:p>
              </w:tc>
              <w:tc>
                <w:tcPr>
                  <w:tcW w:w="1592" w:type="dxa"/>
                  <w:tcBorders>
                    <w:tl2br w:val="nil"/>
                    <w:tr2bl w:val="nil"/>
                  </w:tcBorders>
                  <w:vAlign w:val="top"/>
                </w:tcPr>
                <w:p w14:paraId="0090285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危废暂存间</w:t>
                  </w:r>
                </w:p>
              </w:tc>
            </w:tr>
            <w:tr w14:paraId="37ABBA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74" w:type="dxa"/>
                  <w:tcBorders>
                    <w:tl2br w:val="nil"/>
                    <w:tr2bl w:val="nil"/>
                  </w:tcBorders>
                  <w:vAlign w:val="top"/>
                </w:tcPr>
                <w:p w14:paraId="408F05DE">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箱变变压器油</w:t>
                  </w:r>
                </w:p>
              </w:tc>
              <w:tc>
                <w:tcPr>
                  <w:tcW w:w="805" w:type="dxa"/>
                  <w:tcBorders>
                    <w:tl2br w:val="nil"/>
                    <w:tr2bl w:val="nil"/>
                  </w:tcBorders>
                  <w:vAlign w:val="top"/>
                </w:tcPr>
                <w:p w14:paraId="60FF30F8">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41E2B742">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2.2t×</w:t>
                  </w:r>
                  <w:r>
                    <w:rPr>
                      <w:rFonts w:hint="eastAsia" w:ascii="Times New Roman" w:hAnsi="Times New Roman" w:cs="Times New Roman"/>
                      <w:sz w:val="21"/>
                      <w:szCs w:val="21"/>
                      <w:lang w:val="en-US" w:eastAsia="zh-CN"/>
                    </w:rPr>
                    <w:t>21</w:t>
                  </w:r>
                  <w:r>
                    <w:rPr>
                      <w:rFonts w:hint="default" w:ascii="Times New Roman" w:hAnsi="Times New Roman" w:cs="Times New Roman"/>
                      <w:sz w:val="21"/>
                      <w:szCs w:val="21"/>
                      <w:lang w:val="en-US" w:eastAsia="zh-CN"/>
                    </w:rPr>
                    <w:t>台</w:t>
                  </w:r>
                </w:p>
              </w:tc>
              <w:tc>
                <w:tcPr>
                  <w:tcW w:w="1592" w:type="dxa"/>
                  <w:tcBorders>
                    <w:tl2br w:val="nil"/>
                    <w:tr2bl w:val="nil"/>
                  </w:tcBorders>
                  <w:vAlign w:val="top"/>
                </w:tcPr>
                <w:p w14:paraId="037D70D5">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箱变变压器</w:t>
                  </w:r>
                </w:p>
              </w:tc>
            </w:tr>
            <w:tr w14:paraId="04CC69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2574" w:type="dxa"/>
                  <w:tcBorders>
                    <w:tl2br w:val="nil"/>
                    <w:tr2bl w:val="nil"/>
                  </w:tcBorders>
                  <w:vAlign w:val="center"/>
                </w:tcPr>
                <w:p w14:paraId="06CC564D">
                  <w:pPr>
                    <w:widowControl/>
                    <w:jc w:val="center"/>
                    <w:rPr>
                      <w:rFonts w:hint="default" w:ascii="Times New Roman" w:hAnsi="Times New Roman" w:cs="Times New Roman"/>
                      <w:sz w:val="21"/>
                      <w:szCs w:val="21"/>
                      <w:lang w:val="en-US" w:eastAsia="zh-CN"/>
                    </w:rPr>
                  </w:pPr>
                  <w:r>
                    <w:rPr>
                      <w:rFonts w:hint="default" w:ascii="Times New Roman" w:hAnsi="Times New Roman" w:eastAsia="宋体" w:cs="Times New Roman"/>
                      <w:color w:val="auto"/>
                      <w:kern w:val="0"/>
                      <w:sz w:val="21"/>
                      <w:szCs w:val="21"/>
                      <w:lang w:bidi="ar"/>
                    </w:rPr>
                    <w:t>硫酸</w:t>
                  </w:r>
                </w:p>
              </w:tc>
              <w:tc>
                <w:tcPr>
                  <w:tcW w:w="805" w:type="dxa"/>
                  <w:tcBorders>
                    <w:tl2br w:val="nil"/>
                    <w:tr2bl w:val="nil"/>
                  </w:tcBorders>
                  <w:vAlign w:val="top"/>
                </w:tcPr>
                <w:p w14:paraId="63A4F94F">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液态</w:t>
                  </w:r>
                </w:p>
              </w:tc>
              <w:tc>
                <w:tcPr>
                  <w:tcW w:w="3191" w:type="dxa"/>
                  <w:tcBorders>
                    <w:tl2br w:val="nil"/>
                    <w:tr2bl w:val="nil"/>
                  </w:tcBorders>
                  <w:vAlign w:val="top"/>
                </w:tcPr>
                <w:p w14:paraId="27E76C13">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0.014</w:t>
                  </w:r>
                </w:p>
              </w:tc>
              <w:tc>
                <w:tcPr>
                  <w:tcW w:w="1592" w:type="dxa"/>
                  <w:tcBorders>
                    <w:tl2br w:val="nil"/>
                    <w:tr2bl w:val="nil"/>
                  </w:tcBorders>
                  <w:vAlign w:val="top"/>
                </w:tcPr>
                <w:p w14:paraId="75F4DC71">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危废暂存间PE收集桶</w:t>
                  </w:r>
                </w:p>
              </w:tc>
            </w:tr>
          </w:tbl>
          <w:p w14:paraId="08CAA263">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2）建设项目环境风险潜势判断</w:t>
            </w:r>
          </w:p>
          <w:p w14:paraId="7681377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根据《建设项目环境风险评价技术导则》(HJ169-2018)，计算所涉及的每种危险物质在厂界内的最大存在总量与其在附录B中对应临界量的比值Q。在不同厂区的同一种物质，按其在厂界内的最大存在总量计算。</w:t>
            </w:r>
          </w:p>
          <w:p w14:paraId="69FBD12D">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①当值涉及一种危险物质时，计算该物质的总量与其临界量比值，即为Q;</w:t>
            </w:r>
          </w:p>
          <w:p w14:paraId="727E049B">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②当存在多种危险物质时，则按下列公示计算物质总量与其临界量比值Q;</w:t>
            </w:r>
          </w:p>
          <w:p w14:paraId="33E6A941">
            <w:pPr>
              <w:numPr>
                <w:ilvl w:val="0"/>
                <w:numId w:val="0"/>
              </w:numPr>
              <w:spacing w:line="360" w:lineRule="auto"/>
              <w:ind w:firstLine="480" w:firstLineChars="20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Q=q1/Q1+q2/Q2+....+qn/Qn</w:t>
            </w:r>
          </w:p>
          <w:p w14:paraId="647E3472">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式中：q1，q2…qn——每种危险物质的最大存在总量，t。</w:t>
            </w:r>
          </w:p>
          <w:p w14:paraId="4CC73A31">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Q1，Q2…Qn—每种危险物质的临界量，t。</w:t>
            </w:r>
          </w:p>
          <w:p w14:paraId="5A78A01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当Q&lt;1时，该项目环境风险潜势为Ⅰ。</w:t>
            </w:r>
          </w:p>
          <w:p w14:paraId="579E79DC">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当Q＞1时，将Q值划分为：（1）1≤Q&lt;10；（2）10≤Q&lt;100；（3）Q＞100</w:t>
            </w:r>
          </w:p>
          <w:p w14:paraId="530097B9">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lang w:val="en-US" w:eastAsia="zh-CN"/>
              </w:rPr>
              <w:t>根据《建设项目环境风险评价技术导则》(HJ169-2018) 附录B所列物质，</w:t>
            </w:r>
            <w:r>
              <w:rPr>
                <w:rFonts w:hint="default" w:ascii="Times New Roman" w:hAnsi="Times New Roman" w:eastAsia="宋体" w:cs="Times New Roman"/>
              </w:rPr>
              <w:t>项目涉及危险物质为</w:t>
            </w:r>
            <w:r>
              <w:rPr>
                <w:rFonts w:hint="default" w:ascii="Times New Roman" w:hAnsi="Times New Roman" w:eastAsia="宋体" w:cs="Times New Roman"/>
                <w:lang w:val="en-US" w:eastAsia="zh-CN"/>
              </w:rPr>
              <w:t>主变压器油、危废间暂存废矿物油、箱变变压器油</w:t>
            </w:r>
            <w:r>
              <w:rPr>
                <w:rFonts w:hint="eastAsia" w:ascii="Times New Roman" w:hAnsi="Times New Roman" w:eastAsia="宋体" w:cs="Times New Roman"/>
                <w:lang w:val="en-US" w:eastAsia="zh-CN"/>
              </w:rPr>
              <w:t>、</w:t>
            </w:r>
            <w:r>
              <w:rPr>
                <w:rFonts w:hint="default" w:ascii="Times New Roman" w:hAnsi="Times New Roman" w:eastAsia="宋体" w:cs="Times New Roman"/>
                <w:color w:val="auto"/>
                <w:sz w:val="24"/>
                <w:szCs w:val="24"/>
              </w:rPr>
              <w:t>废铅蓄电池</w:t>
            </w:r>
            <w:r>
              <w:rPr>
                <w:rFonts w:hint="default" w:ascii="Times New Roman" w:hAnsi="Times New Roman" w:eastAsia="宋体" w:cs="Times New Roman"/>
              </w:rPr>
              <w:t>，对照《建设项目环境风险评价技术导则》（HJ169-2018）附录B中临界量，确定项目涉及的危险物质数量与临界量的比值（Q）见表4-</w:t>
            </w:r>
            <w:r>
              <w:rPr>
                <w:rFonts w:hint="eastAsia" w:ascii="Times New Roman" w:hAnsi="Times New Roman" w:eastAsia="宋体" w:cs="Times New Roman"/>
                <w:lang w:val="en-US" w:eastAsia="zh-CN"/>
              </w:rPr>
              <w:t>9</w:t>
            </w:r>
            <w:r>
              <w:rPr>
                <w:rFonts w:hint="default" w:ascii="Times New Roman" w:hAnsi="Times New Roman" w:eastAsia="宋体" w:cs="Times New Roman"/>
              </w:rPr>
              <w:t>。</w:t>
            </w:r>
          </w:p>
          <w:p w14:paraId="234F9153">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9</w:t>
            </w:r>
            <w:r>
              <w:rPr>
                <w:rFonts w:hint="default" w:ascii="Times New Roman" w:hAnsi="Times New Roman" w:eastAsia="宋体" w:cs="Times New Roman"/>
                <w:b/>
                <w:bCs/>
                <w:sz w:val="21"/>
                <w:szCs w:val="21"/>
                <w:lang w:val="en-US" w:eastAsia="zh-CN"/>
              </w:rPr>
              <w:t xml:space="preserve"> 危险物质数量与临界量的比值（Q）计算结果</w:t>
            </w:r>
          </w:p>
          <w:tbl>
            <w:tblPr>
              <w:tblStyle w:val="21"/>
              <w:tblW w:w="852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05"/>
              <w:gridCol w:w="2920"/>
              <w:gridCol w:w="1417"/>
              <w:gridCol w:w="993"/>
              <w:gridCol w:w="885"/>
            </w:tblGrid>
            <w:tr w14:paraId="5B546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02D0AD40">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920" w:type="dxa"/>
                  <w:tcBorders>
                    <w:tl2br w:val="nil"/>
                    <w:tr2bl w:val="nil"/>
                  </w:tcBorders>
                  <w:vAlign w:val="center"/>
                </w:tcPr>
                <w:p w14:paraId="1FDA72D1">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最大存在总量（t）</w:t>
                  </w:r>
                </w:p>
              </w:tc>
              <w:tc>
                <w:tcPr>
                  <w:tcW w:w="1417" w:type="dxa"/>
                  <w:tcBorders>
                    <w:tl2br w:val="nil"/>
                    <w:tr2bl w:val="nil"/>
                  </w:tcBorders>
                  <w:vAlign w:val="center"/>
                </w:tcPr>
                <w:p w14:paraId="21127445">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临界量（t）</w:t>
                  </w:r>
                </w:p>
              </w:tc>
              <w:tc>
                <w:tcPr>
                  <w:tcW w:w="993" w:type="dxa"/>
                  <w:tcBorders>
                    <w:tl2br w:val="nil"/>
                    <w:tr2bl w:val="nil"/>
                  </w:tcBorders>
                  <w:vAlign w:val="center"/>
                </w:tcPr>
                <w:p w14:paraId="7CDCFA9C">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Q值</w:t>
                  </w:r>
                </w:p>
              </w:tc>
              <w:tc>
                <w:tcPr>
                  <w:tcW w:w="885" w:type="dxa"/>
                  <w:tcBorders>
                    <w:tl2br w:val="nil"/>
                    <w:tr2bl w:val="nil"/>
                  </w:tcBorders>
                  <w:vAlign w:val="center"/>
                </w:tcPr>
                <w:p w14:paraId="1DE8CC21">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环境风险潜势</w:t>
                  </w:r>
                </w:p>
              </w:tc>
            </w:tr>
            <w:tr w14:paraId="44BF2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252A266A">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主变压器油</w:t>
                  </w:r>
                </w:p>
              </w:tc>
              <w:tc>
                <w:tcPr>
                  <w:tcW w:w="2920" w:type="dxa"/>
                  <w:tcBorders>
                    <w:tl2br w:val="nil"/>
                    <w:tr2bl w:val="nil"/>
                  </w:tcBorders>
                  <w:vAlign w:val="center"/>
                </w:tcPr>
                <w:p w14:paraId="3A5BFFE1">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22.4</w:t>
                  </w:r>
                </w:p>
              </w:tc>
              <w:tc>
                <w:tcPr>
                  <w:tcW w:w="1417" w:type="dxa"/>
                  <w:tcBorders>
                    <w:tl2br w:val="nil"/>
                    <w:tr2bl w:val="nil"/>
                  </w:tcBorders>
                  <w:vAlign w:val="center"/>
                </w:tcPr>
                <w:p w14:paraId="0C8EA496">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27275C3D">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0.00</w:t>
                  </w:r>
                  <w:r>
                    <w:rPr>
                      <w:rFonts w:hint="default" w:ascii="Times New Roman" w:hAnsi="Times New Roman" w:cs="Times New Roman"/>
                      <w:sz w:val="21"/>
                      <w:szCs w:val="21"/>
                      <w:lang w:val="en-US" w:eastAsia="zh-CN"/>
                    </w:rPr>
                    <w:t>9</w:t>
                  </w:r>
                </w:p>
              </w:tc>
              <w:tc>
                <w:tcPr>
                  <w:tcW w:w="885" w:type="dxa"/>
                  <w:tcBorders>
                    <w:tl2br w:val="nil"/>
                    <w:tr2bl w:val="nil"/>
                  </w:tcBorders>
                  <w:vAlign w:val="center"/>
                </w:tcPr>
                <w:p w14:paraId="2642C503">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00ABF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0A7BBE43">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危废间暂存废矿物油</w:t>
                  </w:r>
                </w:p>
              </w:tc>
              <w:tc>
                <w:tcPr>
                  <w:tcW w:w="2920" w:type="dxa"/>
                  <w:tcBorders>
                    <w:tl2br w:val="nil"/>
                    <w:tr2bl w:val="nil"/>
                  </w:tcBorders>
                  <w:vAlign w:val="center"/>
                </w:tcPr>
                <w:p w14:paraId="2FA5D928">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0.05</w:t>
                  </w:r>
                </w:p>
              </w:tc>
              <w:tc>
                <w:tcPr>
                  <w:tcW w:w="1417" w:type="dxa"/>
                  <w:tcBorders>
                    <w:tl2br w:val="nil"/>
                    <w:tr2bl w:val="nil"/>
                  </w:tcBorders>
                  <w:vAlign w:val="center"/>
                </w:tcPr>
                <w:p w14:paraId="506FA42A">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3776D95C">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0.00002</w:t>
                  </w:r>
                </w:p>
              </w:tc>
              <w:tc>
                <w:tcPr>
                  <w:tcW w:w="885" w:type="dxa"/>
                  <w:tcBorders>
                    <w:tl2br w:val="nil"/>
                    <w:tr2bl w:val="nil"/>
                  </w:tcBorders>
                  <w:vAlign w:val="center"/>
                </w:tcPr>
                <w:p w14:paraId="49DFB2D0">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356C45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top"/>
                </w:tcPr>
                <w:p w14:paraId="0B27E7B5">
                  <w:pPr>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箱变变压器油</w:t>
                  </w:r>
                </w:p>
              </w:tc>
              <w:tc>
                <w:tcPr>
                  <w:tcW w:w="2920" w:type="dxa"/>
                  <w:tcBorders>
                    <w:tl2br w:val="nil"/>
                    <w:tr2bl w:val="nil"/>
                  </w:tcBorders>
                  <w:vAlign w:val="center"/>
                </w:tcPr>
                <w:p w14:paraId="6D5EC3D3">
                  <w:pP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46.2</w:t>
                  </w:r>
                </w:p>
              </w:tc>
              <w:tc>
                <w:tcPr>
                  <w:tcW w:w="1417" w:type="dxa"/>
                  <w:tcBorders>
                    <w:tl2br w:val="nil"/>
                    <w:tr2bl w:val="nil"/>
                  </w:tcBorders>
                  <w:vAlign w:val="center"/>
                </w:tcPr>
                <w:p w14:paraId="48BF10D9">
                  <w:pPr>
                    <w:rPr>
                      <w:rFonts w:hint="default" w:ascii="Times New Roman" w:hAnsi="Times New Roman" w:cs="Times New Roman"/>
                      <w:sz w:val="21"/>
                      <w:szCs w:val="21"/>
                    </w:rPr>
                  </w:pPr>
                  <w:r>
                    <w:rPr>
                      <w:rFonts w:hint="default" w:ascii="Times New Roman" w:hAnsi="Times New Roman" w:cs="Times New Roman"/>
                      <w:sz w:val="21"/>
                      <w:szCs w:val="21"/>
                    </w:rPr>
                    <w:t>2500</w:t>
                  </w:r>
                </w:p>
              </w:tc>
              <w:tc>
                <w:tcPr>
                  <w:tcW w:w="993" w:type="dxa"/>
                  <w:tcBorders>
                    <w:tl2br w:val="nil"/>
                    <w:tr2bl w:val="nil"/>
                  </w:tcBorders>
                  <w:vAlign w:val="center"/>
                </w:tcPr>
                <w:p w14:paraId="5A8D0F3E">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0.01</w:t>
                  </w:r>
                  <w:r>
                    <w:rPr>
                      <w:rFonts w:hint="eastAsia" w:ascii="Times New Roman" w:hAnsi="Times New Roman" w:cs="Times New Roman"/>
                      <w:sz w:val="21"/>
                      <w:szCs w:val="21"/>
                      <w:lang w:val="en-US" w:eastAsia="zh-CN"/>
                    </w:rPr>
                    <w:t>85</w:t>
                  </w:r>
                </w:p>
              </w:tc>
              <w:tc>
                <w:tcPr>
                  <w:tcW w:w="885" w:type="dxa"/>
                  <w:tcBorders>
                    <w:tl2br w:val="nil"/>
                    <w:tr2bl w:val="nil"/>
                  </w:tcBorders>
                  <w:vAlign w:val="center"/>
                </w:tcPr>
                <w:p w14:paraId="7B65CB66">
                  <w:pPr>
                    <w:rPr>
                      <w:rFonts w:hint="default" w:ascii="Times New Roman" w:hAnsi="Times New Roman" w:cs="Times New Roman"/>
                      <w:sz w:val="21"/>
                      <w:szCs w:val="21"/>
                    </w:rPr>
                  </w:pPr>
                  <w:r>
                    <w:rPr>
                      <w:rFonts w:hint="default" w:ascii="Times New Roman" w:hAnsi="Times New Roman" w:cs="Times New Roman"/>
                      <w:sz w:val="21"/>
                      <w:szCs w:val="21"/>
                    </w:rPr>
                    <w:t>/</w:t>
                  </w:r>
                </w:p>
              </w:tc>
            </w:tr>
            <w:tr w14:paraId="3D41D7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2305" w:type="dxa"/>
                  <w:tcBorders>
                    <w:tl2br w:val="nil"/>
                    <w:tr2bl w:val="nil"/>
                  </w:tcBorders>
                  <w:vAlign w:val="center"/>
                </w:tcPr>
                <w:p w14:paraId="2600D85D">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电解液 </w:t>
                  </w:r>
                </w:p>
                <w:p w14:paraId="305215B8">
                  <w:pP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（硫酸）</w:t>
                  </w:r>
                </w:p>
              </w:tc>
              <w:tc>
                <w:tcPr>
                  <w:tcW w:w="2920" w:type="dxa"/>
                  <w:tcBorders>
                    <w:tl2br w:val="nil"/>
                    <w:tr2bl w:val="nil"/>
                  </w:tcBorders>
                  <w:vAlign w:val="center"/>
                </w:tcPr>
                <w:p w14:paraId="43678264">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0.014</w:t>
                  </w:r>
                </w:p>
              </w:tc>
              <w:tc>
                <w:tcPr>
                  <w:tcW w:w="1417" w:type="dxa"/>
                  <w:tcBorders>
                    <w:tl2br w:val="nil"/>
                    <w:tr2bl w:val="nil"/>
                  </w:tcBorders>
                  <w:vAlign w:val="center"/>
                </w:tcPr>
                <w:p w14:paraId="5BBAFDB9">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p>
              </w:tc>
              <w:tc>
                <w:tcPr>
                  <w:tcW w:w="993" w:type="dxa"/>
                  <w:tcBorders>
                    <w:tl2br w:val="nil"/>
                    <w:tr2bl w:val="nil"/>
                  </w:tcBorders>
                  <w:vAlign w:val="center"/>
                </w:tcPr>
                <w:p w14:paraId="29583E7B">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0.0014</w:t>
                  </w:r>
                </w:p>
              </w:tc>
              <w:tc>
                <w:tcPr>
                  <w:tcW w:w="885" w:type="dxa"/>
                  <w:tcBorders>
                    <w:tl2br w:val="nil"/>
                    <w:tr2bl w:val="nil"/>
                  </w:tcBorders>
                  <w:vAlign w:val="center"/>
                </w:tcPr>
                <w:p w14:paraId="3FCB0850">
                  <w:pP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3D9B6F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6642" w:type="dxa"/>
                  <w:gridSpan w:val="3"/>
                  <w:tcBorders>
                    <w:tl2br w:val="nil"/>
                    <w:tr2bl w:val="nil"/>
                  </w:tcBorders>
                  <w:vAlign w:val="center"/>
                </w:tcPr>
                <w:p w14:paraId="3FCAF6EB">
                  <w:pPr>
                    <w:rPr>
                      <w:rFonts w:hint="default" w:ascii="Times New Roman" w:hAnsi="Times New Roman" w:cs="Times New Roman"/>
                      <w:sz w:val="21"/>
                      <w:szCs w:val="21"/>
                    </w:rPr>
                  </w:pPr>
                  <w:r>
                    <w:rPr>
                      <w:rFonts w:hint="default" w:ascii="Times New Roman" w:hAnsi="Times New Roman" w:cs="Times New Roman"/>
                      <w:sz w:val="21"/>
                      <w:szCs w:val="21"/>
                    </w:rPr>
                    <w:t>合计</w:t>
                  </w:r>
                </w:p>
              </w:tc>
              <w:tc>
                <w:tcPr>
                  <w:tcW w:w="993" w:type="dxa"/>
                  <w:tcBorders>
                    <w:tl2br w:val="nil"/>
                    <w:tr2bl w:val="nil"/>
                  </w:tcBorders>
                  <w:vAlign w:val="center"/>
                </w:tcPr>
                <w:p w14:paraId="343CC1B1">
                  <w:pP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02</w:t>
                  </w:r>
                  <w:r>
                    <w:rPr>
                      <w:rFonts w:hint="eastAsia" w:ascii="Times New Roman" w:hAnsi="Times New Roman" w:cs="Times New Roman"/>
                      <w:sz w:val="21"/>
                      <w:szCs w:val="21"/>
                      <w:lang w:val="en-US" w:eastAsia="zh-CN"/>
                    </w:rPr>
                    <w:t>89</w:t>
                  </w:r>
                </w:p>
              </w:tc>
              <w:tc>
                <w:tcPr>
                  <w:tcW w:w="885" w:type="dxa"/>
                  <w:tcBorders>
                    <w:tl2br w:val="nil"/>
                    <w:tr2bl w:val="nil"/>
                  </w:tcBorders>
                  <w:vAlign w:val="center"/>
                </w:tcPr>
                <w:p w14:paraId="41B9CE27">
                  <w:pPr>
                    <w:rPr>
                      <w:rFonts w:hint="default" w:ascii="Times New Roman" w:hAnsi="Times New Roman" w:cs="Times New Roman"/>
                      <w:sz w:val="21"/>
                      <w:szCs w:val="21"/>
                    </w:rPr>
                  </w:pPr>
                  <w:r>
                    <w:rPr>
                      <w:rFonts w:hint="default" w:ascii="Times New Roman" w:hAnsi="Times New Roman" w:cs="Times New Roman"/>
                      <w:sz w:val="21"/>
                      <w:szCs w:val="21"/>
                    </w:rPr>
                    <w:t>Ⅰ</w:t>
                  </w:r>
                </w:p>
              </w:tc>
            </w:tr>
          </w:tbl>
          <w:p w14:paraId="5A18A6E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项目Q=0.02</w:t>
            </w:r>
            <w:r>
              <w:rPr>
                <w:rFonts w:hint="eastAsia" w:ascii="Times New Roman" w:hAnsi="Times New Roman" w:eastAsia="宋体" w:cs="Times New Roman"/>
                <w:lang w:val="en-US" w:eastAsia="zh-CN"/>
              </w:rPr>
              <w:t>89</w:t>
            </w:r>
            <w:r>
              <w:rPr>
                <w:rFonts w:hint="default" w:ascii="Times New Roman" w:hAnsi="Times New Roman" w:eastAsia="宋体" w:cs="Times New Roman"/>
                <w:lang w:val="en-US" w:eastAsia="zh-CN"/>
              </w:rPr>
              <w:t>，Q＜1。确定本项目的环境风险潜势为Ⅰ。</w:t>
            </w:r>
          </w:p>
          <w:p w14:paraId="3E33C377">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3）评价等级</w:t>
            </w:r>
          </w:p>
          <w:p w14:paraId="5BD2C3AA">
            <w:pPr>
              <w:numPr>
                <w:ilvl w:val="0"/>
                <w:numId w:val="0"/>
              </w:numPr>
              <w:spacing w:line="360" w:lineRule="auto"/>
              <w:ind w:firstLine="480"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lang w:val="en-US" w:eastAsia="zh-CN"/>
              </w:rPr>
              <w:t>根据《建设项目环境风险评价技术导则》(HJ169-2018) ，环境风险评价工作等级划分为一级、二级、三级，评价工作等级划分见表4-</w:t>
            </w:r>
            <w:r>
              <w:rPr>
                <w:rFonts w:hint="eastAsia" w:ascii="Times New Roman" w:hAnsi="Times New Roman" w:eastAsia="宋体" w:cs="Times New Roman"/>
                <w:lang w:val="en-US" w:eastAsia="zh-CN"/>
              </w:rPr>
              <w:t>10</w:t>
            </w:r>
            <w:r>
              <w:rPr>
                <w:rFonts w:hint="default" w:ascii="Times New Roman" w:hAnsi="Times New Roman" w:eastAsia="宋体" w:cs="Times New Roman"/>
                <w:lang w:val="en-US" w:eastAsia="zh-CN"/>
              </w:rPr>
              <w:t>。</w:t>
            </w:r>
          </w:p>
          <w:p w14:paraId="419179F4">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10</w:t>
            </w:r>
            <w:r>
              <w:rPr>
                <w:rFonts w:hint="default" w:ascii="Times New Roman" w:hAnsi="Times New Roman" w:eastAsia="宋体" w:cs="Times New Roman"/>
                <w:b/>
                <w:bCs/>
                <w:sz w:val="21"/>
                <w:szCs w:val="21"/>
                <w:lang w:val="en-US" w:eastAsia="zh-CN"/>
              </w:rPr>
              <w:t xml:space="preserve"> 环境风险评价等级划分</w:t>
            </w:r>
          </w:p>
          <w:tbl>
            <w:tblPr>
              <w:tblStyle w:val="21"/>
              <w:tblW w:w="847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694"/>
              <w:gridCol w:w="1694"/>
              <w:gridCol w:w="1695"/>
              <w:gridCol w:w="1695"/>
            </w:tblGrid>
            <w:tr w14:paraId="6CCDB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7384B61F">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环境风险潜势</w:t>
                  </w:r>
                </w:p>
              </w:tc>
              <w:tc>
                <w:tcPr>
                  <w:tcW w:w="1694" w:type="dxa"/>
                  <w:vAlign w:val="center"/>
                </w:tcPr>
                <w:p w14:paraId="10F691D1">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IV/IV+</w:t>
                  </w:r>
                </w:p>
              </w:tc>
              <w:tc>
                <w:tcPr>
                  <w:tcW w:w="1694" w:type="dxa"/>
                  <w:vAlign w:val="center"/>
                </w:tcPr>
                <w:p w14:paraId="6CEE02B8">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Ⅲ</w:t>
                  </w:r>
                </w:p>
              </w:tc>
              <w:tc>
                <w:tcPr>
                  <w:tcW w:w="1695" w:type="dxa"/>
                  <w:vAlign w:val="center"/>
                </w:tcPr>
                <w:p w14:paraId="05DD2658">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II</w:t>
                  </w:r>
                </w:p>
              </w:tc>
              <w:tc>
                <w:tcPr>
                  <w:tcW w:w="1695" w:type="dxa"/>
                  <w:vAlign w:val="center"/>
                </w:tcPr>
                <w:p w14:paraId="18CE9E63">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I</w:t>
                  </w:r>
                </w:p>
              </w:tc>
            </w:tr>
            <w:tr w14:paraId="5A5E2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94" w:type="dxa"/>
                  <w:vAlign w:val="center"/>
                </w:tcPr>
                <w:p w14:paraId="5A815C9D">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评价工作等级</w:t>
                  </w:r>
                </w:p>
              </w:tc>
              <w:tc>
                <w:tcPr>
                  <w:tcW w:w="1694" w:type="dxa"/>
                  <w:vAlign w:val="center"/>
                </w:tcPr>
                <w:p w14:paraId="7075F17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1694" w:type="dxa"/>
                  <w:vAlign w:val="center"/>
                </w:tcPr>
                <w:p w14:paraId="43CD7FD0">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1695" w:type="dxa"/>
                  <w:vAlign w:val="center"/>
                </w:tcPr>
                <w:p w14:paraId="68F7E4EF">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1695" w:type="dxa"/>
                  <w:vAlign w:val="center"/>
                </w:tcPr>
                <w:p w14:paraId="7529FBD6">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简单分析a</w:t>
                  </w:r>
                </w:p>
              </w:tc>
            </w:tr>
            <w:tr w14:paraId="53F9B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72" w:type="dxa"/>
                  <w:gridSpan w:val="5"/>
                  <w:vAlign w:val="center"/>
                </w:tcPr>
                <w:p w14:paraId="2B4C247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a是相对于详细评价工作内容而言，在描述危险物质、环境影响途径、环境危害后果、风险防范措施等方面给出定性的说明。</w:t>
                  </w:r>
                </w:p>
              </w:tc>
            </w:tr>
          </w:tbl>
          <w:p w14:paraId="300910B6">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根据上文对本项目环境风险潜势进行判断，本项目环境风险潜势为I，环境风险评价工作等级按导则划分为简单分析。</w:t>
            </w:r>
          </w:p>
          <w:p w14:paraId="1C307C40">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4）环境风险评价结论</w:t>
            </w:r>
          </w:p>
          <w:p w14:paraId="11DD7AA8">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拟建项目环境风险等级为简单分析。风险评价内容见下表。</w:t>
            </w:r>
          </w:p>
          <w:p w14:paraId="68416CDE">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w:t>
            </w:r>
            <w:r>
              <w:rPr>
                <w:rFonts w:hint="eastAsia" w:ascii="Times New Roman" w:hAnsi="Times New Roman" w:eastAsia="宋体" w:cs="Times New Roman"/>
                <w:b/>
                <w:bCs/>
                <w:sz w:val="21"/>
                <w:szCs w:val="21"/>
                <w:lang w:val="en-US" w:eastAsia="zh-CN"/>
              </w:rPr>
              <w:t>11</w:t>
            </w:r>
            <w:r>
              <w:rPr>
                <w:rFonts w:hint="default" w:ascii="Times New Roman" w:hAnsi="Times New Roman" w:eastAsia="宋体" w:cs="Times New Roman"/>
                <w:b/>
                <w:bCs/>
                <w:sz w:val="21"/>
                <w:szCs w:val="21"/>
                <w:lang w:val="en-US" w:eastAsia="zh-CN"/>
              </w:rPr>
              <w:t>建设项目环境风险简单分析内容表</w:t>
            </w:r>
          </w:p>
          <w:tbl>
            <w:tblPr>
              <w:tblStyle w:val="22"/>
              <w:tblW w:w="852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3"/>
              <w:gridCol w:w="6837"/>
            </w:tblGrid>
            <w:tr w14:paraId="592E2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7DD29E7A">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建设项目名称</w:t>
                  </w:r>
                </w:p>
              </w:tc>
              <w:tc>
                <w:tcPr>
                  <w:tcW w:w="6837" w:type="dxa"/>
                  <w:tcBorders>
                    <w:tl2br w:val="nil"/>
                    <w:tr2bl w:val="nil"/>
                  </w:tcBorders>
                </w:tcPr>
                <w:p w14:paraId="0C231C1B">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芒市江东光伏发电项目</w:t>
                  </w:r>
                </w:p>
              </w:tc>
            </w:tr>
            <w:tr w14:paraId="3F950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0B00DA8E">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建设地点</w:t>
                  </w:r>
                </w:p>
              </w:tc>
              <w:tc>
                <w:tcPr>
                  <w:tcW w:w="6837" w:type="dxa"/>
                  <w:tcBorders>
                    <w:tl2br w:val="nil"/>
                    <w:tr2bl w:val="nil"/>
                  </w:tcBorders>
                </w:tcPr>
                <w:p w14:paraId="70AFBBA0">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云南省德宏州芒市江东乡河头村、芒广村</w:t>
                  </w:r>
                </w:p>
              </w:tc>
            </w:tr>
            <w:tr w14:paraId="7F2FC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3F3CC747">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地理坐标</w:t>
                  </w:r>
                </w:p>
              </w:tc>
              <w:tc>
                <w:tcPr>
                  <w:tcW w:w="6837" w:type="dxa"/>
                  <w:tcBorders>
                    <w:tl2br w:val="nil"/>
                    <w:tr2bl w:val="nil"/>
                  </w:tcBorders>
                </w:tcPr>
                <w:p w14:paraId="4DE75B84">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东经98度 23分59.665 秒～98度 25分22.322 秒，</w:t>
                  </w:r>
                </w:p>
                <w:p w14:paraId="5CA332E7">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北纬24度28分10.602秒～24度 29分19.785秒。</w:t>
                  </w:r>
                </w:p>
              </w:tc>
            </w:tr>
            <w:tr w14:paraId="2E2912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243103A4">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主要危废物质</w:t>
                  </w:r>
                </w:p>
              </w:tc>
              <w:tc>
                <w:tcPr>
                  <w:tcW w:w="6837" w:type="dxa"/>
                  <w:tcBorders>
                    <w:tl2br w:val="nil"/>
                    <w:tr2bl w:val="nil"/>
                  </w:tcBorders>
                </w:tcPr>
                <w:p w14:paraId="0D1309F7">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主变压器油、危废间暂存废矿物油、箱变变压器油</w:t>
                  </w:r>
                  <w:r>
                    <w:rPr>
                      <w:rFonts w:hint="eastAsia" w:ascii="Times New Roman" w:hAnsi="Times New Roman" w:eastAsia="宋体" w:cs="Times New Roman"/>
                      <w:sz w:val="21"/>
                      <w:szCs w:val="21"/>
                      <w:lang w:val="en-US" w:eastAsia="zh-CN"/>
                    </w:rPr>
                    <w:t>、</w:t>
                  </w:r>
                  <w:r>
                    <w:rPr>
                      <w:rFonts w:hint="default" w:ascii="Times New Roman" w:hAnsi="Times New Roman" w:eastAsia="宋体" w:cs="Times New Roman"/>
                      <w:color w:val="auto"/>
                      <w:sz w:val="21"/>
                      <w:szCs w:val="21"/>
                    </w:rPr>
                    <w:t>废铅蓄电池</w:t>
                  </w:r>
                </w:p>
              </w:tc>
            </w:tr>
            <w:tr w14:paraId="30587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1" w:hRule="atLeast"/>
              </w:trPr>
              <w:tc>
                <w:tcPr>
                  <w:tcW w:w="1683" w:type="dxa"/>
                  <w:tcBorders>
                    <w:tl2br w:val="nil"/>
                    <w:tr2bl w:val="nil"/>
                  </w:tcBorders>
                </w:tcPr>
                <w:p w14:paraId="40513C3F">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环境影响途径及危险后果</w:t>
                  </w:r>
                </w:p>
                <w:p w14:paraId="27192605">
                  <w:pPr>
                    <w:spacing w:before="60" w:beforeLines="25" w:line="240" w:lineRule="auto"/>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351D05DB">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①当主变变压器油、废矿物油的储油、箱变变压器油</w:t>
                  </w:r>
                  <w:r>
                    <w:rPr>
                      <w:rFonts w:hint="eastAsia" w:ascii="Times New Roman" w:hAnsi="Times New Roman" w:eastAsia="宋体" w:cs="Times New Roman"/>
                      <w:sz w:val="21"/>
                      <w:szCs w:val="21"/>
                      <w:vertAlign w:val="baseline"/>
                      <w:lang w:val="en-US" w:eastAsia="zh-CN"/>
                    </w:rPr>
                    <w:t>、废铅酸电池电解液</w:t>
                  </w:r>
                  <w:r>
                    <w:rPr>
                      <w:rFonts w:hint="default" w:ascii="Times New Roman" w:hAnsi="Times New Roman" w:eastAsia="宋体" w:cs="Times New Roman"/>
                      <w:sz w:val="21"/>
                      <w:szCs w:val="21"/>
                      <w:vertAlign w:val="baseline"/>
                      <w:lang w:val="en-US" w:eastAsia="zh-CN"/>
                    </w:rPr>
                    <w:t>泄漏时，如不经收集处理而排放至环境中，将对土壤、地下水和植物生长等造成不利影响。</w:t>
                  </w:r>
                </w:p>
                <w:p w14:paraId="730D6152">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②主变压器油、废矿物油、和箱变变压器油在使用或储存过程中若操作不当或设备损坏造成物质泄漏，泄漏后遇火源或在高温(高于闪点)等特殊情况下，将引发火灾、爆炸风险。</w:t>
                  </w:r>
                </w:p>
              </w:tc>
            </w:tr>
            <w:tr w14:paraId="33378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06A17335">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事故影响分析</w:t>
                  </w:r>
                </w:p>
              </w:tc>
              <w:tc>
                <w:tcPr>
                  <w:tcW w:w="6837" w:type="dxa"/>
                  <w:tcBorders>
                    <w:tl2br w:val="nil"/>
                    <w:tr2bl w:val="nil"/>
                  </w:tcBorders>
                </w:tcPr>
                <w:p w14:paraId="0CE2B269">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①主变压器油位于主变压器中，变电站内设置有</w:t>
                  </w:r>
                  <w:r>
                    <w:rPr>
                      <w:rFonts w:hint="default" w:ascii="Times New Roman" w:hAnsi="Times New Roman" w:eastAsia="宋体" w:cs="Times New Roman"/>
                      <w:color w:val="auto"/>
                      <w:sz w:val="21"/>
                      <w:szCs w:val="21"/>
                    </w:rPr>
                    <w:t>集油坑</w:t>
                  </w:r>
                  <w:r>
                    <w:rPr>
                      <w:rFonts w:hint="eastAsia" w:ascii="Times New Roman" w:hAnsi="Times New Roman" w:eastAsia="宋体" w:cs="Times New Roman"/>
                      <w:sz w:val="21"/>
                      <w:szCs w:val="21"/>
                      <w:vertAlign w:val="baseline"/>
                      <w:lang w:val="en-US" w:eastAsia="zh-CN"/>
                    </w:rPr>
                    <w:t>，</w:t>
                  </w:r>
                  <w:r>
                    <w:rPr>
                      <w:rFonts w:hint="default" w:ascii="Times New Roman" w:hAnsi="Times New Roman" w:eastAsia="宋体" w:cs="Times New Roman"/>
                      <w:sz w:val="21"/>
                      <w:szCs w:val="21"/>
                      <w:vertAlign w:val="baseline"/>
                      <w:lang w:val="en-US" w:eastAsia="zh-CN"/>
                    </w:rPr>
                    <w:t>并在主变压器下设置了事故油池</w:t>
                  </w:r>
                  <w:r>
                    <w:rPr>
                      <w:rFonts w:hint="eastAsia" w:ascii="Times New Roman" w:hAnsi="Times New Roman" w:eastAsia="宋体" w:cs="Times New Roman"/>
                      <w:sz w:val="21"/>
                      <w:szCs w:val="21"/>
                      <w:vertAlign w:val="baseline"/>
                      <w:lang w:val="en-US" w:eastAsia="zh-CN"/>
                    </w:rPr>
                    <w:t>有效容积不小于30</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。事故时产生的废油经</w:t>
                  </w:r>
                  <w:r>
                    <w:rPr>
                      <w:rFonts w:hint="default" w:ascii="Times New Roman" w:hAnsi="Times New Roman" w:eastAsia="宋体" w:cs="Times New Roman"/>
                      <w:color w:val="auto"/>
                      <w:sz w:val="21"/>
                      <w:szCs w:val="21"/>
                    </w:rPr>
                    <w:t>集油坑</w:t>
                  </w:r>
                  <w:r>
                    <w:rPr>
                      <w:rFonts w:hint="default" w:ascii="Times New Roman" w:hAnsi="Times New Roman" w:eastAsia="宋体" w:cs="Times New Roman"/>
                      <w:sz w:val="21"/>
                      <w:szCs w:val="21"/>
                      <w:vertAlign w:val="baseline"/>
                      <w:lang w:val="en-US" w:eastAsia="zh-CN"/>
                    </w:rPr>
                    <w:t>流入事故集油池，经专用容器收集后放至在严格按照《危险废物贮存污染控制标准》(GB18597-2001 )要求建设的危险废物暂存间内暂存，定期委托有资质单位清运处置。根据国内已建运行的变电站的运行情况，除非设备年久失修老化，主变事故漏油发生概率极小。因此，变电站事故漏油风险产生的影响极小。</w:t>
                  </w:r>
                </w:p>
                <w:p w14:paraId="03B2E190">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②箱变变压器油位于箱变变压器中，光伏阵区内在每个箱变基靠油箱一侧均设置有事故池，容积为</w:t>
                  </w: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m</w:t>
                  </w:r>
                  <w:r>
                    <w:rPr>
                      <w:rFonts w:hint="default" w:ascii="Times New Roman" w:hAnsi="Times New Roman" w:eastAsia="宋体" w:cs="Times New Roman"/>
                      <w:sz w:val="21"/>
                      <w:szCs w:val="21"/>
                      <w:vertAlign w:val="superscript"/>
                      <w:lang w:val="en-US" w:eastAsia="zh-CN"/>
                    </w:rPr>
                    <w:t>3</w:t>
                  </w:r>
                  <w:r>
                    <w:rPr>
                      <w:rFonts w:hint="default" w:ascii="Times New Roman" w:hAnsi="Times New Roman" w:eastAsia="宋体" w:cs="Times New Roman"/>
                      <w:sz w:val="21"/>
                      <w:szCs w:val="21"/>
                      <w:vertAlign w:val="baseline"/>
                      <w:lang w:val="en-US" w:eastAsia="zh-CN"/>
                    </w:rPr>
                    <w:t>，共</w:t>
                  </w:r>
                  <w:r>
                    <w:rPr>
                      <w:rFonts w:hint="eastAsia" w:ascii="Times New Roman" w:hAnsi="Times New Roman" w:eastAsia="宋体" w:cs="Times New Roman"/>
                      <w:sz w:val="21"/>
                      <w:szCs w:val="21"/>
                      <w:vertAlign w:val="baseline"/>
                      <w:lang w:val="en-US" w:eastAsia="zh-CN"/>
                    </w:rPr>
                    <w:t>26</w:t>
                  </w:r>
                  <w:r>
                    <w:rPr>
                      <w:rFonts w:hint="default" w:ascii="Times New Roman" w:hAnsi="Times New Roman" w:eastAsia="宋体" w:cs="Times New Roman"/>
                      <w:sz w:val="21"/>
                      <w:szCs w:val="21"/>
                      <w:vertAlign w:val="baseline"/>
                      <w:lang w:val="en-US" w:eastAsia="zh-CN"/>
                    </w:rPr>
                    <w:t>个箱变事故池。事故池底部和四周按照《环境影响评价技术导则地下水环境》(HJ610-2016) 提出的重点防渗区防渗技术要求落实，即防渗层为</w:t>
                  </w:r>
                  <w:r>
                    <w:rPr>
                      <w:rFonts w:hint="default" w:ascii="Times New Roman" w:hAnsi="Times New Roman" w:cs="Times New Roman"/>
                      <w:b w:val="0"/>
                      <w:bCs w:val="0"/>
                      <w:color w:val="000000"/>
                      <w:sz w:val="21"/>
                      <w:szCs w:val="21"/>
                    </w:rPr>
                    <w:t>防渗性能不应低于6.0m厚渗透系数为1×10</w:t>
                  </w:r>
                  <w:r>
                    <w:rPr>
                      <w:rFonts w:hint="default" w:ascii="Times New Roman" w:hAnsi="Times New Roman" w:cs="Times New Roman"/>
                      <w:b w:val="0"/>
                      <w:bCs w:val="0"/>
                      <w:color w:val="000000"/>
                      <w:sz w:val="21"/>
                      <w:szCs w:val="21"/>
                      <w:vertAlign w:val="superscript"/>
                    </w:rPr>
                    <w:t>-7</w:t>
                  </w:r>
                  <w:r>
                    <w:rPr>
                      <w:rFonts w:hint="default" w:ascii="Times New Roman" w:hAnsi="Times New Roman" w:cs="Times New Roman"/>
                      <w:b w:val="0"/>
                      <w:bCs w:val="0"/>
                      <w:color w:val="000000"/>
                      <w:sz w:val="21"/>
                      <w:szCs w:val="21"/>
                    </w:rPr>
                    <w:t>cm/s的黏土层的防渗性能或2mm厚高密度聚乙烯，或至少2mm厚的其他人工材料，渗透系数≤1×10</w:t>
                  </w:r>
                  <w:r>
                    <w:rPr>
                      <w:rFonts w:hint="default" w:ascii="Times New Roman" w:hAnsi="Times New Roman" w:cs="Times New Roman"/>
                      <w:b w:val="0"/>
                      <w:bCs w:val="0"/>
                      <w:color w:val="000000"/>
                      <w:sz w:val="21"/>
                      <w:szCs w:val="21"/>
                      <w:vertAlign w:val="superscript"/>
                    </w:rPr>
                    <w:t>-10</w:t>
                  </w:r>
                  <w:r>
                    <w:rPr>
                      <w:rFonts w:hint="default" w:ascii="Times New Roman" w:hAnsi="Times New Roman" w:cs="Times New Roman"/>
                      <w:b w:val="0"/>
                      <w:bCs w:val="0"/>
                      <w:color w:val="000000"/>
                      <w:sz w:val="21"/>
                      <w:szCs w:val="21"/>
                    </w:rPr>
                    <w:t>cm/s</w:t>
                  </w:r>
                  <w:r>
                    <w:rPr>
                      <w:rFonts w:hint="default" w:ascii="Times New Roman" w:hAnsi="Times New Roman" w:eastAsia="宋体" w:cs="Times New Roman"/>
                      <w:sz w:val="21"/>
                      <w:szCs w:val="21"/>
                      <w:vertAlign w:val="baseline"/>
                      <w:lang w:val="en-US" w:eastAsia="zh-CN"/>
                    </w:rPr>
                    <w:t>，确保事故油在存储的过程中不会渗漏。事故时产生的废油经专用容器收集后放至在严格按照《危险废物贮存污染控制标准》(GB18597-2001)要求建设的危险废物暂存间内暂存，定期委托有资质单位清运处置。根据国内已建运行的变电站的运行情况，除非设备年久失修老化，箱变事故漏油发生概率极小。因此，箱变事故漏油风险产生的影响极小。</w:t>
                  </w:r>
                </w:p>
                <w:p w14:paraId="5CCBF894">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③危险废物暂存间将严格按照《危险废物贮存污染控制标准》(GB18597-2001)要求建设，地面及裙角等均采取防渗措施，并定期委托有资质单位清运处置。根据国内己规范化建设运行的废矿物油危废暂存间运行情况，其漏油发生概率极小。</w:t>
                  </w:r>
                </w:p>
                <w:p w14:paraId="30FD57D9">
                  <w:pPr>
                    <w:spacing w:before="60" w:beforeLines="25" w:line="240" w:lineRule="auto"/>
                    <w:jc w:val="left"/>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④主变变压器油、废矿物油、箱变变压器油</w:t>
                  </w:r>
                  <w:r>
                    <w:rPr>
                      <w:rFonts w:hint="eastAsia" w:ascii="Times New Roman" w:hAnsi="Times New Roman" w:eastAsia="宋体" w:cs="Times New Roman"/>
                      <w:sz w:val="21"/>
                      <w:szCs w:val="21"/>
                      <w:vertAlign w:val="baseline"/>
                      <w:lang w:val="en-US" w:eastAsia="zh-CN"/>
                    </w:rPr>
                    <w:t>、泄漏电解液</w:t>
                  </w:r>
                  <w:r>
                    <w:rPr>
                      <w:rFonts w:hint="default" w:ascii="Times New Roman" w:hAnsi="Times New Roman" w:eastAsia="宋体" w:cs="Times New Roman"/>
                      <w:sz w:val="21"/>
                      <w:szCs w:val="21"/>
                      <w:vertAlign w:val="baseline"/>
                      <w:lang w:val="en-US" w:eastAsia="zh-CN"/>
                    </w:rPr>
                    <w:t>其挥发的蒸汽本身属于低毒类物质，对附近工作人员生命安全不会产生急性毒害作用，在事故处理结束后一定时间内就会消除。在上述区域发生火灾燃烧事故后，对区域下风向的环境空气会造成一定的影响，事故发生后到结束前这一时段内污染程度最大，但在火灾燃烧事故结束后短时间内这种环境风险影响可基本消除。</w:t>
                  </w:r>
                </w:p>
              </w:tc>
            </w:tr>
            <w:tr w14:paraId="01A6A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83" w:type="dxa"/>
                  <w:tcBorders>
                    <w:tl2br w:val="nil"/>
                    <w:tr2bl w:val="nil"/>
                  </w:tcBorders>
                </w:tcPr>
                <w:p w14:paraId="37421F33">
                  <w:pPr>
                    <w:spacing w:before="60" w:beforeLines="25" w:line="240" w:lineRule="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风险防范措施</w:t>
                  </w:r>
                </w:p>
                <w:p w14:paraId="5AA9D64B">
                  <w:pPr>
                    <w:spacing w:before="60" w:beforeLines="25" w:line="240" w:lineRule="auto"/>
                    <w:rPr>
                      <w:rFonts w:hint="default" w:ascii="Times New Roman" w:hAnsi="Times New Roman" w:eastAsia="宋体" w:cs="Times New Roman"/>
                      <w:sz w:val="21"/>
                      <w:szCs w:val="21"/>
                      <w:vertAlign w:val="baseline"/>
                      <w:lang w:val="en-US" w:eastAsia="zh-CN"/>
                    </w:rPr>
                  </w:pPr>
                </w:p>
              </w:tc>
              <w:tc>
                <w:tcPr>
                  <w:tcW w:w="6837" w:type="dxa"/>
                  <w:tcBorders>
                    <w:tl2br w:val="nil"/>
                    <w:tr2bl w:val="nil"/>
                  </w:tcBorders>
                </w:tcPr>
                <w:p w14:paraId="2BA2A1DF">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①</w:t>
                  </w:r>
                  <w:r>
                    <w:rPr>
                      <w:rFonts w:hint="default" w:ascii="Times New Roman" w:hAnsi="Times New Roman" w:cs="Times New Roman"/>
                      <w:sz w:val="21"/>
                      <w:szCs w:val="21"/>
                      <w:lang w:val="en-US" w:eastAsia="zh-CN"/>
                    </w:rPr>
                    <w:t>厂区总平面设计严格按照国家相关规范、标准和规定以及部门的要求进行设计。</w:t>
                  </w:r>
                </w:p>
                <w:p w14:paraId="4E9B24B5">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②</w:t>
                  </w:r>
                  <w:r>
                    <w:rPr>
                      <w:rFonts w:hint="default" w:ascii="Times New Roman" w:hAnsi="Times New Roman" w:cs="Times New Roman"/>
                      <w:sz w:val="21"/>
                      <w:szCs w:val="21"/>
                      <w:lang w:val="en-US" w:eastAsia="zh-CN"/>
                    </w:rPr>
                    <w:t>升压站主变压器所在区域地面硬化处理，同时四周设置</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和事故油池，在每台箱变靠近油箱一侧设置事故池：按照《火力发电厂与变电站设计防火标准》( GB50229-2019)的要求，确保设置足够容积事故油池或事故池。</w:t>
                  </w:r>
                </w:p>
                <w:p w14:paraId="185B1668">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③</w:t>
                  </w:r>
                  <w:r>
                    <w:rPr>
                      <w:rFonts w:hint="default" w:ascii="Times New Roman" w:hAnsi="Times New Roman" w:cs="Times New Roman"/>
                      <w:sz w:val="21"/>
                      <w:szCs w:val="21"/>
                      <w:lang w:val="en-US" w:eastAsia="zh-CN"/>
                    </w:rPr>
                    <w:t>建立报警系统，主变压器设专门摄像头，与监控设施联网，一旦发生主变事故漏油，监控人员便启动报警系统，实施既定环境风险应急预案，平时需加强设备保养、巡查和维修。</w:t>
                  </w:r>
                </w:p>
                <w:p w14:paraId="28DFC3A4">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eastAsia="宋体" w:cs="Times New Roman"/>
                      <w:sz w:val="21"/>
                      <w:szCs w:val="21"/>
                      <w:vertAlign w:val="baseline"/>
                      <w:lang w:val="en-US" w:eastAsia="zh-CN"/>
                    </w:rPr>
                    <w:t>④</w:t>
                  </w:r>
                  <w:r>
                    <w:rPr>
                      <w:rFonts w:hint="default" w:ascii="Times New Roman" w:hAnsi="Times New Roman" w:cs="Times New Roman"/>
                      <w:sz w:val="21"/>
                      <w:szCs w:val="21"/>
                      <w:lang w:val="en-US" w:eastAsia="zh-CN"/>
                    </w:rPr>
                    <w:t>升压站区内设置消防水事故水池，水池容量根据消防水量要求进行布置，具体可根据场地条件进行合理布设，但必须满足一次消防用水量容量要求。事故水池污水需经处理后回用，不能直接排入附近水体。</w:t>
                  </w:r>
                </w:p>
                <w:p w14:paraId="798C8A44">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⑤对厂区采取分区防渗措施，其中危险废物暂存间、</w:t>
                  </w:r>
                  <w:r>
                    <w:rPr>
                      <w:rFonts w:hint="default" w:ascii="Times New Roman" w:hAnsi="Times New Roman" w:eastAsia="宋体" w:cs="Times New Roman"/>
                      <w:color w:val="auto"/>
                      <w:sz w:val="21"/>
                      <w:szCs w:val="21"/>
                    </w:rPr>
                    <w:t>集油坑</w:t>
                  </w:r>
                  <w:r>
                    <w:rPr>
                      <w:rFonts w:hint="default" w:ascii="Times New Roman" w:hAnsi="Times New Roman" w:cs="Times New Roman"/>
                      <w:sz w:val="21"/>
                      <w:szCs w:val="21"/>
                      <w:lang w:val="en-US" w:eastAsia="zh-CN"/>
                    </w:rPr>
                    <w:t>、事故池严格按照《危险废物贮存污染控制标准》( GB18597-2001)中要求进行防渗，防渗层需满足渗透系数≤10</w:t>
                  </w:r>
                  <w:r>
                    <w:rPr>
                      <w:rFonts w:hint="default" w:ascii="Times New Roman" w:hAnsi="Times New Roman" w:cs="Times New Roman"/>
                      <w:sz w:val="21"/>
                      <w:szCs w:val="21"/>
                      <w:vertAlign w:val="superscript"/>
                      <w:lang w:val="en-US" w:eastAsia="zh-CN"/>
                    </w:rPr>
                    <w:t>-10</w:t>
                  </w:r>
                  <w:r>
                    <w:rPr>
                      <w:rFonts w:hint="default" w:ascii="Times New Roman" w:hAnsi="Times New Roman" w:cs="Times New Roman"/>
                      <w:sz w:val="21"/>
                      <w:szCs w:val="21"/>
                      <w:lang w:val="en-US" w:eastAsia="zh-CN"/>
                    </w:rPr>
                    <w:t>cm/s要求；办公生活区、厂区道路等无明显潜在地下水污染源的区域进行简单防渗，进行一般地面硬化即可</w:t>
                  </w:r>
                  <w:r>
                    <w:rPr>
                      <w:rFonts w:hint="default" w:ascii="Times New Roman" w:hAnsi="Times New Roman" w:cs="Times New Roman"/>
                      <w:color w:val="auto"/>
                      <w:sz w:val="21"/>
                      <w:szCs w:val="21"/>
                      <w:lang w:val="en-US" w:eastAsia="zh-CN"/>
                    </w:rPr>
                    <w:t>；化粪池、隔油池、废水收集池，按照《</w:t>
                  </w:r>
                  <w:r>
                    <w:rPr>
                      <w:rFonts w:hint="default" w:ascii="Times New Roman" w:hAnsi="Times New Roman" w:cs="Times New Roman"/>
                      <w:sz w:val="21"/>
                      <w:szCs w:val="21"/>
                      <w:lang w:val="en-US" w:eastAsia="zh-CN"/>
                    </w:rPr>
                    <w:t>环境影响评价技术导则地下水环境》( HJ610-2016)提出的一般防渗区防渗技术要求落实，即防渗层为等效黏土防渗层Mb≥1.5m，渗透系数K≤1.0×10</w:t>
                  </w:r>
                  <w:r>
                    <w:rPr>
                      <w:rFonts w:hint="default" w:ascii="Times New Roman" w:hAnsi="Times New Roman" w:cs="Times New Roman"/>
                      <w:sz w:val="21"/>
                      <w:szCs w:val="21"/>
                      <w:vertAlign w:val="superscript"/>
                      <w:lang w:val="en-US" w:eastAsia="zh-CN"/>
                    </w:rPr>
                    <w:t>-7</w:t>
                  </w:r>
                  <w:r>
                    <w:rPr>
                      <w:rFonts w:hint="default" w:ascii="Times New Roman" w:hAnsi="Times New Roman" w:cs="Times New Roman"/>
                      <w:sz w:val="21"/>
                      <w:szCs w:val="21"/>
                      <w:lang w:val="en-US" w:eastAsia="zh-CN"/>
                    </w:rPr>
                    <w:t>cm/s；施工期加强工程监理和环境监理，提高防渗工程质量，做好照片、录像以及相关文字说明等存档资料。</w:t>
                  </w:r>
                </w:p>
                <w:p w14:paraId="6E94385C">
                  <w:pPr>
                    <w:spacing w:before="60" w:beforeLines="25" w:line="240" w:lineRule="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⑥编制突发环境事件应急预案并报生态环境管理部门备案。按照应急预案储备应急物资、定期演练，加强管理，将风险降到最低。</w:t>
                  </w:r>
                </w:p>
                <w:p w14:paraId="0C91D82F">
                  <w:pPr>
                    <w:spacing w:before="60" w:beforeLines="25" w:line="240" w:lineRule="auto"/>
                    <w:rPr>
                      <w:rFonts w:hint="default" w:ascii="Times New Roman" w:hAnsi="Times New Roman" w:cs="Times New Roman"/>
                      <w:lang w:val="en-US" w:eastAsia="zh-CN"/>
                    </w:rPr>
                  </w:pPr>
                  <w:r>
                    <w:rPr>
                      <w:rFonts w:hint="default" w:ascii="Times New Roman" w:hAnsi="Times New Roman" w:cs="Times New Roman"/>
                      <w:sz w:val="21"/>
                      <w:szCs w:val="21"/>
                      <w:lang w:val="en-US" w:eastAsia="zh-CN"/>
                    </w:rPr>
                    <w:t>⑦加强对操作人员的岗位培训，建立健全的环保管理机制和各项环保规:章制度，落实岗位环保责任制，加强环境风险防范工作，防止事故排放导致环境问题。</w:t>
                  </w:r>
                </w:p>
              </w:tc>
            </w:tr>
          </w:tbl>
          <w:p w14:paraId="4B2E7F4C">
            <w:pPr>
              <w:spacing w:before="60" w:beforeLines="25" w:line="480" w:lineRule="exact"/>
              <w:ind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通过采取相应的工程措施，可以将拟建项目的风险降低到可接受水平。另外，通过制定风险事故应急预案，可以提高风险事故处置效率，最大限度的降低对环境和周边群众的危害，并将经济损失降至最低水平。拟建项目拟采取的环境风险防范措施有效可行，项目环境风险可防控，总体环境风险小。</w:t>
            </w:r>
          </w:p>
          <w:p w14:paraId="6D80CDB1">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w:t>
            </w:r>
            <w:r>
              <w:rPr>
                <w:rFonts w:hint="default" w:ascii="Times New Roman" w:hAnsi="Times New Roman" w:eastAsia="宋体" w:cs="Times New Roman"/>
                <w:b/>
                <w:bCs/>
                <w:lang w:val="en-US" w:eastAsia="zh-CN"/>
              </w:rPr>
              <w:t>7）退役后拆除的环境影响分析</w:t>
            </w:r>
          </w:p>
          <w:p w14:paraId="19AC098B">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退役拆除方案：电站服务期满后(25年)，若不准备再继续服务，需要全部拆除。光伏组件由建设单位负责收集，规范处置；组件支架等钢材由物资再生公司回收；建(构)物及其基础拆除、清理；拆除和清理后的地面由电站建设单位负责恢复地面植被。</w:t>
            </w:r>
          </w:p>
          <w:p w14:paraId="2FA473B3">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拆除过程会对项目所在区生态环境产生一定影响。</w:t>
            </w:r>
          </w:p>
          <w:p w14:paraId="711D538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1）光伏组件的拆除</w:t>
            </w:r>
          </w:p>
          <w:p w14:paraId="0C4E12F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服务期满后，光伏组件需进行拆除。拆除后的废旧光伏组件属一般工业固体废物，不属于危险废物，由建设或经营</w:t>
            </w:r>
            <w:r>
              <w:rPr>
                <w:rFonts w:hint="default" w:ascii="Times New Roman" w:hAnsi="Times New Roman" w:eastAsia="宋体" w:cs="Times New Roman"/>
                <w:sz w:val="24"/>
                <w:lang w:val="en-US" w:eastAsia="zh-CN"/>
              </w:rPr>
              <w:t>单位对报废电池板进行收集，最终由生产厂家回收</w:t>
            </w:r>
            <w:r>
              <w:rPr>
                <w:rFonts w:hint="default" w:ascii="Times New Roman" w:hAnsi="Times New Roman" w:eastAsia="宋体" w:cs="Times New Roman"/>
                <w:lang w:val="en-US" w:eastAsia="zh-CN"/>
              </w:rPr>
              <w:t>处理，不得随意丢弃，因此对环境的影响较小。</w:t>
            </w:r>
          </w:p>
          <w:p w14:paraId="2EF814CA">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2）电气设备的拆除</w:t>
            </w:r>
          </w:p>
          <w:p w14:paraId="097D319C">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电气设备主要为逆变器、箱式变压器、升压站主变压器等，电气设备经过运</w:t>
            </w:r>
          </w:p>
          <w:p w14:paraId="58C03506">
            <w:pPr>
              <w:numPr>
                <w:ilvl w:val="0"/>
                <w:numId w:val="0"/>
              </w:num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营期的使用和维护，其损耗较小，可全部由设备生产商回收。</w:t>
            </w:r>
          </w:p>
          <w:p w14:paraId="5734BEC2">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筑物的拆除</w:t>
            </w:r>
          </w:p>
          <w:p w14:paraId="124C10CC">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服务期满后对已建成的各类建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筑物进行全部拆除，以利于恢复原地表和植被。该项目主要的建</w:t>
            </w:r>
            <w:r>
              <w:rPr>
                <w:rFonts w:hint="eastAsia" w:ascii="Times New Roman" w:hAnsi="Times New Roman" w:eastAsia="宋体" w:cs="Times New Roman"/>
                <w:lang w:val="en-US" w:eastAsia="zh-CN"/>
              </w:rPr>
              <w:t>（构）</w:t>
            </w:r>
            <w:r>
              <w:rPr>
                <w:rFonts w:hint="default" w:ascii="Times New Roman" w:hAnsi="Times New Roman" w:eastAsia="宋体" w:cs="Times New Roman"/>
                <w:lang w:val="en-US" w:eastAsia="zh-CN"/>
              </w:rPr>
              <w:t>筑物有光伏组件基础、升压站、综合楼和配电室等建筑和设施，大部分为混凝土等结构的建筑。拆除后的建筑垃圾应按照环卫部门的要求运至指定建筑垃圾处理场。</w:t>
            </w:r>
          </w:p>
          <w:p w14:paraId="4CD4DBB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4）恢复措施</w:t>
            </w:r>
          </w:p>
          <w:p w14:paraId="7D57DB8B">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本项目光伏发电站服务期满后拆除的生产区应进行生态恢复：</w:t>
            </w:r>
          </w:p>
          <w:p w14:paraId="4E7DEE3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①掘除硬化地面基础，对场地进行植被恢复原地貌；拆除过程中应尽量减小对土地的扰动，场区原绿化土地保留。</w:t>
            </w:r>
          </w:p>
          <w:p w14:paraId="38C315CB">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掘除光伏方阵区混凝土的基础部分，场地进行恢复，覆土厚度30cm，并将光伏方阵区侵蚀沟和低洼区域填土、平整，恢复后的场地则进行酒水和压实，以固结地表，防止产生扬尘和对土壤的风蚀，同时依据农光互补方案恢复农业种植，对于部分不能进行植被恢复的区域，进行平整压实，以减轻水土流失。</w:t>
            </w:r>
          </w:p>
          <w:p w14:paraId="6E0171A1">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光伏电站在服务期满后，要严格采取固废处置及生态恢复的环保措施，确保无遗留环保问题。光伏电站服务期满后对环境的影响较小。</w:t>
            </w:r>
          </w:p>
          <w:p w14:paraId="08B49AD5">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（8）土壤环境影响分析</w:t>
            </w:r>
          </w:p>
          <w:p w14:paraId="47FA4B5A">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根据《环境影响评价技术导则土壤环境》（HJ964-2018）可知本项目光伏电项 目属于Ⅳ类项目，不需要开展土壤环境影响评价。</w:t>
            </w:r>
          </w:p>
          <w:p w14:paraId="2CF50080">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lang w:val="en-US" w:eastAsia="zh-CN"/>
              </w:rPr>
              <w:t>地下水影响分析</w:t>
            </w:r>
          </w:p>
          <w:p w14:paraId="2917EA0E">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1）地下水污染源、污染物类型及污染途径</w:t>
            </w:r>
          </w:p>
          <w:p w14:paraId="5A8DB6CD">
            <w:pPr>
              <w:numPr>
                <w:ilvl w:val="0"/>
                <w:numId w:val="0"/>
              </w:numPr>
              <w:spacing w:line="240" w:lineRule="auto"/>
              <w:ind w:firstLine="422" w:firstLineChars="20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 4-</w:t>
            </w:r>
            <w:r>
              <w:rPr>
                <w:rFonts w:hint="eastAsia" w:ascii="Times New Roman" w:hAnsi="Times New Roman" w:eastAsia="宋体" w:cs="Times New Roman"/>
                <w:b/>
                <w:bCs/>
                <w:sz w:val="21"/>
                <w:szCs w:val="21"/>
                <w:lang w:val="en-US" w:eastAsia="zh-CN"/>
              </w:rPr>
              <w:t>12</w:t>
            </w:r>
            <w:r>
              <w:rPr>
                <w:rFonts w:hint="default" w:ascii="Times New Roman" w:hAnsi="Times New Roman" w:eastAsia="宋体" w:cs="Times New Roman"/>
                <w:b/>
                <w:bCs/>
                <w:sz w:val="21"/>
                <w:szCs w:val="21"/>
                <w:lang w:val="en-US" w:eastAsia="zh-CN"/>
              </w:rPr>
              <w:t xml:space="preserve"> 项目地下水污染类型及途径一览表</w:t>
            </w:r>
          </w:p>
          <w:tbl>
            <w:tblPr>
              <w:tblStyle w:val="33"/>
              <w:tblW w:w="8506" w:type="dxa"/>
              <w:tblInd w:w="-1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1515"/>
              <w:gridCol w:w="1130"/>
              <w:gridCol w:w="2063"/>
              <w:gridCol w:w="1201"/>
              <w:gridCol w:w="1419"/>
            </w:tblGrid>
            <w:tr w14:paraId="10BE09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1178" w:type="dxa"/>
                  <w:tcBorders>
                    <w:tl2br w:val="nil"/>
                    <w:tr2bl w:val="nil"/>
                  </w:tcBorders>
                  <w:vAlign w:val="center"/>
                </w:tcPr>
                <w:p w14:paraId="31EC254D">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w:t>
                  </w:r>
                </w:p>
              </w:tc>
              <w:tc>
                <w:tcPr>
                  <w:tcW w:w="1515" w:type="dxa"/>
                  <w:tcBorders>
                    <w:tl2br w:val="nil"/>
                    <w:tr2bl w:val="nil"/>
                  </w:tcBorders>
                  <w:vAlign w:val="center"/>
                </w:tcPr>
                <w:p w14:paraId="687A2B40">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工艺流程/ 节点</w:t>
                  </w:r>
                </w:p>
              </w:tc>
              <w:tc>
                <w:tcPr>
                  <w:tcW w:w="1130" w:type="dxa"/>
                  <w:tcBorders>
                    <w:tl2br w:val="nil"/>
                    <w:tr2bl w:val="nil"/>
                  </w:tcBorders>
                  <w:vAlign w:val="center"/>
                </w:tcPr>
                <w:p w14:paraId="39459D3E">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污染途径</w:t>
                  </w:r>
                </w:p>
              </w:tc>
              <w:tc>
                <w:tcPr>
                  <w:tcW w:w="2063" w:type="dxa"/>
                  <w:tcBorders>
                    <w:tl2br w:val="nil"/>
                    <w:tr2bl w:val="nil"/>
                  </w:tcBorders>
                  <w:vAlign w:val="center"/>
                </w:tcPr>
                <w:p w14:paraId="6ED7A4DB">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全部污染物 指标</w:t>
                  </w:r>
                </w:p>
              </w:tc>
              <w:tc>
                <w:tcPr>
                  <w:tcW w:w="1201" w:type="dxa"/>
                  <w:tcBorders>
                    <w:tl2br w:val="nil"/>
                    <w:tr2bl w:val="nil"/>
                  </w:tcBorders>
                  <w:vAlign w:val="center"/>
                </w:tcPr>
                <w:p w14:paraId="6C1C9502">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特征因子</w:t>
                  </w:r>
                </w:p>
              </w:tc>
              <w:tc>
                <w:tcPr>
                  <w:tcW w:w="1419" w:type="dxa"/>
                  <w:tcBorders>
                    <w:tl2br w:val="nil"/>
                    <w:tr2bl w:val="nil"/>
                  </w:tcBorders>
                  <w:vAlign w:val="center"/>
                </w:tcPr>
                <w:p w14:paraId="202AF7A1">
                  <w:pPr>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污染源特征</w:t>
                  </w:r>
                </w:p>
              </w:tc>
            </w:tr>
            <w:tr w14:paraId="763B1D8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1" w:hRule="atLeast"/>
              </w:trPr>
              <w:tc>
                <w:tcPr>
                  <w:tcW w:w="1178" w:type="dxa"/>
                  <w:tcBorders>
                    <w:tl2br w:val="nil"/>
                    <w:tr2bl w:val="nil"/>
                  </w:tcBorders>
                  <w:vAlign w:val="center"/>
                </w:tcPr>
                <w:p w14:paraId="275D9A5C">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升压站</w:t>
                  </w:r>
                </w:p>
              </w:tc>
              <w:tc>
                <w:tcPr>
                  <w:tcW w:w="1515" w:type="dxa"/>
                  <w:vMerge w:val="restart"/>
                  <w:tcBorders>
                    <w:tl2br w:val="nil"/>
                    <w:tr2bl w:val="nil"/>
                  </w:tcBorders>
                  <w:vAlign w:val="center"/>
                </w:tcPr>
                <w:p w14:paraId="5595F21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主变</w:t>
                  </w:r>
                </w:p>
              </w:tc>
              <w:tc>
                <w:tcPr>
                  <w:tcW w:w="1130" w:type="dxa"/>
                  <w:vMerge w:val="restart"/>
                  <w:tcBorders>
                    <w:tl2br w:val="nil"/>
                    <w:tr2bl w:val="nil"/>
                  </w:tcBorders>
                  <w:vAlign w:val="center"/>
                </w:tcPr>
                <w:p w14:paraId="5DCF299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垂直入渗</w:t>
                  </w:r>
                </w:p>
              </w:tc>
              <w:tc>
                <w:tcPr>
                  <w:tcW w:w="2063" w:type="dxa"/>
                  <w:tcBorders>
                    <w:tl2br w:val="nil"/>
                    <w:tr2bl w:val="nil"/>
                  </w:tcBorders>
                  <w:vAlign w:val="center"/>
                </w:tcPr>
                <w:p w14:paraId="6F5ED0EB">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0F02C5A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restart"/>
                  <w:tcBorders>
                    <w:tl2br w:val="nil"/>
                    <w:tr2bl w:val="nil"/>
                  </w:tcBorders>
                  <w:vAlign w:val="center"/>
                </w:tcPr>
                <w:p w14:paraId="391F5DC5">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连续入渗的可能</w:t>
                  </w:r>
                </w:p>
              </w:tc>
            </w:tr>
            <w:tr w14:paraId="4F3EE99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78" w:type="dxa"/>
                  <w:tcBorders>
                    <w:tl2br w:val="nil"/>
                    <w:tr2bl w:val="nil"/>
                  </w:tcBorders>
                  <w:vAlign w:val="center"/>
                </w:tcPr>
                <w:p w14:paraId="741C04A7">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危废暂存间</w:t>
                  </w:r>
                </w:p>
              </w:tc>
              <w:tc>
                <w:tcPr>
                  <w:tcW w:w="1515" w:type="dxa"/>
                  <w:vMerge w:val="continue"/>
                  <w:tcBorders>
                    <w:tl2br w:val="nil"/>
                    <w:tr2bl w:val="nil"/>
                  </w:tcBorders>
                  <w:vAlign w:val="center"/>
                </w:tcPr>
                <w:p w14:paraId="23423FBD">
                  <w:pPr>
                    <w:jc w:val="center"/>
                    <w:rPr>
                      <w:rFonts w:hint="default" w:ascii="Times New Roman" w:hAnsi="Times New Roman" w:eastAsia="宋体" w:cs="Times New Roman"/>
                      <w:sz w:val="21"/>
                      <w:szCs w:val="21"/>
                    </w:rPr>
                  </w:pPr>
                </w:p>
              </w:tc>
              <w:tc>
                <w:tcPr>
                  <w:tcW w:w="1130" w:type="dxa"/>
                  <w:vMerge w:val="continue"/>
                  <w:tcBorders>
                    <w:tl2br w:val="nil"/>
                    <w:tr2bl w:val="nil"/>
                  </w:tcBorders>
                  <w:vAlign w:val="center"/>
                </w:tcPr>
                <w:p w14:paraId="770A8A80">
                  <w:pPr>
                    <w:jc w:val="center"/>
                    <w:rPr>
                      <w:rFonts w:hint="default" w:ascii="Times New Roman" w:hAnsi="Times New Roman" w:eastAsia="宋体" w:cs="Times New Roman"/>
                      <w:sz w:val="21"/>
                      <w:szCs w:val="21"/>
                    </w:rPr>
                  </w:pPr>
                </w:p>
              </w:tc>
              <w:tc>
                <w:tcPr>
                  <w:tcW w:w="2063" w:type="dxa"/>
                  <w:tcBorders>
                    <w:tl2br w:val="nil"/>
                    <w:tr2bl w:val="nil"/>
                  </w:tcBorders>
                  <w:vAlign w:val="center"/>
                </w:tcPr>
                <w:p w14:paraId="180033A2">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01" w:type="dxa"/>
                  <w:tcBorders>
                    <w:tl2br w:val="nil"/>
                    <w:tr2bl w:val="nil"/>
                  </w:tcBorders>
                  <w:vAlign w:val="center"/>
                </w:tcPr>
                <w:p w14:paraId="03F563EE">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419" w:type="dxa"/>
                  <w:vMerge w:val="continue"/>
                  <w:tcBorders>
                    <w:tl2br w:val="nil"/>
                    <w:tr2bl w:val="nil"/>
                  </w:tcBorders>
                  <w:vAlign w:val="center"/>
                </w:tcPr>
                <w:p w14:paraId="1833B198">
                  <w:pPr>
                    <w:jc w:val="center"/>
                    <w:rPr>
                      <w:rFonts w:hint="default" w:ascii="Times New Roman" w:hAnsi="Times New Roman" w:eastAsia="宋体" w:cs="Times New Roman"/>
                      <w:sz w:val="21"/>
                      <w:szCs w:val="21"/>
                    </w:rPr>
                  </w:pPr>
                </w:p>
              </w:tc>
            </w:tr>
          </w:tbl>
          <w:p w14:paraId="78EA9ED4">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2）防控措施</w:t>
            </w:r>
          </w:p>
          <w:p w14:paraId="616970C9">
            <w:pPr>
              <w:numPr>
                <w:ilvl w:val="0"/>
                <w:numId w:val="0"/>
              </w:numPr>
              <w:spacing w:line="360" w:lineRule="auto"/>
              <w:ind w:firstLine="48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为防止地下水污染，升压站主应做好分区防渗工作，按简单防渗区、一般防渗  区、重点防渗区划分，分别采取不同等级的防渗措施。重点防渗区为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泥硬化防渗即可，同时应加强维护，降低“跑、冒、滴、漏”发生的可能防止对地下水产生污染。</w:t>
            </w:r>
          </w:p>
          <w:p w14:paraId="15A5D1B0">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（9）</w:t>
            </w:r>
            <w:r>
              <w:rPr>
                <w:rFonts w:hint="default" w:ascii="Times New Roman" w:hAnsi="Times New Roman" w:eastAsia="宋体" w:cs="Times New Roman"/>
                <w:b/>
                <w:bCs/>
                <w:color w:val="auto"/>
                <w:sz w:val="24"/>
                <w:szCs w:val="32"/>
              </w:rPr>
              <w:t>光污染影响</w:t>
            </w:r>
          </w:p>
          <w:p w14:paraId="5F92E528">
            <w:pPr>
              <w:keepNext/>
              <w:keepLines/>
              <w:adjustRightInd w:val="0"/>
              <w:snapToGrid w:val="0"/>
              <w:spacing w:before="120" w:beforeLines="50" w:line="360" w:lineRule="auto"/>
              <w:ind w:firstLine="480" w:firstLineChars="200"/>
              <w:outlineLvl w:val="1"/>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采用太阳能电池板作为能量采集装置，光伏电池的制作中具有减反射的设计，主要是使用带激光刻槽或者化学腐蚀方法，使硅片表面形成凹凸不平的绒面。这些绒面不是指向某地固定方向的镜面反射，其反射率远远低于国家规定的30%，对周围环境产生光污染影响较小，同时加了ZVA材料，最大限度的起到了吸收太阳光的作用。其表面上覆盖的是一层高透明玻璃，因此，一般不会对周围环境产生光污染。</w:t>
            </w:r>
          </w:p>
          <w:p w14:paraId="5F052BB8">
            <w:pPr>
              <w:numPr>
                <w:ilvl w:val="0"/>
                <w:numId w:val="0"/>
              </w:numPr>
              <w:spacing w:line="360" w:lineRule="auto"/>
              <w:ind w:firstLine="480" w:firstLineChars="200"/>
              <w:rPr>
                <w:rFonts w:hint="default" w:ascii="Times New Roman" w:hAnsi="Times New Roman" w:eastAsia="宋体" w:cs="Times New Roman"/>
                <w:sz w:val="24"/>
                <w:lang w:val="en-US" w:eastAsia="zh-CN"/>
              </w:rPr>
            </w:pPr>
          </w:p>
        </w:tc>
      </w:tr>
      <w:tr w14:paraId="679D562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796" w:hRule="atLeast"/>
          <w:jc w:val="center"/>
        </w:trPr>
        <w:tc>
          <w:tcPr>
            <w:tcW w:w="456" w:type="dxa"/>
            <w:tcBorders>
              <w:tl2br w:val="nil"/>
              <w:tr2bl w:val="nil"/>
            </w:tcBorders>
            <w:vAlign w:val="center"/>
          </w:tcPr>
          <w:p w14:paraId="5CB8EB3A">
            <w:pPr>
              <w:pStyle w:val="20"/>
              <w:adjustRightInd w:val="0"/>
              <w:snapToGrid w:val="0"/>
              <w:spacing w:before="0" w:beforeAutospacing="0" w:after="0" w:afterAutospacing="0"/>
              <w:jc w:val="center"/>
              <w:rPr>
                <w:rFonts w:cs="宋体"/>
                <w:bCs/>
                <w:kern w:val="2"/>
                <w:szCs w:val="24"/>
                <w:lang w:val="en-US" w:eastAsia="zh-CN"/>
              </w:rPr>
            </w:pPr>
            <w:r>
              <w:rPr>
                <w:rFonts w:hint="eastAsia" w:cs="宋体"/>
                <w:bCs/>
                <w:kern w:val="2"/>
                <w:szCs w:val="24"/>
                <w:highlight w:val="none"/>
                <w:lang w:val="en-US" w:eastAsia="zh-CN"/>
              </w:rPr>
              <w:t>选址选线环境合理性分析</w:t>
            </w:r>
          </w:p>
        </w:tc>
        <w:tc>
          <w:tcPr>
            <w:tcW w:w="8766" w:type="dxa"/>
            <w:tcBorders>
              <w:tl2br w:val="nil"/>
              <w:tr2bl w:val="nil"/>
            </w:tcBorders>
            <w:vAlign w:val="center"/>
          </w:tcPr>
          <w:p w14:paraId="101047E1">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（1）项目选址环境合理性分析</w:t>
            </w:r>
          </w:p>
          <w:p w14:paraId="3A7A6914">
            <w:pPr>
              <w:numPr>
                <w:ilvl w:val="0"/>
                <w:numId w:val="0"/>
              </w:numPr>
              <w:spacing w:line="360" w:lineRule="auto"/>
              <w:ind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根据《可研》本项目选址方案为唯一方案，</w:t>
            </w:r>
            <w:r>
              <w:rPr>
                <w:rFonts w:hint="default" w:ascii="Times New Roman" w:hAnsi="Times New Roman" w:eastAsia="宋体" w:cs="Times New Roman"/>
                <w:b w:val="0"/>
                <w:bCs w:val="0"/>
                <w:color w:val="auto"/>
                <w:kern w:val="2"/>
                <w:sz w:val="24"/>
                <w:szCs w:val="24"/>
                <w:lang w:val="en-US" w:eastAsia="zh-CN" w:bidi="ar-SA"/>
              </w:rPr>
              <w:t>江东光伏发电项目位于云南省德宏州芒市</w:t>
            </w:r>
            <w:r>
              <w:rPr>
                <w:rFonts w:hint="eastAsia" w:ascii="宋体" w:hAnsi="宋体" w:eastAsia="宋体" w:cs="宋体"/>
                <w:color w:val="000000"/>
                <w:kern w:val="0"/>
                <w:sz w:val="24"/>
                <w:szCs w:val="24"/>
                <w:lang w:val="en-US" w:eastAsia="zh-CN" w:bidi="ar"/>
              </w:rPr>
              <w:t>江东乡河头村、芒广村</w:t>
            </w:r>
            <w:r>
              <w:rPr>
                <w:rFonts w:hint="default" w:ascii="Times New Roman" w:hAnsi="Times New Roman" w:eastAsia="宋体" w:cs="Times New Roman"/>
                <w:b w:val="0"/>
                <w:bCs w:val="0"/>
                <w:color w:val="auto"/>
                <w:kern w:val="2"/>
                <w:sz w:val="24"/>
                <w:szCs w:val="24"/>
                <w:lang w:val="en-US" w:eastAsia="zh-CN" w:bidi="ar-SA"/>
              </w:rPr>
              <w:t>，场址中心距离芒市直线距离约 18km。场址附近有数条道路通过，交通运输条件较为便利。场址地理坐标介于东经 98°23'59.66"～98°25'22.32"、北纬 24°28'10.60"～24°29'19.78"之间，海拔在 1100m～1500m 之间</w:t>
            </w:r>
            <w:r>
              <w:rPr>
                <w:rFonts w:hint="eastAsia" w:ascii="Times New Roman" w:hAnsi="Times New Roman" w:eastAsia="宋体" w:cs="Times New Roman"/>
                <w:lang w:val="en-US" w:eastAsia="zh-CN"/>
              </w:rPr>
              <w:t>。项目选址不涉及自然保护区、风景名胜区、饮用水水源保护区、世界文化及自然遗产地等生态环境敏感区，避让了生态保护红线、生态公益林、基本农田，选址符合环境保护要求。</w:t>
            </w:r>
          </w:p>
          <w:p w14:paraId="2F792D98">
            <w:pPr>
              <w:numPr>
                <w:ilvl w:val="0"/>
                <w:numId w:val="0"/>
              </w:numPr>
              <w:spacing w:line="360" w:lineRule="auto"/>
              <w:ind w:firstLine="48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项目主要污染为施工期生态影响、噪声影响、扬尘影响，在采取相应的措施后均能达到相应质量标准，对周围环境的影响是短暂的，随着施工的结束而消失。运营期主</w:t>
            </w:r>
            <w:r>
              <w:rPr>
                <w:rFonts w:hint="eastAsia" w:ascii="Times New Roman" w:hAnsi="Times New Roman" w:eastAsia="宋体" w:cs="Times New Roman"/>
                <w:color w:val="auto"/>
                <w:lang w:val="en-US" w:eastAsia="zh-CN"/>
              </w:rPr>
              <w:t>要影响为废水影响</w:t>
            </w:r>
            <w:r>
              <w:rPr>
                <w:rFonts w:hint="eastAsia" w:ascii="Times New Roman" w:hAnsi="Times New Roman" w:eastAsia="宋体" w:cs="Times New Roman"/>
                <w:lang w:val="en-US" w:eastAsia="zh-CN"/>
              </w:rPr>
              <w:t>、固体废物影响、生态环境影响、环境风险等，本项目在采取本评价提出的各项污染防治对策措施和生态保护措施后，项目产生的环境影响均可得到有效控制，能够满足当地环境保护的要求，且不会改变当地的环境功能。</w:t>
            </w:r>
          </w:p>
          <w:p w14:paraId="6ED2680A">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综上所述，本项目选址环境合理。</w:t>
            </w:r>
          </w:p>
          <w:p w14:paraId="0EA72DF4">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（2）弃渣场选址环境合理性分</w:t>
            </w:r>
          </w:p>
          <w:p w14:paraId="16DC967E">
            <w:pPr>
              <w:numPr>
                <w:ilvl w:val="0"/>
                <w:numId w:val="0"/>
              </w:numPr>
              <w:spacing w:line="360" w:lineRule="auto"/>
              <w:ind w:firstLine="480" w:firstLineChars="200"/>
              <w:rPr>
                <w:rFonts w:hint="eastAsia" w:ascii="Times New Roman" w:hAnsi="Times New Roman" w:eastAsia="宋体" w:cs="Times New Roman"/>
                <w:b/>
                <w:bCs/>
                <w:lang w:val="en-US" w:eastAsia="zh-CN"/>
              </w:rPr>
            </w:pPr>
            <w:r>
              <w:rPr>
                <w:rFonts w:hint="default" w:ascii="Times New Roman" w:hAnsi="Times New Roman" w:eastAsia="宋体" w:cs="Times New Roman"/>
                <w:color w:val="auto"/>
                <w:sz w:val="24"/>
                <w:szCs w:val="20"/>
              </w:rPr>
              <w:t>根据本工程地形及施工布置特点，本工程挖填平衡，不设置弃渣场。</w:t>
            </w:r>
          </w:p>
          <w:p w14:paraId="4E729EE6">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（3）表土堆场选址环境合理性分析</w:t>
            </w:r>
          </w:p>
          <w:p w14:paraId="41F5FA20">
            <w:pPr>
              <w:numPr>
                <w:ilvl w:val="0"/>
                <w:numId w:val="0"/>
              </w:numPr>
              <w:spacing w:line="360" w:lineRule="auto"/>
              <w:ind w:firstLine="480" w:firstLineChars="200"/>
              <w:rPr>
                <w:rFonts w:hint="eastAsia" w:ascii="Times New Roman" w:hAnsi="Times New Roman" w:eastAsia="宋体" w:cs="Times New Roman"/>
                <w:lang w:val="en-US" w:eastAsia="zh-CN"/>
              </w:rPr>
            </w:pPr>
            <w:r>
              <w:rPr>
                <w:rFonts w:hint="default" w:ascii="Times New Roman" w:hAnsi="Times New Roman" w:eastAsia="宋体" w:cs="Times New Roman"/>
                <w:color w:val="auto"/>
                <w:sz w:val="24"/>
                <w:szCs w:val="24"/>
                <w:lang w:bidi="ar"/>
              </w:rPr>
              <w:t>项目区内可剥离表土0.</w:t>
            </w:r>
            <w:r>
              <w:rPr>
                <w:rFonts w:hint="eastAsia" w:ascii="Times New Roman" w:hAnsi="Times New Roman" w:eastAsia="宋体" w:cs="Times New Roman"/>
                <w:color w:val="auto"/>
                <w:sz w:val="24"/>
                <w:szCs w:val="24"/>
                <w:lang w:val="en-US" w:eastAsia="zh-CN" w:bidi="ar"/>
              </w:rPr>
              <w:t>95</w:t>
            </w:r>
            <w:r>
              <w:rPr>
                <w:rFonts w:hint="default" w:ascii="Times New Roman" w:hAnsi="Times New Roman" w:eastAsia="宋体" w:cs="Times New Roman"/>
                <w:color w:val="auto"/>
                <w:sz w:val="24"/>
                <w:szCs w:val="24"/>
                <w:lang w:bidi="ar"/>
              </w:rPr>
              <w:t>万m³。集电线路剥离的表土堆放在管沟一侧，升压站区剥离的表土堆放在升压站区西南侧红线范围内空地上</w:t>
            </w:r>
            <w:r>
              <w:rPr>
                <w:rFonts w:hint="default" w:ascii="Times New Roman" w:hAnsi="Times New Roman" w:cs="Times New Roman"/>
                <w:lang w:val="en-US" w:eastAsia="zh-CN"/>
              </w:rPr>
              <w:t>，剥离表土全部用于项目植被恢复覆土回填</w:t>
            </w:r>
            <w:r>
              <w:rPr>
                <w:rFonts w:hint="eastAsia" w:ascii="Times New Roman" w:hAnsi="Times New Roman" w:eastAsia="宋体" w:cs="Times New Roman"/>
                <w:lang w:val="en-US" w:eastAsia="zh-CN"/>
              </w:rPr>
              <w:t>。选址位于项目区域，选址不新增临时占地，减小了因新增临时占地产生的地表扰动和植被破坏。表土堆场不涉及自然保护区、风景名胜区、饮用水水源保护区、 世界文化及自然遗产地等生态环境敏感区，避让了生态保护红线、生态公益林、基本农田。因此项目表土堆场选址合理。</w:t>
            </w:r>
          </w:p>
          <w:p w14:paraId="58D1E5AD">
            <w:pPr>
              <w:numPr>
                <w:ilvl w:val="0"/>
                <w:numId w:val="0"/>
              </w:numPr>
              <w:spacing w:line="360" w:lineRule="auto"/>
              <w:ind w:firstLine="482" w:firstLineChars="200"/>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（3）施工场（营）地选址环境合理性分析</w:t>
            </w:r>
          </w:p>
          <w:p w14:paraId="0348BDE7">
            <w:pPr>
              <w:spacing w:line="360" w:lineRule="auto"/>
              <w:ind w:firstLine="480" w:firstLineChars="200"/>
              <w:rPr>
                <w:rFonts w:hint="default" w:ascii="Times New Roman" w:hAnsi="Times New Roman" w:eastAsia="宋体" w:cs="Times New Roman"/>
                <w:color w:val="auto"/>
                <w:sz w:val="24"/>
                <w:szCs w:val="20"/>
                <w:highlight w:val="lightGray"/>
              </w:rPr>
            </w:pPr>
            <w:r>
              <w:rPr>
                <w:rFonts w:hint="eastAsia" w:ascii="Times New Roman" w:hAnsi="Times New Roman" w:eastAsia="宋体" w:cs="Times New Roman"/>
                <w:lang w:val="en-US" w:eastAsia="zh-CN"/>
              </w:rPr>
              <w:t>项目施工场（营）地选址于项目升压站永久征地区域，不新增临时用地，减小了因新增临时占地产生的地表扰动和植被破坏。</w:t>
            </w:r>
            <w:r>
              <w:rPr>
                <w:rFonts w:hint="default" w:ascii="Times New Roman" w:hAnsi="Times New Roman" w:eastAsia="宋体" w:cs="Times New Roman"/>
                <w:color w:val="auto"/>
                <w:sz w:val="24"/>
                <w:szCs w:val="20"/>
              </w:rPr>
              <w:t>场址内共设置1套</w:t>
            </w:r>
            <w:r>
              <w:rPr>
                <w:rFonts w:hint="default" w:ascii="Times New Roman" w:hAnsi="Times New Roman" w:eastAsia="宋体" w:cs="Times New Roman"/>
                <w:color w:val="auto"/>
                <w:sz w:val="24"/>
                <w:szCs w:val="20"/>
                <w:lang w:val="en-US" w:eastAsia="zh-CN"/>
              </w:rPr>
              <w:t>值班人员管理设施</w:t>
            </w:r>
            <w:r>
              <w:rPr>
                <w:rFonts w:hint="default" w:ascii="Times New Roman" w:hAnsi="Times New Roman" w:eastAsia="宋体" w:cs="Times New Roman"/>
                <w:color w:val="auto"/>
                <w:sz w:val="24"/>
                <w:szCs w:val="20"/>
              </w:rPr>
              <w:t>。施工现场主要设置的临建设施有：混凝土拌和区、施工</w:t>
            </w:r>
            <w:r>
              <w:rPr>
                <w:rFonts w:hint="default" w:ascii="Times New Roman" w:hAnsi="Times New Roman" w:eastAsia="宋体" w:cs="Times New Roman"/>
                <w:color w:val="auto"/>
                <w:sz w:val="24"/>
                <w:szCs w:val="20"/>
                <w:lang w:val="en-US" w:eastAsia="zh-CN"/>
              </w:rPr>
              <w:t>材料堆放区等</w:t>
            </w:r>
            <w:r>
              <w:rPr>
                <w:rFonts w:hint="default" w:ascii="Times New Roman" w:hAnsi="Times New Roman" w:eastAsia="宋体" w:cs="Times New Roman"/>
                <w:color w:val="auto"/>
                <w:sz w:val="24"/>
                <w:szCs w:val="20"/>
              </w:rPr>
              <w:t>，从安全及环保角度出发，在与光伏电池组件相邻的地势较平坦区域设置，同时生活区靠近仓库。</w:t>
            </w:r>
          </w:p>
          <w:p w14:paraId="76821F77">
            <w:pPr>
              <w:spacing w:line="36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在施工临时生产生活设施布置时充分考虑了项目的实际特点，最大限度地减小了临时设施的新占用土地，减少了地表扰动面积，降低了施工造成的水土流失；施工场地不占用基本农田，施工场地周边500m范围内没有重要水体分布，因此，选址从环境的角度分析是可行的。</w:t>
            </w:r>
          </w:p>
          <w:p w14:paraId="30836BA9">
            <w:pPr>
              <w:numPr>
                <w:ilvl w:val="0"/>
                <w:numId w:val="0"/>
              </w:numPr>
              <w:spacing w:line="360" w:lineRule="auto"/>
              <w:ind w:firstLine="480" w:firstLineChars="200"/>
              <w:rPr>
                <w:rFonts w:hint="eastAsia"/>
                <w:lang w:val="en-US" w:eastAsia="zh-CN"/>
              </w:rPr>
            </w:pPr>
          </w:p>
        </w:tc>
      </w:tr>
    </w:tbl>
    <w:p w14:paraId="41FFA35A">
      <w:pPr>
        <w:pStyle w:val="27"/>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FF1B5E">
      <w:pPr>
        <w:pStyle w:val="20"/>
        <w:numPr>
          <w:ilvl w:val="0"/>
          <w:numId w:val="13"/>
        </w:numPr>
        <w:jc w:val="center"/>
        <w:outlineLvl w:val="0"/>
        <w:rPr>
          <w:rFonts w:hint="eastAsia" w:ascii="黑体" w:hAnsi="黑体" w:eastAsia="黑体"/>
          <w:snapToGrid w:val="0"/>
          <w:sz w:val="30"/>
          <w:szCs w:val="30"/>
        </w:rPr>
      </w:pPr>
      <w:bookmarkStart w:id="25" w:name="_Toc11293"/>
      <w:bookmarkStart w:id="26" w:name="_Toc8274"/>
      <w:bookmarkStart w:id="27" w:name="_Toc31245"/>
      <w:bookmarkStart w:id="28" w:name="_Toc17031"/>
      <w:r>
        <w:rPr>
          <w:rFonts w:hint="eastAsia" w:ascii="黑体" w:hAnsi="黑体" w:eastAsia="黑体"/>
          <w:snapToGrid w:val="0"/>
          <w:sz w:val="30"/>
          <w:szCs w:val="30"/>
        </w:rPr>
        <w:t>主要生态环境保护措施</w:t>
      </w:r>
      <w:bookmarkEnd w:id="25"/>
      <w:bookmarkEnd w:id="26"/>
      <w:bookmarkEnd w:id="27"/>
      <w:bookmarkEnd w:id="28"/>
    </w:p>
    <w:tbl>
      <w:tblPr>
        <w:tblStyle w:val="21"/>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71BFA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753" w:type="dxa"/>
            <w:tcMar>
              <w:left w:w="28" w:type="dxa"/>
              <w:right w:w="28" w:type="dxa"/>
            </w:tcMar>
            <w:vAlign w:val="center"/>
          </w:tcPr>
          <w:p w14:paraId="26D2B5F6">
            <w:pPr>
              <w:adjustRightInd w:val="0"/>
              <w:snapToGrid w:val="0"/>
              <w:jc w:val="center"/>
              <w:rPr>
                <w:rFonts w:ascii="宋体" w:hAnsi="宋体"/>
                <w:b/>
                <w:bCs w:val="0"/>
                <w:sz w:val="24"/>
                <w:szCs w:val="24"/>
              </w:rPr>
            </w:pPr>
            <w:r>
              <w:rPr>
                <w:rFonts w:hint="eastAsia" w:ascii="宋体" w:hAnsi="宋体" w:cs="宋体"/>
                <w:b w:val="0"/>
                <w:bCs/>
                <w:spacing w:val="10"/>
                <w:sz w:val="24"/>
                <w:szCs w:val="24"/>
              </w:rPr>
              <w:t>施工期生态环境保护措施</w:t>
            </w:r>
          </w:p>
        </w:tc>
        <w:tc>
          <w:tcPr>
            <w:tcW w:w="8457" w:type="dxa"/>
            <w:vAlign w:val="top"/>
          </w:tcPr>
          <w:p w14:paraId="78949C35">
            <w:pPr>
              <w:numPr>
                <w:ilvl w:val="0"/>
                <w:numId w:val="0"/>
              </w:numPr>
              <w:spacing w:line="360" w:lineRule="auto"/>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生态环境保护措施</w:t>
            </w:r>
          </w:p>
          <w:p w14:paraId="3B192822">
            <w:pPr>
              <w:numPr>
                <w:ilvl w:val="0"/>
                <w:numId w:val="0"/>
              </w:num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1、植物保护措施</w:t>
            </w:r>
          </w:p>
          <w:p w14:paraId="2677059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（1）合理规划使用永久占地范围内的土地，临时工程应尽可能利用永久占 地。减少临时占地对植物的影响。新增临时占地时，必须补报。严格控制施工活动区域，必须在规定的作业范围内活动。</w:t>
            </w:r>
          </w:p>
          <w:p w14:paraId="64E28BE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（2）加强对施工人员的宣传教育，禁止破坏占地以外的植被，还应在施工 时采取宣传监管等保护措施。抓好临时用工人员的管理，不得随意使用当地活 木作为燃料，以防止发生</w:t>
            </w:r>
            <w:r>
              <w:rPr>
                <w:rFonts w:hint="eastAsia" w:ascii="Times New Roman" w:hAnsi="Times New Roman" w:cs="Times New Roman"/>
                <w:lang w:val="en-US" w:eastAsia="zh-CN"/>
              </w:rPr>
              <w:t>乱砍滥伐</w:t>
            </w:r>
            <w:r>
              <w:rPr>
                <w:rFonts w:hint="default" w:ascii="Times New Roman" w:hAnsi="Times New Roman" w:cs="Times New Roman"/>
                <w:lang w:val="en-US" w:eastAsia="zh-CN"/>
              </w:rPr>
              <w:t>。</w:t>
            </w:r>
          </w:p>
          <w:p w14:paraId="2337C0A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（3）对施工表土进行集中堆存，施工完毕后用于升压站区绿化，宜就地采 集当地植物的种子、幼苗进行种植，不能采用外来物种。</w:t>
            </w:r>
          </w:p>
          <w:p w14:paraId="2E58D769">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（4）施工结束后应督促施工单位及时拆除临时建筑，清理、恢复土层，采 用当地植物对临时占用的集电线路区和场内道路边坡进行“恢复性”种植，促进自然恢复。</w:t>
            </w:r>
          </w:p>
          <w:p w14:paraId="1B8BD32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（5）对光伏方阵空地和未利用地等不扰动区域加强管理，严格控制施工扰 动范围，太阳能电池板等设备安装控制在扰动范围内，禁止对光伏方阵空地不 扰动区域的植被造成破坏。</w:t>
            </w:r>
          </w:p>
          <w:p w14:paraId="3300C99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（6）严格执行项目水土保持方案提出的水保工程措施及植物措施。</w:t>
            </w:r>
          </w:p>
          <w:p w14:paraId="6580BE39">
            <w:pPr>
              <w:numPr>
                <w:ilvl w:val="0"/>
                <w:numId w:val="0"/>
              </w:numPr>
              <w:spacing w:line="360" w:lineRule="auto"/>
              <w:ind w:firstLine="482" w:firstLineChars="200"/>
              <w:rPr>
                <w:rFonts w:hint="default" w:ascii="Times New Roman" w:hAnsi="Times New Roman" w:cs="Times New Roman"/>
                <w:b/>
                <w:bCs/>
                <w:lang w:val="en-US" w:eastAsia="zh-CN"/>
              </w:rPr>
            </w:pPr>
            <w:r>
              <w:rPr>
                <w:rFonts w:hint="default" w:ascii="Times New Roman" w:hAnsi="Times New Roman" w:cs="Times New Roman"/>
                <w:b/>
                <w:bCs/>
                <w:lang w:val="en-US" w:eastAsia="zh-CN"/>
              </w:rPr>
              <w:t>2、陆生脊椎动物保护措施</w:t>
            </w:r>
          </w:p>
          <w:p w14:paraId="5271064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（1）加强施工单位和施工人员以及电站运行管理人员的宣传教育，通过标 志牌、法律宣传等措施进行宣传，严禁猎杀野生动物，并通过对违法活动进行举报奖励的措施以制止偷猎活动。</w:t>
            </w:r>
          </w:p>
          <w:p w14:paraId="046F673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（2）设立专职或兼职的林政监督管理人员，依法和依据本报告表的要求对 生物多样性和生态环境的保护进行监督检查。</w:t>
            </w:r>
          </w:p>
          <w:p w14:paraId="4518F85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（3）保护野生动物的栖息地，施工结束后临建设施要及时进行拆除、清理 以及生态恢复。</w:t>
            </w:r>
          </w:p>
          <w:p w14:paraId="369DD1D8">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二、</w:t>
            </w:r>
            <w:r>
              <w:rPr>
                <w:rFonts w:hint="default" w:ascii="Times New Roman" w:hAnsi="Times New Roman" w:cs="Times New Roman"/>
                <w:b/>
                <w:bCs/>
                <w:lang w:val="en-US" w:eastAsia="zh-CN"/>
              </w:rPr>
              <w:t>水土保持措施</w:t>
            </w:r>
          </w:p>
          <w:p w14:paraId="75F6A1EC">
            <w:pPr>
              <w:numPr>
                <w:ilvl w:val="0"/>
                <w:numId w:val="0"/>
              </w:numPr>
              <w:spacing w:line="360" w:lineRule="auto"/>
              <w:ind w:firstLine="480" w:firstLineChars="200"/>
              <w:rPr>
                <w:rFonts w:hint="default" w:ascii="Times New Roman" w:hAnsi="Times New Roman" w:eastAsia="宋体" w:cs="Times New Roman"/>
                <w:color w:val="auto"/>
                <w:kern w:val="28"/>
                <w:sz w:val="24"/>
              </w:rPr>
            </w:pPr>
            <w:r>
              <w:rPr>
                <w:rFonts w:hint="default" w:ascii="Times New Roman" w:hAnsi="Times New Roman" w:cs="Times New Roman"/>
                <w:lang w:val="en-US" w:eastAsia="zh-CN"/>
              </w:rPr>
              <w:t>①做好施工监督管理及组织设计。制定完善可行的水土保持管理监督措施，严格按照工程设计、施工进度计划和施工工序进行施工，降低人为因素造成的水土流失。在工程施工</w:t>
            </w:r>
            <w:r>
              <w:rPr>
                <w:rFonts w:hint="default" w:ascii="Times New Roman" w:hAnsi="Times New Roman" w:eastAsia="宋体" w:cs="Times New Roman"/>
                <w:color w:val="auto"/>
                <w:kern w:val="28"/>
                <w:sz w:val="24"/>
              </w:rPr>
              <w:t>中，优化施工组织设计，尽可能减少基础开挖土石方，将开挖石方用于基础浇筑；</w:t>
            </w:r>
          </w:p>
          <w:p w14:paraId="4C462D02">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②尽可能的避开在大风和雨天条件下施工，及时做好裸露面的覆盖挡护措施；</w:t>
            </w:r>
            <w:r>
              <w:rPr>
                <w:rFonts w:hint="eastAsia" w:ascii="Times New Roman" w:hAnsi="Times New Roman" w:eastAsia="宋体" w:cs="Times New Roman"/>
                <w:color w:val="auto"/>
                <w:sz w:val="24"/>
                <w:lang w:val="en-US" w:eastAsia="zh-CN"/>
              </w:rPr>
              <w:t>施工期场内道路区剥离的表土堆放在道路一侧，对临时堆表土带进行临时拦挡，采用编织土袋拦挡，沿堆土带外侧单侧布设，编制土袋挡墙高</w:t>
            </w:r>
            <w:r>
              <w:rPr>
                <w:rFonts w:hint="default" w:ascii="Times New Roman" w:hAnsi="Times New Roman" w:eastAsia="宋体" w:cs="Times New Roman"/>
                <w:color w:val="auto"/>
                <w:sz w:val="24"/>
                <w:lang w:val="en-US" w:eastAsia="zh-CN"/>
              </w:rPr>
              <w:t>1m</w:t>
            </w:r>
            <w:r>
              <w:rPr>
                <w:rFonts w:hint="eastAsia" w:ascii="Times New Roman" w:hAnsi="Times New Roman" w:eastAsia="宋体" w:cs="Times New Roman"/>
                <w:color w:val="auto"/>
                <w:sz w:val="24"/>
                <w:lang w:val="en-US" w:eastAsia="zh-CN"/>
              </w:rPr>
              <w:t xml:space="preserve">，底宽 </w:t>
            </w:r>
            <w:r>
              <w:rPr>
                <w:rFonts w:hint="default" w:ascii="Times New Roman" w:hAnsi="Times New Roman" w:eastAsia="宋体" w:cs="Times New Roman"/>
                <w:color w:val="auto"/>
                <w:sz w:val="24"/>
                <w:lang w:val="en-US" w:eastAsia="zh-CN"/>
              </w:rPr>
              <w:t>1.2m</w:t>
            </w:r>
            <w:r>
              <w:rPr>
                <w:rFonts w:hint="eastAsia" w:ascii="Times New Roman" w:hAnsi="Times New Roman" w:eastAsia="宋体" w:cs="Times New Roman"/>
                <w:color w:val="auto"/>
                <w:sz w:val="24"/>
                <w:lang w:val="en-US" w:eastAsia="zh-CN"/>
              </w:rPr>
              <w:t>，顶宽</w:t>
            </w:r>
            <w:r>
              <w:rPr>
                <w:rFonts w:hint="default" w:ascii="Times New Roman" w:hAnsi="Times New Roman" w:eastAsia="宋体" w:cs="Times New Roman"/>
                <w:color w:val="auto"/>
                <w:sz w:val="24"/>
                <w:lang w:val="en-US" w:eastAsia="zh-CN"/>
              </w:rPr>
              <w:t>0.5m</w:t>
            </w:r>
            <w:r>
              <w:rPr>
                <w:rFonts w:hint="eastAsia" w:ascii="Times New Roman" w:hAnsi="Times New Roman" w:eastAsia="宋体" w:cs="Times New Roman"/>
                <w:color w:val="auto"/>
                <w:sz w:val="24"/>
                <w:lang w:val="en-US" w:eastAsia="zh-CN"/>
              </w:rPr>
              <w:t>，根据施工工序合理安排衔接，编制土袋重复利用。同时采用彩条布临时苫盖对临时堆土带进行覆盖，防治降雨影响产生溅蚀，造成水土流失。</w:t>
            </w:r>
          </w:p>
          <w:p w14:paraId="13B0D419">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③在满足工程施工、光伏板装要求的前提下，尽量减小该区的扰动面积和对地表的扰动程度；在道路内侧布设排水沟，加强后期运行管护，保证排水沟通畅；施工结束后应定期对沉砂池、水窖及配套沉砂井进行清理，以发挥其沉淀、过滤的功能。</w:t>
            </w:r>
          </w:p>
          <w:p w14:paraId="7520733A">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④建设期应加强对各项水土保持设施的管理和维护，定期检查其运行状况，防患于未然，发现问题及时采取补救或整改措施。场地回填时要做到及时分层压实，土石方和砂石料应尽量避免过高，尽量缩短堆放周期，若造成临时堆放，应采取必要的临时防护措施。</w:t>
            </w:r>
          </w:p>
          <w:p w14:paraId="1B9552C4">
            <w:pPr>
              <w:adjustRightInd w:val="0"/>
              <w:snapToGrid w:val="0"/>
              <w:spacing w:line="360" w:lineRule="auto"/>
              <w:ind w:firstLine="470" w:firstLineChars="196"/>
              <w:rPr>
                <w:rFonts w:hint="default" w:ascii="Times New Roman" w:hAnsi="Times New Roman" w:eastAsia="宋体" w:cs="Times New Roman"/>
                <w:color w:val="auto"/>
                <w:kern w:val="28"/>
                <w:sz w:val="24"/>
              </w:rPr>
            </w:pPr>
            <w:r>
              <w:rPr>
                <w:rFonts w:hint="default" w:ascii="Times New Roman" w:hAnsi="Times New Roman" w:eastAsia="宋体" w:cs="Times New Roman"/>
                <w:color w:val="auto"/>
                <w:kern w:val="28"/>
                <w:sz w:val="24"/>
              </w:rPr>
              <w:t>⑤对光伏方阵空地不扰动区域加强管理，严格控制施工扰动范围，太阳能电池板等设备安装控制在扰动范围内。场内道路区施工期间定期洒水降尘。</w:t>
            </w:r>
          </w:p>
          <w:p w14:paraId="5F0E0D11">
            <w:pPr>
              <w:spacing w:line="360" w:lineRule="auto"/>
              <w:ind w:firstLine="480" w:firstLineChars="200"/>
              <w:rPr>
                <w:rFonts w:hint="default"/>
                <w:lang w:val="en-US" w:eastAsia="zh-CN"/>
              </w:rPr>
            </w:pPr>
            <w:r>
              <w:rPr>
                <w:rFonts w:hint="default" w:ascii="Times New Roman" w:hAnsi="Times New Roman" w:eastAsia="宋体" w:cs="Times New Roman"/>
                <w:color w:val="auto"/>
                <w:sz w:val="24"/>
                <w:szCs w:val="24"/>
              </w:rPr>
              <w:t>⑥</w:t>
            </w:r>
            <w:r>
              <w:rPr>
                <w:rFonts w:hint="eastAsia" w:ascii="Times New Roman" w:hAnsi="Times New Roman" w:eastAsia="宋体" w:cs="Times New Roman"/>
                <w:color w:val="auto"/>
                <w:sz w:val="24"/>
                <w:lang w:val="en-US" w:eastAsia="zh-CN"/>
              </w:rPr>
              <w:t>沿临时施工场地四周布置临时排水沟排除区域内的雨水，临时排水沟采用土质排水沟，开挖后进行素土夯实，内部铺设土工膜，采用梯形断面，并在排水沟末端各设置临时沉沙池。施工期临时堆放的表土采用编织土袋拦挡，沿堆土带外侧单侧布设，并采用彩条布进行临时苫盖，根据施工工序合理安排衔接，彩条布重复利用。施工结 束后及时对场地进行撒草绿化。</w:t>
            </w:r>
          </w:p>
          <w:p w14:paraId="710181FA">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三、</w:t>
            </w:r>
            <w:r>
              <w:rPr>
                <w:rFonts w:hint="default" w:ascii="Times New Roman" w:hAnsi="Times New Roman" w:cs="Times New Roman"/>
                <w:b/>
                <w:bCs/>
                <w:lang w:val="en-US" w:eastAsia="zh-CN"/>
              </w:rPr>
              <w:t>大气污染防治措施</w:t>
            </w:r>
          </w:p>
          <w:p w14:paraId="2EFEBCC6">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（1）配置1辆洒水车，在施工场地安排施工人员定期对施工场地洒水以减 少扬尘量，洒水次数根据天气状况而定，施工土方开挖、搬运，应避免在大风天气时进行；</w:t>
            </w:r>
          </w:p>
          <w:p w14:paraId="4035468C">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（2）在施工中合理组织施工，缩短施工时间，尽量减少施工污染；</w:t>
            </w:r>
          </w:p>
          <w:p w14:paraId="1F053EA5">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（3）粉细散装材料，应尽量采取库内存放，如露天存放应采用防尘网遮盖；</w:t>
            </w:r>
          </w:p>
          <w:p w14:paraId="2C432448">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（4）加强监督管理，运输车辆采取篷布遮盖等封闭措施，以避免运输途中 砂石、水泥等散体材料洒落；运输车辆不得超量运载；运输车辆经过村庄路段应减速行驶，并安排专人定期对运输道路进行维护清扫、洒水降尘；</w:t>
            </w:r>
          </w:p>
          <w:p w14:paraId="5BBA787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（5）临时表土堆场设置临时拦挡，并采用土工布遮盖，表土装卸作业过程 中采取洒水降尘；</w:t>
            </w:r>
          </w:p>
          <w:p w14:paraId="143E4B89">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（6）本工程建设施工应由建设单位指定专人负责施工现场扬尘污染措施的 实施和监督。施工工地出入口必须设立环境保护监督牌。必须注明项目名称、 建设单位、施工单位、防治扬尘污染现场监督员姓名和联系电话、项目工程、生态环境措施、举报电话等内容；</w:t>
            </w:r>
          </w:p>
          <w:p w14:paraId="238E5B1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（7）出现五级以上大风天气时，禁止进行土方等易产生扬尘污染的施工作 业；</w:t>
            </w:r>
          </w:p>
          <w:p w14:paraId="1059BD1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（8）加强对施工车辆的检修和维护，严禁使用超期服役和尾气超标的车辆。 对施工期间进出施工现场车流量进行合理安排，防止施工现场车流量过大。尽 可能使用耗油低，排气小的施工车辆，选用优质燃油，减少机械和车辆的有害废气排放。</w:t>
            </w:r>
          </w:p>
          <w:p w14:paraId="667802ED">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水污染防治措施</w:t>
            </w:r>
          </w:p>
          <w:p w14:paraId="6027D08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（1）注意施工期节约用水，减少施工废水的产生，且尽量避免雨季土石方 施工暴雨期间停止施工；</w:t>
            </w:r>
          </w:p>
          <w:p w14:paraId="498DC1A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（2）为避免挖方弃土长期堆置，增加水土流失，应统一规划，合理安排挖 填方的工作量和工作进度，尽可能减少雨季期间的堆置量；</w:t>
            </w:r>
          </w:p>
          <w:p w14:paraId="3A853F07">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（3）在施工场地区设置1座3m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的沉淀池，用于施工废水，产生的废水经沉淀池处理后，全部回用于施工用水及场地洒水降尘，不外排；</w:t>
            </w:r>
          </w:p>
          <w:p w14:paraId="22C6AEF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（4）每个施工营地附近拟设旱厕一座，粪尿污水进入旱厕，旱厕定期清掏， 全部用于周边农用施肥，不外排；每个施工营地内设置1座1m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的隔油池和1座4m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的沉淀池，餐饮废水经隔油池、沉淀池处理，其余生活污水经沉淀池处理后，全部回用于施工场地洒水降尘或周围灌木丛或草地的浇水，不外排。</w:t>
            </w:r>
          </w:p>
          <w:p w14:paraId="7992A7F2">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（5）施工期间应按照水保要求优先完成区内排水沟和沉砂池，场区雨水经 沉砂池沉淀处理后，接入周围箐沟。</w:t>
            </w:r>
          </w:p>
          <w:p w14:paraId="666C6CA9">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w:t>
            </w:r>
            <w:r>
              <w:rPr>
                <w:rFonts w:hint="eastAsia" w:ascii="Times New Roman" w:hAnsi="Times New Roman" w:cs="Times New Roman"/>
                <w:lang w:val="en-US" w:eastAsia="zh-CN"/>
              </w:rPr>
              <w:t>6</w:t>
            </w:r>
            <w:r>
              <w:rPr>
                <w:rFonts w:hint="default" w:ascii="Times New Roman" w:hAnsi="Times New Roman" w:cs="Times New Roman"/>
                <w:lang w:val="en-US" w:eastAsia="zh-CN"/>
              </w:rPr>
              <w:t>）禁止在水体</w:t>
            </w:r>
            <w:r>
              <w:rPr>
                <w:rFonts w:hint="eastAsia" w:ascii="Times New Roman" w:hAnsi="Times New Roman" w:cs="Times New Roman"/>
                <w:lang w:val="en-US" w:eastAsia="zh-CN"/>
              </w:rPr>
              <w:t>附近</w:t>
            </w:r>
            <w:r>
              <w:rPr>
                <w:rFonts w:hint="default" w:ascii="Times New Roman" w:hAnsi="Times New Roman" w:cs="Times New Roman"/>
                <w:lang w:val="en-US" w:eastAsia="zh-CN"/>
              </w:rPr>
              <w:t>临时堆放表土。</w:t>
            </w:r>
          </w:p>
          <w:p w14:paraId="6E191278">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噪声污染防治措施</w:t>
            </w:r>
          </w:p>
          <w:p w14:paraId="4D8F9448">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（1）建筑施工单位应当采取有效措施，施工区外围设置临时移动声屏障， 降低施工噪声污染，所排放的建筑施工噪声，应当符合国家规定的建筑施工场 界噪声限值；</w:t>
            </w:r>
          </w:p>
          <w:p w14:paraId="2558AD85">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（2）运输材料过程中应合理安排时间，避免夜间通过周围村庄，减少对沿 线村庄的影响；</w:t>
            </w:r>
          </w:p>
          <w:p w14:paraId="14444A91">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（3）选用性能良好的低噪声施工机械设备，加强施工机械的维修、管理， 保证施工机械处于低噪声、高效率的良好工作状态；</w:t>
            </w:r>
          </w:p>
          <w:p w14:paraId="72F3BACE">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（4）施工期运输车辆应尽量保持良好车况，合理调度，尽可能匀速慢行。</w:t>
            </w:r>
          </w:p>
          <w:p w14:paraId="39518A2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（5）整个项目施工期应提前告知周围村庄居民，做好沟通工作，施工时为 避免施工噪声扰民，要合理安排施工时间，合理布局施工现场；避免在同一时间集中使用大量的动力机械设备，禁止夜间施工。</w:t>
            </w:r>
          </w:p>
          <w:p w14:paraId="19AD5E36">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固体废物处置措施</w:t>
            </w:r>
          </w:p>
          <w:p w14:paraId="1B41AC0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（1）施工单位不得将建筑垃圾交给个人或者未经核准从事建筑垃圾运输的 单位运输，应全部委托有资质的单位处理，施工建筑垃圾应及时清运处置；</w:t>
            </w:r>
          </w:p>
          <w:p w14:paraId="18372C8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（2）项目内产生的土石方不随意堆放和倾倒，项目开挖产生的土石方应及 时在场地区回填利用，不产生弃方；</w:t>
            </w:r>
          </w:p>
          <w:p w14:paraId="581C10E9">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（3）项目设置临时表土堆场，堆存的剥离表土，用于后期项目区内的绿化 覆土；</w:t>
            </w:r>
          </w:p>
          <w:p w14:paraId="4D90ECB3">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（4）每个施工营地区设置</w:t>
            </w:r>
            <w:r>
              <w:rPr>
                <w:rFonts w:hint="eastAsia" w:ascii="Times New Roman" w:hAnsi="Times New Roman" w:cs="Times New Roman"/>
                <w:lang w:val="en-US" w:eastAsia="zh-CN"/>
              </w:rPr>
              <w:t>1</w:t>
            </w:r>
            <w:r>
              <w:rPr>
                <w:rFonts w:hint="default" w:ascii="Times New Roman" w:hAnsi="Times New Roman" w:cs="Times New Roman"/>
                <w:lang w:val="en-US" w:eastAsia="zh-CN"/>
              </w:rPr>
              <w:t>个生活垃圾收集</w:t>
            </w:r>
            <w:r>
              <w:rPr>
                <w:rFonts w:hint="eastAsia" w:ascii="Times New Roman" w:hAnsi="Times New Roman" w:cs="Times New Roman"/>
                <w:lang w:val="en-US" w:eastAsia="zh-CN"/>
              </w:rPr>
              <w:t>桶</w:t>
            </w:r>
            <w:r>
              <w:rPr>
                <w:rFonts w:hint="default" w:ascii="Times New Roman" w:hAnsi="Times New Roman" w:cs="Times New Roman"/>
                <w:lang w:val="en-US" w:eastAsia="zh-CN"/>
              </w:rPr>
              <w:t>，施工人员的生活垃圾应定点存放、及时收集，经收集后与附近村庄垃圾一同处置。</w:t>
            </w:r>
          </w:p>
          <w:p w14:paraId="0D7B16B6">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（5）光伏组件、电气设备安装过程中产生的废弃设备零件集中收集后， 回 收利用。</w:t>
            </w:r>
          </w:p>
        </w:tc>
      </w:tr>
      <w:tr w14:paraId="6CA00A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53" w:type="dxa"/>
            <w:tcMar>
              <w:left w:w="28" w:type="dxa"/>
              <w:right w:w="28" w:type="dxa"/>
            </w:tcMar>
            <w:vAlign w:val="center"/>
          </w:tcPr>
          <w:p w14:paraId="68C1E26E">
            <w:pPr>
              <w:adjustRightInd w:val="0"/>
              <w:snapToGrid w:val="0"/>
              <w:jc w:val="center"/>
              <w:rPr>
                <w:rFonts w:ascii="宋体" w:hAnsi="宋体" w:cs="宋体"/>
                <w:b/>
                <w:bCs w:val="0"/>
                <w:spacing w:val="10"/>
                <w:sz w:val="24"/>
                <w:szCs w:val="24"/>
              </w:rPr>
            </w:pPr>
            <w:r>
              <w:rPr>
                <w:rFonts w:hint="eastAsia" w:ascii="宋体" w:hAnsi="宋体" w:cs="宋体"/>
                <w:b w:val="0"/>
                <w:bCs/>
                <w:spacing w:val="10"/>
                <w:sz w:val="24"/>
                <w:szCs w:val="24"/>
              </w:rPr>
              <w:t>运营期生态环境保护措施</w:t>
            </w:r>
          </w:p>
        </w:tc>
        <w:tc>
          <w:tcPr>
            <w:tcW w:w="8457" w:type="dxa"/>
            <w:vAlign w:val="top"/>
          </w:tcPr>
          <w:p w14:paraId="2D6755CB">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一、</w:t>
            </w:r>
            <w:r>
              <w:rPr>
                <w:rFonts w:hint="default" w:ascii="Times New Roman" w:hAnsi="Times New Roman" w:cs="Times New Roman"/>
                <w:b/>
                <w:bCs/>
                <w:lang w:val="en-US" w:eastAsia="zh-CN"/>
              </w:rPr>
              <w:t>大气污染防治措施</w:t>
            </w:r>
          </w:p>
          <w:p w14:paraId="258852E7">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运营期主要是</w:t>
            </w:r>
            <w:r>
              <w:rPr>
                <w:rFonts w:hint="default" w:ascii="Times New Roman" w:hAnsi="Times New Roman" w:eastAsia="宋体" w:cs="Times New Roman"/>
                <w:color w:val="auto"/>
                <w:sz w:val="24"/>
              </w:rPr>
              <w:t>食堂油烟、汽车尾气和异味</w:t>
            </w:r>
            <w:r>
              <w:rPr>
                <w:rFonts w:hint="default" w:ascii="Times New Roman" w:hAnsi="Times New Roman" w:eastAsia="宋体" w:cs="Times New Roman"/>
                <w:bCs/>
                <w:color w:val="auto"/>
                <w:sz w:val="24"/>
              </w:rPr>
              <w:t>，提出的措施是：</w:t>
            </w:r>
          </w:p>
          <w:p w14:paraId="6F9D4205">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1</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项目内应使用电、太阳能等清洁能源；</w:t>
            </w:r>
          </w:p>
          <w:p w14:paraId="67B98A99">
            <w:pPr>
              <w:adjustRightInd w:val="0"/>
              <w:snapToGri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bCs/>
                <w:color w:val="auto"/>
                <w:sz w:val="24"/>
              </w:rPr>
              <w:t>食堂油烟安装抽油烟机，</w:t>
            </w:r>
            <w:r>
              <w:rPr>
                <w:rFonts w:hint="default" w:ascii="Times New Roman" w:hAnsi="Times New Roman" w:eastAsia="宋体" w:cs="Times New Roman"/>
                <w:color w:val="auto"/>
                <w:sz w:val="24"/>
                <w:szCs w:val="20"/>
              </w:rPr>
              <w:t>食堂产生的油烟废气经抽油烟机处理后排放。</w:t>
            </w:r>
          </w:p>
          <w:p w14:paraId="024AD93F">
            <w:pPr>
              <w:adjustRightInd w:val="0"/>
              <w:snapToGrid w:val="0"/>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3</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pacing w:val="10"/>
                <w:sz w:val="24"/>
              </w:rPr>
              <w:t>在化粪池周边进行绿化，并及时清掏，以减少化粪池异味；</w:t>
            </w:r>
            <w:r>
              <w:rPr>
                <w:rFonts w:hint="default" w:ascii="Times New Roman" w:hAnsi="Times New Roman" w:eastAsia="宋体" w:cs="Times New Roman"/>
                <w:color w:val="auto"/>
                <w:sz w:val="24"/>
                <w:szCs w:val="20"/>
              </w:rPr>
              <w:t>垃圾收集设施及生活污水处理设施运营过程中会产生异味，通过加强管理，合理布局、及时清运，</w:t>
            </w:r>
            <w:r>
              <w:rPr>
                <w:rFonts w:hint="default" w:ascii="Times New Roman" w:hAnsi="Times New Roman" w:eastAsia="宋体" w:cs="Times New Roman"/>
                <w:color w:val="auto"/>
                <w:kern w:val="0"/>
                <w:sz w:val="24"/>
              </w:rPr>
              <w:t>垃圾桶设置为封闭式，生活垃圾尽量做到日产日清</w:t>
            </w:r>
            <w:r>
              <w:rPr>
                <w:rFonts w:hint="default" w:ascii="Times New Roman" w:hAnsi="Times New Roman" w:eastAsia="宋体" w:cs="Times New Roman"/>
                <w:bCs/>
                <w:color w:val="auto"/>
                <w:spacing w:val="10"/>
                <w:sz w:val="24"/>
              </w:rPr>
              <w:t>。</w:t>
            </w:r>
          </w:p>
          <w:p w14:paraId="0534406B">
            <w:pPr>
              <w:numPr>
                <w:ilvl w:val="0"/>
                <w:numId w:val="0"/>
              </w:numPr>
              <w:spacing w:line="360" w:lineRule="auto"/>
              <w:ind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二、</w:t>
            </w:r>
            <w:r>
              <w:rPr>
                <w:rFonts w:hint="default" w:ascii="Times New Roman" w:hAnsi="Times New Roman" w:cs="Times New Roman"/>
                <w:b/>
                <w:bCs/>
                <w:color w:val="auto"/>
                <w:lang w:val="en-US" w:eastAsia="zh-CN"/>
              </w:rPr>
              <w:t>水污染防治措施</w:t>
            </w:r>
          </w:p>
          <w:p w14:paraId="2BD233AB">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（1）升压站内实行雨污分流，升压站内食堂废水经1个</w:t>
            </w:r>
            <w:r>
              <w:rPr>
                <w:rFonts w:hint="eastAsia" w:ascii="Times New Roman" w:hAnsi="Times New Roman" w:cs="Times New Roman"/>
                <w:color w:val="auto"/>
                <w:lang w:val="en-US" w:eastAsia="zh-CN"/>
              </w:rPr>
              <w:t>0.5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隔油池隔油后，连同其它生活污水经1个4m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化粪池预处理后</w:t>
            </w:r>
            <w:r>
              <w:rPr>
                <w:rFonts w:hint="eastAsia" w:ascii="Times New Roman" w:hAnsi="Times New Roman" w:cs="Times New Roman"/>
                <w:color w:val="auto"/>
                <w:lang w:val="en-US" w:eastAsia="zh-CN"/>
              </w:rPr>
              <w:t>进入一体式污水站处理，废水</w:t>
            </w:r>
            <w:r>
              <w:rPr>
                <w:rFonts w:hint="default" w:ascii="Times New Roman" w:hAnsi="Times New Roman" w:cs="Times New Roman"/>
                <w:color w:val="auto"/>
                <w:lang w:val="en-US" w:eastAsia="zh-CN"/>
              </w:rPr>
              <w:t>暂存在1个1</w:t>
            </w:r>
            <w:r>
              <w:rPr>
                <w:rFonts w:hint="eastAsia" w:ascii="Times New Roman" w:hAnsi="Times New Roman" w:cs="Times New Roman"/>
                <w:color w:val="auto"/>
                <w:lang w:val="en-US" w:eastAsia="zh-CN"/>
              </w:rPr>
              <w:t>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的</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内，</w:t>
            </w:r>
            <w:r>
              <w:rPr>
                <w:rFonts w:hint="eastAsia" w:ascii="Times New Roman" w:hAnsi="Times New Roman" w:cs="Times New Roman"/>
                <w:color w:val="auto"/>
                <w:lang w:val="en-US" w:eastAsia="zh-CN"/>
              </w:rPr>
              <w:t>晴天用于升压站内绿化浇洒。</w:t>
            </w:r>
            <w:r>
              <w:rPr>
                <w:rFonts w:hint="default" w:ascii="Times New Roman" w:hAnsi="Times New Roman" w:cs="Times New Roman"/>
                <w:color w:val="auto"/>
                <w:lang w:val="en-US" w:eastAsia="zh-CN"/>
              </w:rPr>
              <w:t>不外排。</w:t>
            </w:r>
          </w:p>
          <w:p w14:paraId="6ACEE4C1">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w:t>
            </w:r>
            <w:r>
              <w:rPr>
                <w:rFonts w:hint="default" w:ascii="Times New Roman" w:hAnsi="Times New Roman" w:cs="Times New Roman"/>
                <w:color w:val="auto"/>
                <w:lang w:val="en-US" w:eastAsia="zh-CN"/>
              </w:rPr>
              <w:t>办公生活区设置</w:t>
            </w:r>
            <w:r>
              <w:rPr>
                <w:rFonts w:hint="eastAsia" w:ascii="Times New Roman" w:hAnsi="Times New Roman" w:cs="Times New Roman"/>
                <w:color w:val="auto"/>
                <w:lang w:val="en-US" w:eastAsia="zh-CN"/>
              </w:rPr>
              <w:t>隔油池、化粪池</w:t>
            </w:r>
            <w:r>
              <w:rPr>
                <w:rFonts w:hint="default" w:ascii="Times New Roman" w:hAnsi="Times New Roman" w:cs="Times New Roman"/>
                <w:color w:val="auto"/>
                <w:lang w:val="en-US" w:eastAsia="zh-CN"/>
              </w:rPr>
              <w:t>，食堂废水经隔油池处理后与其他办公生活废水经化粪池处理后</w:t>
            </w:r>
            <w:r>
              <w:rPr>
                <w:rFonts w:hint="eastAsia" w:ascii="Times New Roman" w:hAnsi="Times New Roman" w:cs="Times New Roman"/>
                <w:color w:val="auto"/>
                <w:lang w:val="en-US" w:eastAsia="zh-CN"/>
              </w:rPr>
              <w:t>，雨天暂存于废水收集池（</w:t>
            </w:r>
            <w:r>
              <w:rPr>
                <w:rFonts w:hint="default" w:ascii="Times New Roman" w:hAnsi="Times New Roman" w:cs="Times New Roman"/>
                <w:color w:val="auto"/>
                <w:lang w:val="en-US" w:eastAsia="zh-CN"/>
              </w:rPr>
              <w:t>容积不小于</w:t>
            </w:r>
            <w:r>
              <w:rPr>
                <w:rFonts w:hint="eastAsia" w:ascii="Times New Roman" w:hAnsi="Times New Roman" w:cs="Times New Roman"/>
                <w:color w:val="auto"/>
                <w:lang w:val="en-US" w:eastAsia="zh-CN"/>
              </w:rPr>
              <w:t>18</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eastAsia" w:ascii="Times New Roman" w:hAnsi="Times New Roman" w:cs="Times New Roman"/>
                <w:color w:val="auto"/>
                <w:lang w:val="en-US" w:eastAsia="zh-CN"/>
              </w:rPr>
              <w:t>），晴天</w:t>
            </w:r>
            <w:r>
              <w:rPr>
                <w:rFonts w:hint="default" w:ascii="Times New Roman" w:hAnsi="Times New Roman" w:cs="Times New Roman"/>
                <w:color w:val="auto"/>
                <w:lang w:val="en-US" w:eastAsia="zh-CN"/>
              </w:rPr>
              <w:t>全部用于项目升压站绿化，不外排。</w:t>
            </w:r>
          </w:p>
          <w:p w14:paraId="3F750AEA">
            <w:pPr>
              <w:numPr>
                <w:ilvl w:val="0"/>
                <w:numId w:val="0"/>
              </w:num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）光伏板在旱季进行清洗，在阵列区内配套设置集水沟渠，沉淀池等，光伏板清洗废水经集水沟收集后进入沉淀池沉淀处理，</w:t>
            </w:r>
            <w:r>
              <w:rPr>
                <w:rFonts w:hint="default" w:ascii="Times New Roman" w:hAnsi="Times New Roman" w:eastAsia="宋体" w:cs="Times New Roman"/>
                <w:bCs/>
                <w:color w:val="auto"/>
                <w:sz w:val="24"/>
              </w:rPr>
              <w:t>回用于电池板下植被浇灌</w:t>
            </w:r>
            <w:r>
              <w:rPr>
                <w:rFonts w:hint="eastAsia" w:ascii="Times New Roman" w:hAnsi="Times New Roman" w:eastAsia="宋体" w:cs="Times New Roman"/>
                <w:bCs/>
                <w:color w:val="auto"/>
                <w:sz w:val="24"/>
                <w:lang w:eastAsia="zh-CN"/>
              </w:rPr>
              <w:t>，不外排</w:t>
            </w:r>
            <w:r>
              <w:rPr>
                <w:rFonts w:hint="default" w:ascii="Times New Roman" w:hAnsi="Times New Roman" w:eastAsia="宋体" w:cs="Times New Roman"/>
                <w:bCs/>
                <w:color w:val="auto"/>
                <w:sz w:val="24"/>
              </w:rPr>
              <w:t>。</w:t>
            </w:r>
          </w:p>
          <w:p w14:paraId="54CF637A">
            <w:pPr>
              <w:numPr>
                <w:ilvl w:val="0"/>
                <w:numId w:val="0"/>
              </w:numPr>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）定期对化粪池、隔油池</w:t>
            </w:r>
            <w:r>
              <w:rPr>
                <w:rFonts w:hint="eastAsia" w:ascii="Times New Roman" w:hAnsi="Times New Roman" w:cs="Times New Roman"/>
                <w:color w:val="auto"/>
                <w:lang w:val="en-US" w:eastAsia="zh-CN"/>
              </w:rPr>
              <w:t>、废水收集池</w:t>
            </w:r>
            <w:r>
              <w:rPr>
                <w:rFonts w:hint="default" w:ascii="Times New Roman" w:hAnsi="Times New Roman" w:cs="Times New Roman"/>
                <w:color w:val="auto"/>
                <w:lang w:val="en-US" w:eastAsia="zh-CN"/>
              </w:rPr>
              <w:t>进行清掏</w:t>
            </w:r>
            <w:r>
              <w:rPr>
                <w:rFonts w:hint="eastAsia" w:ascii="Times New Roman" w:hAnsi="Times New Roman" w:cs="Times New Roman"/>
                <w:color w:val="auto"/>
                <w:lang w:val="en-US" w:eastAsia="zh-CN"/>
              </w:rPr>
              <w:t>。</w:t>
            </w:r>
          </w:p>
          <w:p w14:paraId="7620978B">
            <w:pPr>
              <w:numPr>
                <w:ilvl w:val="0"/>
                <w:numId w:val="0"/>
              </w:numPr>
              <w:spacing w:line="360" w:lineRule="auto"/>
              <w:ind w:firstLine="482" w:firstLineChars="200"/>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三、</w:t>
            </w:r>
            <w:r>
              <w:rPr>
                <w:rFonts w:hint="default" w:ascii="Times New Roman" w:hAnsi="Times New Roman" w:cs="Times New Roman"/>
                <w:b/>
                <w:bCs/>
                <w:color w:val="auto"/>
                <w:lang w:val="en-US" w:eastAsia="zh-CN"/>
              </w:rPr>
              <w:t>噪声污染防治措施</w:t>
            </w:r>
          </w:p>
          <w:p w14:paraId="5852EA1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（1）在设备选型上选用低噪声设备；</w:t>
            </w:r>
          </w:p>
          <w:p w14:paraId="7D85B435">
            <w:pPr>
              <w:numPr>
                <w:ilvl w:val="0"/>
                <w:numId w:val="0"/>
              </w:num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光伏发电区箱式变压器分散合理布置。箱式变压器应尽量设置变压器房进行隔声降噪；逆变器应严格按照说明书安装要求安装，通过采取加装阻尼弹簧减振器等措施减小振动； </w:t>
            </w:r>
          </w:p>
          <w:p w14:paraId="74822708">
            <w:pPr>
              <w:numPr>
                <w:ilvl w:val="0"/>
                <w:numId w:val="0"/>
              </w:numPr>
              <w:spacing w:line="360" w:lineRule="auto"/>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 xml:space="preserve">升压站各电气设备应严格按标准安装，加强设备维护保养，确保设备平稳运行，避免因转动部分与外缘碰撞、摩擦而加大噪声，避免出现尖端放电等。 </w:t>
            </w:r>
          </w:p>
          <w:p w14:paraId="227627F0">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（4）加强项目内的绿化，在美化环境的同时还能起到一定的降噪作用。</w:t>
            </w:r>
          </w:p>
          <w:p w14:paraId="52F78DBB">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（5）项目逆变器及箱式变压器尽量远离村庄一侧布局。</w:t>
            </w:r>
          </w:p>
          <w:p w14:paraId="19599281">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四、</w:t>
            </w:r>
            <w:r>
              <w:rPr>
                <w:rFonts w:hint="default" w:ascii="Times New Roman" w:hAnsi="Times New Roman" w:cs="Times New Roman"/>
                <w:b/>
                <w:bCs/>
                <w:lang w:val="en-US" w:eastAsia="zh-CN"/>
              </w:rPr>
              <w:t>固体废物处置措施</w:t>
            </w:r>
          </w:p>
          <w:p w14:paraId="7D484A0B">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（1）项目设置一间25m</w:t>
            </w:r>
            <w:r>
              <w:rPr>
                <w:rFonts w:hint="default" w:ascii="Times New Roman" w:hAnsi="Times New Roman" w:cs="Times New Roman"/>
                <w:vertAlign w:val="superscript"/>
                <w:lang w:val="en-US" w:eastAsia="zh-CN"/>
              </w:rPr>
              <w:t xml:space="preserve">2 </w:t>
            </w:r>
            <w:r>
              <w:rPr>
                <w:rFonts w:hint="default" w:ascii="Times New Roman" w:hAnsi="Times New Roman" w:cs="Times New Roman"/>
                <w:lang w:val="en-US" w:eastAsia="zh-CN"/>
              </w:rPr>
              <w:t>的危险废物暂存间，项目检修或事故状态下产生的废变压器油采用油桶收集</w:t>
            </w:r>
            <w:r>
              <w:rPr>
                <w:rFonts w:hint="eastAsia" w:ascii="Times New Roman" w:hAnsi="Times New Roman" w:cs="Times New Roman"/>
                <w:lang w:val="en-US" w:eastAsia="zh-CN"/>
              </w:rPr>
              <w:t>、废旧铅酸电池</w:t>
            </w:r>
            <w:r>
              <w:rPr>
                <w:rFonts w:hint="default" w:ascii="Times New Roman" w:hAnsi="Times New Roman" w:cs="Times New Roman"/>
                <w:lang w:val="en-US" w:eastAsia="zh-CN"/>
              </w:rPr>
              <w:t>暂存于危废暂存间内，定期交由有资质单位处置。项目产生的废油和危废暂存间的建设应严格按照《危险废物管理办法》和《危险废物贮存污染控制标准》( GB18597-2001)及修改单(2013年第36号)要求执行。</w:t>
            </w:r>
          </w:p>
          <w:p w14:paraId="28C34F2F">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（2）设置</w:t>
            </w:r>
            <w:r>
              <w:rPr>
                <w:rFonts w:hint="eastAsia" w:ascii="Times New Roman" w:hAnsi="Times New Roman" w:cs="Times New Roman"/>
                <w:lang w:val="en-US" w:eastAsia="zh-CN"/>
              </w:rPr>
              <w:t>一般固废暂存间</w:t>
            </w:r>
            <w:r>
              <w:rPr>
                <w:rFonts w:hint="default" w:ascii="Times New Roman" w:hAnsi="Times New Roman" w:cs="Times New Roman"/>
                <w:lang w:val="en-US" w:eastAsia="zh-CN"/>
              </w:rPr>
              <w:t>专门废旧电器组件设备收储间，对于损坏更换的电池组件进行存储，最终由厂家回收处置;</w:t>
            </w:r>
          </w:p>
          <w:p w14:paraId="6612FE0A">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（3）办公生活区设置若干生活垃圾收集桶收集员工生活垃圾，生活垃圾；</w:t>
            </w:r>
          </w:p>
          <w:p w14:paraId="0263239E">
            <w:pPr>
              <w:numPr>
                <w:ilvl w:val="0"/>
                <w:numId w:val="0"/>
              </w:numPr>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生活垃圾经统一集中收集后与附近村庄垃圾一同处置。</w:t>
            </w:r>
          </w:p>
          <w:p w14:paraId="74FB0F7A">
            <w:pPr>
              <w:spacing w:line="360" w:lineRule="auto"/>
              <w:ind w:firstLine="480" w:firstLineChars="200"/>
              <w:rPr>
                <w:rFonts w:hint="default"/>
                <w:lang w:val="en-US" w:eastAsia="zh-CN"/>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rPr>
              <w:t>项目</w:t>
            </w:r>
            <w:r>
              <w:rPr>
                <w:rFonts w:hint="default" w:ascii="Times New Roman" w:hAnsi="Times New Roman" w:eastAsia="宋体" w:cs="Times New Roman"/>
                <w:color w:val="auto"/>
                <w:sz w:val="24"/>
                <w:szCs w:val="20"/>
              </w:rPr>
              <w:t>化粪池、污水处理设施</w:t>
            </w:r>
            <w:r>
              <w:rPr>
                <w:rFonts w:hint="default" w:ascii="Times New Roman" w:hAnsi="Times New Roman" w:eastAsia="宋体" w:cs="Times New Roman"/>
                <w:bCs/>
                <w:color w:val="auto"/>
                <w:sz w:val="24"/>
              </w:rPr>
              <w:t>污泥</w:t>
            </w:r>
            <w:r>
              <w:rPr>
                <w:rFonts w:hint="default" w:ascii="Times New Roman" w:hAnsi="Times New Roman" w:eastAsia="宋体" w:cs="Times New Roman"/>
                <w:color w:val="auto"/>
                <w:kern w:val="0"/>
                <w:sz w:val="24"/>
              </w:rPr>
              <w:t>委托当地村民清掏用作光伏板区植被肥料。</w:t>
            </w:r>
          </w:p>
          <w:p w14:paraId="10A64119">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生态环境保护措施</w:t>
            </w:r>
          </w:p>
          <w:p w14:paraId="0E2833F8">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（1）光伏板下严禁硬化地面、破坏耕作层，严禁抛荒、撂荒。</w:t>
            </w:r>
          </w:p>
          <w:p w14:paraId="1979B16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（2）升压站内综合楼周边设置</w:t>
            </w:r>
            <w:r>
              <w:rPr>
                <w:rFonts w:hint="eastAsia" w:ascii="Times New Roman" w:hAnsi="Times New Roman" w:cs="Times New Roman"/>
                <w:lang w:val="en-US" w:eastAsia="zh-CN"/>
              </w:rPr>
              <w:t>300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绿化面积，选取乡土树种或草种为主，易于存活。</w:t>
            </w:r>
          </w:p>
          <w:p w14:paraId="39A8FCBD">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（3）做好员工宣传工作，保护当地的野生动物，禁止人为捕杀；禁止引入外来有害生物。</w:t>
            </w:r>
          </w:p>
          <w:p w14:paraId="0BB84BD4">
            <w:pPr>
              <w:numPr>
                <w:ilvl w:val="0"/>
                <w:numId w:val="0"/>
              </w:num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（4）光伏阵列区周边空闲地多种植本地树种，减少区域水土流失。</w:t>
            </w:r>
          </w:p>
          <w:p w14:paraId="1126281E">
            <w:pPr>
              <w:numPr>
                <w:ilvl w:val="0"/>
                <w:numId w:val="0"/>
              </w:numPr>
              <w:spacing w:line="360" w:lineRule="auto"/>
              <w:ind w:firstLine="482" w:firstLineChars="200"/>
              <w:rPr>
                <w:rFonts w:hint="default" w:ascii="Times New Roman" w:hAnsi="Times New Roman" w:cs="Times New Roman"/>
                <w:b/>
                <w:bCs/>
                <w:lang w:val="en-US" w:eastAsia="zh-CN"/>
              </w:rPr>
            </w:pPr>
            <w:r>
              <w:rPr>
                <w:rFonts w:hint="eastAsia" w:ascii="Times New Roman" w:hAnsi="Times New Roman" w:cs="Times New Roman"/>
                <w:b/>
                <w:bCs/>
                <w:lang w:val="en-US" w:eastAsia="zh-CN"/>
              </w:rPr>
              <w:t>六、</w:t>
            </w:r>
            <w:r>
              <w:rPr>
                <w:rFonts w:hint="default" w:ascii="Times New Roman" w:hAnsi="Times New Roman" w:cs="Times New Roman"/>
                <w:b/>
                <w:bCs/>
                <w:lang w:val="en-US" w:eastAsia="zh-CN"/>
              </w:rPr>
              <w:t>环境风险控制措施</w:t>
            </w:r>
          </w:p>
          <w:p w14:paraId="2FFF73CC">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①升压站内主变压器下设置集油坑，场内配套设置 1个</w:t>
            </w:r>
            <w:r>
              <w:rPr>
                <w:rFonts w:hint="eastAsia" w:ascii="Times New Roman" w:hAnsi="Times New Roman" w:eastAsia="宋体" w:cs="Times New Roman"/>
                <w:color w:val="auto"/>
                <w:sz w:val="24"/>
                <w:szCs w:val="24"/>
                <w:lang w:eastAsia="zh-CN"/>
              </w:rPr>
              <w:t>有效容积不小于</w:t>
            </w:r>
            <w:r>
              <w:rPr>
                <w:rFonts w:hint="eastAsia"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的事故油池，并由排油管道与集油坑相连。主变压器在维修和事故情况下，产生的废油由集油坑收集后，经排油管道排至事故油池存放。 </w:t>
            </w:r>
          </w:p>
          <w:p w14:paraId="6FBBF738">
            <w:pPr>
              <w:spacing w:line="360" w:lineRule="auto"/>
              <w:ind w:firstLine="480" w:firstLineChars="200"/>
              <w:jc w:val="left"/>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②</w:t>
            </w:r>
            <w:r>
              <w:rPr>
                <w:rFonts w:hint="default" w:ascii="Times New Roman" w:hAnsi="Times New Roman" w:eastAsia="宋体" w:cs="Times New Roman"/>
                <w:color w:val="auto"/>
                <w:kern w:val="0"/>
                <w:sz w:val="24"/>
                <w:szCs w:val="24"/>
              </w:rPr>
              <w:t>在</w:t>
            </w:r>
            <w:r>
              <w:rPr>
                <w:rFonts w:hint="eastAsia" w:ascii="Times New Roman" w:hAnsi="Times New Roman" w:eastAsia="宋体" w:cs="Times New Roman"/>
                <w:color w:val="auto"/>
                <w:kern w:val="0"/>
                <w:sz w:val="24"/>
                <w:szCs w:val="24"/>
                <w:lang w:val="en-US" w:eastAsia="zh-CN"/>
              </w:rPr>
              <w:t>光伏场区</w:t>
            </w:r>
            <w:r>
              <w:rPr>
                <w:rStyle w:val="24"/>
                <w:rFonts w:hint="eastAsia" w:ascii="Times New Roman" w:hAnsi="Times New Roman" w:eastAsia="宋体" w:cs="Times New Roman"/>
                <w:color w:val="auto"/>
                <w:kern w:val="0"/>
                <w:sz w:val="24"/>
                <w:szCs w:val="24"/>
                <w:lang w:val="en-US" w:eastAsia="zh-CN"/>
              </w:rPr>
              <w:t>26</w:t>
            </w:r>
            <w:r>
              <w:rPr>
                <w:rFonts w:hint="default" w:ascii="Times New Roman" w:hAnsi="Times New Roman" w:eastAsia="宋体" w:cs="Times New Roman"/>
                <w:color w:val="auto"/>
                <w:kern w:val="0"/>
                <w:sz w:val="24"/>
                <w:szCs w:val="24"/>
                <w:lang w:val="en-US" w:eastAsia="zh-CN" w:bidi="ar"/>
              </w:rPr>
              <w:t>台</w:t>
            </w:r>
            <w:r>
              <w:rPr>
                <w:rFonts w:hint="default" w:ascii="Times New Roman" w:hAnsi="Times New Roman" w:eastAsia="宋体" w:cs="Times New Roman"/>
                <w:color w:val="auto"/>
                <w:kern w:val="0"/>
                <w:sz w:val="24"/>
                <w:szCs w:val="24"/>
              </w:rPr>
              <w:t>箱变基础靠油箱一侧</w:t>
            </w:r>
            <w:r>
              <w:rPr>
                <w:rFonts w:hint="default" w:ascii="Times New Roman" w:hAnsi="Times New Roman" w:eastAsia="宋体" w:cs="Times New Roman"/>
                <w:color w:val="auto"/>
                <w:kern w:val="0"/>
                <w:sz w:val="24"/>
                <w:szCs w:val="24"/>
                <w:lang w:eastAsia="zh-CN"/>
              </w:rPr>
              <w:t>分别</w:t>
            </w:r>
            <w:r>
              <w:rPr>
                <w:rFonts w:hint="default" w:ascii="Times New Roman" w:hAnsi="Times New Roman" w:eastAsia="宋体" w:cs="Times New Roman"/>
                <w:color w:val="auto"/>
                <w:kern w:val="0"/>
                <w:sz w:val="24"/>
                <w:szCs w:val="24"/>
              </w:rPr>
              <w:t>设</w:t>
            </w:r>
            <w:r>
              <w:rPr>
                <w:rFonts w:hint="default" w:ascii="Times New Roman" w:hAnsi="Times New Roman" w:eastAsia="宋体" w:cs="Times New Roman"/>
                <w:color w:val="auto"/>
                <w:kern w:val="0"/>
                <w:sz w:val="24"/>
                <w:szCs w:val="24"/>
                <w:lang w:val="en-US" w:eastAsia="zh-CN"/>
              </w:rPr>
              <w:t>1个1.0m³</w:t>
            </w:r>
            <w:r>
              <w:rPr>
                <w:rFonts w:hint="default" w:ascii="Times New Roman" w:hAnsi="Times New Roman" w:eastAsia="宋体" w:cs="Times New Roman"/>
                <w:color w:val="auto"/>
                <w:kern w:val="0"/>
                <w:sz w:val="24"/>
                <w:szCs w:val="24"/>
                <w:lang w:val="en-US" w:eastAsia="zh-CN" w:bidi="ar"/>
              </w:rPr>
              <w:t>的地埋式</w:t>
            </w:r>
            <w:r>
              <w:rPr>
                <w:rFonts w:hint="default" w:ascii="Times New Roman" w:hAnsi="Times New Roman" w:eastAsia="宋体" w:cs="Times New Roman"/>
                <w:color w:val="auto"/>
                <w:kern w:val="0"/>
                <w:sz w:val="24"/>
                <w:szCs w:val="24"/>
              </w:rPr>
              <w:t>事故油池</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kern w:val="0"/>
                <w:sz w:val="24"/>
                <w:szCs w:val="24"/>
              </w:rPr>
              <w:t>箱变</w:t>
            </w:r>
            <w:r>
              <w:rPr>
                <w:rFonts w:hint="default" w:ascii="Times New Roman" w:hAnsi="Times New Roman" w:eastAsia="宋体" w:cs="Times New Roman"/>
                <w:color w:val="auto"/>
                <w:sz w:val="24"/>
                <w:szCs w:val="24"/>
              </w:rPr>
              <w:t>维修和事故情况下，产生的废油经排油管道排至事故油池存放</w:t>
            </w:r>
            <w:r>
              <w:rPr>
                <w:rFonts w:hint="eastAsia" w:ascii="Times New Roman" w:hAnsi="Times New Roman" w:eastAsia="宋体" w:cs="Times New Roman"/>
                <w:color w:val="auto"/>
                <w:sz w:val="24"/>
                <w:szCs w:val="24"/>
                <w:lang w:eastAsia="zh-CN"/>
              </w:rPr>
              <w:t>。</w:t>
            </w:r>
          </w:p>
          <w:p w14:paraId="656DDB34">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③严格做好分区防渗工程，施工期加强工程监理和环境监理，提高防渗工程质量，做好照片、录像以及相关文字说明等存档资料。 </w:t>
            </w:r>
          </w:p>
          <w:p w14:paraId="322E3F81">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lang w:val="en-US" w:eastAsia="zh-CN"/>
              </w:rPr>
              <w:t>重点防渗区为</w:t>
            </w:r>
            <w:r>
              <w:rPr>
                <w:rFonts w:hint="default" w:ascii="Times New Roman" w:hAnsi="Times New Roman" w:cs="Times New Roman"/>
                <w:sz w:val="24"/>
                <w:szCs w:val="24"/>
                <w:lang w:val="en-US" w:eastAsia="zh-CN"/>
              </w:rPr>
              <w:t>危险废物暂存间、</w:t>
            </w:r>
            <w:r>
              <w:rPr>
                <w:rFonts w:hint="default" w:ascii="Times New Roman" w:hAnsi="Times New Roman" w:eastAsia="宋体" w:cs="Times New Roman"/>
                <w:color w:val="auto"/>
                <w:sz w:val="24"/>
                <w:szCs w:val="24"/>
              </w:rPr>
              <w:t>集油坑</w:t>
            </w:r>
            <w:r>
              <w:rPr>
                <w:rFonts w:hint="default" w:ascii="Times New Roman" w:hAnsi="Times New Roman" w:eastAsia="宋体" w:cs="Times New Roman"/>
                <w:sz w:val="24"/>
                <w:szCs w:val="24"/>
                <w:lang w:val="en-US" w:eastAsia="zh-CN"/>
              </w:rPr>
              <w:t>、事故池，参照《环境影响评价技术导则地下水环境》（HJ 610-2016）进行重点防渗，</w:t>
            </w:r>
            <w:r>
              <w:rPr>
                <w:rFonts w:hint="default" w:ascii="Times New Roman" w:hAnsi="Times New Roman" w:cs="Times New Roman"/>
                <w:b w:val="0"/>
                <w:bCs w:val="0"/>
                <w:color w:val="000000"/>
                <w:sz w:val="24"/>
                <w:szCs w:val="24"/>
              </w:rPr>
              <w:t>防渗性能不应低于6.0m厚渗透系数为1×10</w:t>
            </w:r>
            <w:r>
              <w:rPr>
                <w:rFonts w:hint="default" w:ascii="Times New Roman" w:hAnsi="Times New Roman" w:cs="Times New Roman"/>
                <w:b w:val="0"/>
                <w:bCs w:val="0"/>
                <w:color w:val="000000"/>
                <w:sz w:val="24"/>
                <w:szCs w:val="24"/>
                <w:vertAlign w:val="superscript"/>
              </w:rPr>
              <w:t>-7</w:t>
            </w:r>
            <w:r>
              <w:rPr>
                <w:rFonts w:hint="default" w:ascii="Times New Roman" w:hAnsi="Times New Roman" w:cs="Times New Roman"/>
                <w:b w:val="0"/>
                <w:bCs w:val="0"/>
                <w:color w:val="000000"/>
                <w:sz w:val="24"/>
                <w:szCs w:val="24"/>
              </w:rPr>
              <w:t>cm/s的黏土层的防渗性能或2mm厚高密度聚乙烯，或至少2mm厚的其他人工材料，渗透系数≤1×10</w:t>
            </w:r>
            <w:r>
              <w:rPr>
                <w:rFonts w:hint="default" w:ascii="Times New Roman" w:hAnsi="Times New Roman" w:cs="Times New Roman"/>
                <w:b w:val="0"/>
                <w:bCs w:val="0"/>
                <w:color w:val="000000"/>
                <w:sz w:val="24"/>
                <w:szCs w:val="24"/>
                <w:vertAlign w:val="superscript"/>
              </w:rPr>
              <w:t>-10</w:t>
            </w:r>
            <w:r>
              <w:rPr>
                <w:rFonts w:hint="default" w:ascii="Times New Roman" w:hAnsi="Times New Roman" w:cs="Times New Roman"/>
                <w:b w:val="0"/>
                <w:bCs w:val="0"/>
                <w:color w:val="000000"/>
                <w:sz w:val="24"/>
                <w:szCs w:val="24"/>
              </w:rPr>
              <w:t>cm/s</w:t>
            </w:r>
            <w:r>
              <w:rPr>
                <w:rFonts w:hint="default" w:ascii="Times New Roman" w:hAnsi="Times New Roman" w:eastAsia="宋体" w:cs="Times New Roman"/>
                <w:color w:val="auto"/>
                <w:lang w:val="en-US" w:eastAsia="zh-CN"/>
              </w:rPr>
              <w:t>；</w:t>
            </w:r>
            <w:r>
              <w:rPr>
                <w:rFonts w:hint="default" w:ascii="Times New Roman" w:hAnsi="Times New Roman" w:cs="Times New Roman"/>
                <w:color w:val="auto"/>
                <w:sz w:val="24"/>
                <w:szCs w:val="24"/>
                <w:lang w:val="en-US" w:eastAsia="zh-CN"/>
              </w:rPr>
              <w:t>废水收集池、化粪池、隔油池</w:t>
            </w:r>
            <w:r>
              <w:rPr>
                <w:rFonts w:hint="default" w:ascii="Times New Roman" w:hAnsi="Times New Roman" w:eastAsia="宋体" w:cs="Times New Roman"/>
                <w:color w:val="auto"/>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cm/s；项目办公楼综合楼、路面为简易防渗区，进行水</w:t>
            </w:r>
            <w:r>
              <w:rPr>
                <w:rFonts w:hint="default" w:ascii="Times New Roman" w:hAnsi="Times New Roman" w:eastAsia="宋体" w:cs="Times New Roman"/>
                <w:lang w:val="en-US" w:eastAsia="zh-CN"/>
              </w:rPr>
              <w:t>泥硬化防渗即可，</w:t>
            </w:r>
            <w:r>
              <w:rPr>
                <w:rFonts w:hint="default" w:ascii="Times New Roman" w:hAnsi="Times New Roman" w:eastAsia="宋体" w:cs="Times New Roman"/>
                <w:color w:val="auto"/>
                <w:sz w:val="24"/>
                <w:szCs w:val="24"/>
              </w:rPr>
              <w:t xml:space="preserve">④运营期定期检查各储存设施，避免出现泄漏等不良情况。 </w:t>
            </w:r>
          </w:p>
          <w:p w14:paraId="492060DC">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⑤危险废物的收集、贮存、运输严格按照《危险废物贮存污染控制标准》（GB18597-2001）及其2013修改单和《危险废物收集、贮存、运输技术规范》（HJ2025-2012）的相关要求执行。 </w:t>
            </w:r>
          </w:p>
          <w:p w14:paraId="117EF0F4">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bidi="ar"/>
              </w:rPr>
              <w:t>⑥</w:t>
            </w:r>
            <w:r>
              <w:rPr>
                <w:rFonts w:hint="default" w:ascii="Times New Roman" w:hAnsi="Times New Roman" w:eastAsia="宋体" w:cs="Times New Roman"/>
                <w:color w:val="auto"/>
                <w:sz w:val="24"/>
                <w:szCs w:val="24"/>
              </w:rPr>
              <w:t>如实记载每批危废的名称、来源、数量、特性和包装容器的类别、入库日期、存放库位、废物出库日期及接收单位名称。贮存期间定期养护，控制好贮存场所的温度和湿度；装卸、搬运时应轻装轻卸，注意自我防护。定期对所暂存的危险废物容器及暂存设施进行检查，发现破损，及时采取措施清理更换。</w:t>
            </w:r>
          </w:p>
          <w:p w14:paraId="14E0346D">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⑦废旧铅酸蓄电池搬运过程必须严格操作规程，防止废旧铅酸蓄电池在搬运过程中倾倒发生破裂，发现破损废旧铅酸蓄电池应及时转移至PE桶内。 </w:t>
            </w:r>
          </w:p>
          <w:p w14:paraId="05CED482">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⑧严格落实防火规定，升压站内严禁吸烟、明火。人员进入升压站生产区内检修结束后，应即时清理现场，防止遗留火种。完善升压站消防设施、消防器材的配套，确保应急疏散通道、消防通道的通畅，加强人员消防安全培训，定期开展消防演练。 </w:t>
            </w:r>
          </w:p>
          <w:p w14:paraId="1ED6A00E">
            <w:pPr>
              <w:spacing w:line="360" w:lineRule="auto"/>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⑨定期开展电站火灾风险隐患排查，检查站内是否存放废旧充油设备及易燃易爆物品；电缆沟防火墙是否完好、电缆孔洞防火封堵是否合格；检查消防设施帐、卡、物是否一致，配置是否满足要求，防火门闭门器、防火胶条是否完好；应急疏散标示是否齐全，消防通道是否畅通；检查火灾报警控制器功能是否正常，主、备电源能否正常切换，是否存在误报、漏报现象，数据传输是否及时准确，烟感、手动报警装置能否正常启动；空调、电脑等是否存在导线老化、过载等情况；并结合站内实际情况，对不合格或损坏的灭火器、消防铁锨、消防桶及时进行更换，修订完善各站消防应急预案，提升消防应急处置能力。 </w:t>
            </w:r>
          </w:p>
          <w:p w14:paraId="1DB82659">
            <w:pPr>
              <w:numPr>
                <w:ilvl w:val="0"/>
                <w:numId w:val="0"/>
              </w:numPr>
              <w:spacing w:line="360" w:lineRule="auto"/>
              <w:ind w:firstLine="480" w:firstLineChars="200"/>
              <w:rPr>
                <w:rFonts w:hint="default" w:ascii="Times New Roman" w:hAnsi="Times New Roman" w:cs="Times New Roman"/>
                <w:b/>
                <w:bCs/>
                <w:lang w:val="en-US" w:eastAsia="zh-CN"/>
              </w:rPr>
            </w:pPr>
            <w:r>
              <w:rPr>
                <w:rFonts w:hint="default" w:ascii="Times New Roman" w:hAnsi="Times New Roman" w:eastAsia="宋体" w:cs="Times New Roman"/>
                <w:color w:val="auto"/>
                <w:sz w:val="24"/>
                <w:szCs w:val="24"/>
              </w:rPr>
              <w:t xml:space="preserve">⑩加强对操作人员的岗位培训，建立健全的环保管理机制和各项环保规章制度，落实岗位环保责任制，加强环境风险防范工作，防止事故排放导致环境问题。 </w:t>
            </w:r>
          </w:p>
          <w:p w14:paraId="4095E073">
            <w:pPr>
              <w:numPr>
                <w:ilvl w:val="0"/>
                <w:numId w:val="0"/>
              </w:numPr>
              <w:spacing w:line="360" w:lineRule="auto"/>
              <w:ind w:firstLine="520" w:firstLineChars="200"/>
              <w:rPr>
                <w:rFonts w:hint="default" w:ascii="Times New Roman" w:hAnsi="Times New Roman" w:cs="Times New Roman" w:eastAsiaTheme="minorEastAsia"/>
                <w:bCs/>
                <w:spacing w:val="10"/>
                <w:sz w:val="24"/>
                <w:szCs w:val="24"/>
                <w:lang w:val="en-US" w:eastAsia="zh-CN"/>
              </w:rPr>
            </w:pPr>
          </w:p>
          <w:p w14:paraId="6F0006E5">
            <w:pPr>
              <w:numPr>
                <w:ilvl w:val="0"/>
                <w:numId w:val="0"/>
              </w:numPr>
              <w:spacing w:line="360" w:lineRule="auto"/>
              <w:ind w:firstLine="520" w:firstLineChars="200"/>
              <w:rPr>
                <w:rFonts w:hint="default" w:ascii="Times New Roman" w:hAnsi="Times New Roman" w:cs="Times New Roman" w:eastAsiaTheme="minorEastAsia"/>
                <w:bCs/>
                <w:spacing w:val="10"/>
                <w:sz w:val="24"/>
                <w:szCs w:val="24"/>
                <w:lang w:val="en-US" w:eastAsia="zh-CN"/>
              </w:rPr>
            </w:pPr>
          </w:p>
        </w:tc>
      </w:tr>
      <w:tr w14:paraId="75155E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753" w:type="dxa"/>
            <w:vAlign w:val="center"/>
          </w:tcPr>
          <w:p w14:paraId="072C018F">
            <w:pPr>
              <w:adjustRightInd w:val="0"/>
              <w:snapToGrid w:val="0"/>
              <w:jc w:val="center"/>
              <w:rPr>
                <w:rFonts w:ascii="宋体" w:hAnsi="宋体" w:cs="宋体"/>
                <w:b/>
                <w:bCs w:val="0"/>
                <w:spacing w:val="10"/>
                <w:sz w:val="24"/>
                <w:szCs w:val="24"/>
              </w:rPr>
            </w:pPr>
            <w:r>
              <w:rPr>
                <w:rFonts w:hint="eastAsia" w:ascii="宋体" w:hAnsi="宋体"/>
                <w:b/>
                <w:bCs w:val="0"/>
                <w:sz w:val="24"/>
                <w:szCs w:val="24"/>
              </w:rPr>
              <w:t>其他</w:t>
            </w:r>
          </w:p>
        </w:tc>
        <w:tc>
          <w:tcPr>
            <w:tcW w:w="8457" w:type="dxa"/>
            <w:vAlign w:val="top"/>
          </w:tcPr>
          <w:p w14:paraId="29E491AE">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1、环境管理</w:t>
            </w:r>
          </w:p>
          <w:p w14:paraId="76EAC095">
            <w:pPr>
              <w:numPr>
                <w:ilvl w:val="0"/>
                <w:numId w:val="0"/>
              </w:num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为加强项目施工期及运营期对项目的环境监管，建设单位应设1名专职的</w:t>
            </w:r>
          </w:p>
          <w:p w14:paraId="75261EED">
            <w:pPr>
              <w:numPr>
                <w:ilvl w:val="0"/>
                <w:numId w:val="0"/>
              </w:numPr>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环保工作人员，负责做好环境管理工作，加强环保法规和技术培训，提高各参建单位和参建人员</w:t>
            </w:r>
            <w:r>
              <w:rPr>
                <w:rFonts w:hint="eastAsia" w:ascii="Times New Roman" w:hAnsi="Times New Roman" w:eastAsia="宋体" w:cs="Times New Roman"/>
                <w:lang w:val="en-US" w:eastAsia="zh-CN"/>
              </w:rPr>
              <w:t>的</w:t>
            </w:r>
            <w:r>
              <w:rPr>
                <w:rFonts w:hint="default" w:ascii="Times New Roman" w:hAnsi="Times New Roman" w:eastAsia="宋体" w:cs="Times New Roman"/>
                <w:lang w:val="en-US" w:eastAsia="zh-CN"/>
              </w:rPr>
              <w:t>环保意识，组织落实各项环境保护措施，规范各项环境管理制度。项目环境管理计划见下表。</w:t>
            </w:r>
          </w:p>
          <w:p w14:paraId="7F0F1768">
            <w:pPr>
              <w:adjustRightInd w:val="0"/>
              <w:snapToGrid w:val="0"/>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表5-1 环境管理计划</w:t>
            </w:r>
          </w:p>
          <w:tbl>
            <w:tblPr>
              <w:tblStyle w:val="22"/>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5028"/>
              <w:gridCol w:w="888"/>
              <w:gridCol w:w="1109"/>
            </w:tblGrid>
            <w:tr w14:paraId="1B313E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50D9C18">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环境要素</w:t>
                  </w:r>
                </w:p>
              </w:tc>
              <w:tc>
                <w:tcPr>
                  <w:tcW w:w="5028" w:type="dxa"/>
                  <w:tcBorders>
                    <w:tl2br w:val="nil"/>
                    <w:tr2bl w:val="nil"/>
                  </w:tcBorders>
                  <w:vAlign w:val="center"/>
                </w:tcPr>
                <w:p w14:paraId="3FF70B29">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环境保护措施与对策</w:t>
                  </w:r>
                </w:p>
              </w:tc>
              <w:tc>
                <w:tcPr>
                  <w:tcW w:w="888" w:type="dxa"/>
                  <w:tcBorders>
                    <w:tl2br w:val="nil"/>
                    <w:tr2bl w:val="nil"/>
                  </w:tcBorders>
                  <w:vAlign w:val="center"/>
                </w:tcPr>
                <w:p w14:paraId="57BD337A">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执行单位</w:t>
                  </w:r>
                </w:p>
              </w:tc>
              <w:tc>
                <w:tcPr>
                  <w:tcW w:w="1109" w:type="dxa"/>
                  <w:tcBorders>
                    <w:tl2br w:val="nil"/>
                    <w:tr2bl w:val="nil"/>
                  </w:tcBorders>
                  <w:vAlign w:val="center"/>
                </w:tcPr>
                <w:p w14:paraId="7C261C8A">
                  <w:pPr>
                    <w:spacing w:line="240" w:lineRule="auto"/>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监管部门</w:t>
                  </w:r>
                </w:p>
              </w:tc>
            </w:tr>
            <w:tr w14:paraId="0D7A1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46F3ABB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大气环境</w:t>
                  </w:r>
                </w:p>
              </w:tc>
              <w:tc>
                <w:tcPr>
                  <w:tcW w:w="5028" w:type="dxa"/>
                  <w:tcBorders>
                    <w:tl2br w:val="nil"/>
                    <w:tr2bl w:val="nil"/>
                  </w:tcBorders>
                  <w:vAlign w:val="center"/>
                </w:tcPr>
                <w:p w14:paraId="094C508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施工区实施洒水抑尘、散体材料库内存放、露天存放应采用防尘网遮盖，表土堆场土工布遮盖。</w:t>
                  </w:r>
                </w:p>
              </w:tc>
              <w:tc>
                <w:tcPr>
                  <w:tcW w:w="888" w:type="dxa"/>
                  <w:vMerge w:val="restart"/>
                  <w:tcBorders>
                    <w:tl2br w:val="nil"/>
                    <w:tr2bl w:val="nil"/>
                  </w:tcBorders>
                  <w:vAlign w:val="center"/>
                </w:tcPr>
                <w:p w14:paraId="2189F11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建设单位、 施工单位</w:t>
                  </w:r>
                </w:p>
              </w:tc>
              <w:tc>
                <w:tcPr>
                  <w:tcW w:w="1109" w:type="dxa"/>
                  <w:vMerge w:val="restart"/>
                  <w:tcBorders>
                    <w:tl2br w:val="nil"/>
                    <w:tr2bl w:val="nil"/>
                  </w:tcBorders>
                  <w:vAlign w:val="center"/>
                </w:tcPr>
                <w:p w14:paraId="38A3B89B">
                  <w:pPr>
                    <w:spacing w:line="240" w:lineRule="auto"/>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德宏</w:t>
                  </w:r>
                  <w:r>
                    <w:rPr>
                      <w:rFonts w:hint="default" w:ascii="Times New Roman" w:hAnsi="Times New Roman" w:eastAsia="宋体" w:cs="Times New Roman"/>
                      <w:sz w:val="21"/>
                      <w:szCs w:val="21"/>
                    </w:rPr>
                    <w:t>州生态环境局</w:t>
                  </w:r>
                  <w:r>
                    <w:rPr>
                      <w:rFonts w:hint="eastAsia" w:ascii="Times New Roman" w:hAnsi="Times New Roman" w:eastAsia="宋体" w:cs="Times New Roman"/>
                      <w:sz w:val="21"/>
                      <w:szCs w:val="21"/>
                      <w:lang w:eastAsia="zh-CN"/>
                    </w:rPr>
                    <w:t>芒市</w:t>
                  </w:r>
                </w:p>
                <w:p w14:paraId="55C7088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分局</w:t>
                  </w:r>
                </w:p>
              </w:tc>
            </w:tr>
            <w:tr w14:paraId="5E37A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4EEE7B55">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水环境</w:t>
                  </w:r>
                </w:p>
              </w:tc>
              <w:tc>
                <w:tcPr>
                  <w:tcW w:w="5028" w:type="dxa"/>
                  <w:tcBorders>
                    <w:tl2br w:val="nil"/>
                    <w:tr2bl w:val="nil"/>
                  </w:tcBorders>
                  <w:vAlign w:val="center"/>
                </w:tcPr>
                <w:p w14:paraId="7BC16BE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施工期：施工废水沉淀池处理后，全部回用于施工用水及场地洒水降尘，不外排。施工营地设置旱厕，粪尿污水进入旱厕，旱厕定期清掏，全部用于周边农用施肥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不外排，施工人员生活污水经隔油、沉淀处理后全部回用，不外排。</w:t>
                  </w:r>
                </w:p>
                <w:p w14:paraId="64EFDFB2">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运营期：光伏电池板清洗废水用于光伏组件下植物的绿化用水，不外排；办公生活区生活污水经</w:t>
                  </w:r>
                  <w:r>
                    <w:rPr>
                      <w:rFonts w:hint="eastAsia" w:ascii="Times New Roman" w:hAnsi="Times New Roman" w:eastAsia="宋体" w:cs="Times New Roman"/>
                      <w:color w:val="auto"/>
                      <w:sz w:val="21"/>
                      <w:szCs w:val="21"/>
                      <w:lang w:eastAsia="zh-CN"/>
                    </w:rPr>
                    <w:t>隔油池、化粪池</w:t>
                  </w:r>
                  <w:r>
                    <w:rPr>
                      <w:rFonts w:hint="default" w:ascii="Times New Roman" w:hAnsi="Times New Roman" w:eastAsia="宋体" w:cs="Times New Roman"/>
                      <w:color w:val="auto"/>
                      <w:sz w:val="21"/>
                      <w:szCs w:val="21"/>
                    </w:rPr>
                    <w:t>处理后</w:t>
                  </w:r>
                  <w:r>
                    <w:rPr>
                      <w:rFonts w:hint="eastAsia" w:ascii="Times New Roman" w:hAnsi="Times New Roman" w:eastAsia="宋体" w:cs="Times New Roman"/>
                      <w:color w:val="auto"/>
                      <w:sz w:val="21"/>
                      <w:szCs w:val="21"/>
                      <w:lang w:eastAsia="zh-CN"/>
                    </w:rPr>
                    <w:t>于废水收集池内暂存</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晴天</w:t>
                  </w:r>
                  <w:r>
                    <w:rPr>
                      <w:rFonts w:hint="default" w:ascii="Times New Roman" w:hAnsi="Times New Roman" w:eastAsia="宋体" w:cs="Times New Roman"/>
                      <w:color w:val="auto"/>
                      <w:sz w:val="21"/>
                      <w:szCs w:val="21"/>
                    </w:rPr>
                    <w:t>全部回用于项目区</w:t>
                  </w:r>
                  <w:r>
                    <w:rPr>
                      <w:rFonts w:hint="eastAsia" w:ascii="Times New Roman" w:hAnsi="Times New Roman" w:eastAsia="宋体" w:cs="Times New Roman"/>
                      <w:color w:val="auto"/>
                      <w:sz w:val="21"/>
                      <w:szCs w:val="21"/>
                      <w:lang w:eastAsia="zh-CN"/>
                    </w:rPr>
                    <w:t>升压站内</w:t>
                  </w:r>
                  <w:r>
                    <w:rPr>
                      <w:rFonts w:hint="default" w:ascii="Times New Roman" w:hAnsi="Times New Roman" w:eastAsia="宋体" w:cs="Times New Roman"/>
                      <w:color w:val="auto"/>
                      <w:sz w:val="21"/>
                      <w:szCs w:val="21"/>
                    </w:rPr>
                    <w:t>绿化</w:t>
                  </w:r>
                  <w:r>
                    <w:rPr>
                      <w:rFonts w:hint="eastAsia" w:ascii="Times New Roman" w:hAnsi="Times New Roman" w:eastAsia="宋体" w:cs="Times New Roman"/>
                      <w:color w:val="auto"/>
                      <w:sz w:val="21"/>
                      <w:szCs w:val="21"/>
                      <w:lang w:eastAsia="zh-CN"/>
                    </w:rPr>
                    <w:t>。</w:t>
                  </w:r>
                </w:p>
              </w:tc>
              <w:tc>
                <w:tcPr>
                  <w:tcW w:w="888" w:type="dxa"/>
                  <w:vMerge w:val="continue"/>
                  <w:tcBorders>
                    <w:tl2br w:val="nil"/>
                    <w:tr2bl w:val="nil"/>
                  </w:tcBorders>
                  <w:vAlign w:val="center"/>
                </w:tcPr>
                <w:p w14:paraId="33970239">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26106852">
                  <w:pPr>
                    <w:spacing w:line="240" w:lineRule="auto"/>
                    <w:jc w:val="center"/>
                    <w:rPr>
                      <w:rFonts w:hint="default" w:ascii="Times New Roman" w:hAnsi="Times New Roman" w:eastAsia="宋体" w:cs="Times New Roman"/>
                      <w:sz w:val="21"/>
                      <w:szCs w:val="21"/>
                      <w:lang w:val="en-US" w:eastAsia="zh-CN"/>
                    </w:rPr>
                  </w:pPr>
                </w:p>
              </w:tc>
            </w:tr>
            <w:tr w14:paraId="55AE5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6B7AE6E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生态</w:t>
                  </w:r>
                </w:p>
              </w:tc>
              <w:tc>
                <w:tcPr>
                  <w:tcW w:w="5028" w:type="dxa"/>
                  <w:tcBorders>
                    <w:tl2br w:val="nil"/>
                    <w:tr2bl w:val="nil"/>
                  </w:tcBorders>
                  <w:vAlign w:val="center"/>
                </w:tcPr>
                <w:p w14:paraId="3BDC14F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严格控制施工活动区域，不破坏征地范围外及对光伏方阵空地和未利用地等不扰动区域的植被，严禁猎杀野生动物，严格执行水土保持措施，施工结束后临建设施要及时进行拆除、清理以及生态恢复。</w:t>
                  </w:r>
                </w:p>
              </w:tc>
              <w:tc>
                <w:tcPr>
                  <w:tcW w:w="888" w:type="dxa"/>
                  <w:vMerge w:val="continue"/>
                  <w:tcBorders>
                    <w:tl2br w:val="nil"/>
                    <w:tr2bl w:val="nil"/>
                  </w:tcBorders>
                  <w:vAlign w:val="center"/>
                </w:tcPr>
                <w:p w14:paraId="0A0C880B">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711F19C8">
                  <w:pPr>
                    <w:spacing w:line="240" w:lineRule="auto"/>
                    <w:jc w:val="center"/>
                    <w:rPr>
                      <w:rFonts w:hint="default" w:ascii="Times New Roman" w:hAnsi="Times New Roman" w:eastAsia="宋体" w:cs="Times New Roman"/>
                      <w:sz w:val="21"/>
                      <w:szCs w:val="21"/>
                      <w:lang w:val="en-US" w:eastAsia="zh-CN"/>
                    </w:rPr>
                  </w:pPr>
                </w:p>
              </w:tc>
            </w:tr>
            <w:tr w14:paraId="058F44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36613B6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噪声</w:t>
                  </w:r>
                </w:p>
              </w:tc>
              <w:tc>
                <w:tcPr>
                  <w:tcW w:w="5028" w:type="dxa"/>
                  <w:tcBorders>
                    <w:tl2br w:val="nil"/>
                    <w:tr2bl w:val="nil"/>
                  </w:tcBorders>
                  <w:vAlign w:val="center"/>
                </w:tcPr>
                <w:p w14:paraId="6358B37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施工期：合理安排施工时间，严禁夜间施工，加强施工机械设备的管理和维护。</w:t>
                  </w:r>
                </w:p>
                <w:p w14:paraId="7AD1394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选用低噪声设备，箱式变压器、逆变器采取隔声、减震降噪。</w:t>
                  </w:r>
                </w:p>
              </w:tc>
              <w:tc>
                <w:tcPr>
                  <w:tcW w:w="888" w:type="dxa"/>
                  <w:vMerge w:val="continue"/>
                  <w:tcBorders>
                    <w:tl2br w:val="nil"/>
                    <w:tr2bl w:val="nil"/>
                  </w:tcBorders>
                  <w:vAlign w:val="center"/>
                </w:tcPr>
                <w:p w14:paraId="09CD85B3">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184E8DCC">
                  <w:pPr>
                    <w:spacing w:line="240" w:lineRule="auto"/>
                    <w:jc w:val="center"/>
                    <w:rPr>
                      <w:rFonts w:hint="default" w:ascii="Times New Roman" w:hAnsi="Times New Roman" w:eastAsia="宋体" w:cs="Times New Roman"/>
                      <w:sz w:val="21"/>
                      <w:szCs w:val="21"/>
                      <w:lang w:val="en-US" w:eastAsia="zh-CN"/>
                    </w:rPr>
                  </w:pPr>
                </w:p>
              </w:tc>
            </w:tr>
            <w:tr w14:paraId="67C13E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86" w:type="dxa"/>
                  <w:tcBorders>
                    <w:tl2br w:val="nil"/>
                    <w:tr2bl w:val="nil"/>
                  </w:tcBorders>
                  <w:vAlign w:val="center"/>
                </w:tcPr>
                <w:p w14:paraId="215363A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固废</w:t>
                  </w:r>
                </w:p>
              </w:tc>
              <w:tc>
                <w:tcPr>
                  <w:tcW w:w="5028" w:type="dxa"/>
                  <w:tcBorders>
                    <w:tl2br w:val="nil"/>
                    <w:tr2bl w:val="nil"/>
                  </w:tcBorders>
                  <w:vAlign w:val="center"/>
                </w:tcPr>
                <w:p w14:paraId="7099536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施工期：土石方全部回填利用；剥离表土全部堆存于</w:t>
                  </w:r>
                  <w:r>
                    <w:rPr>
                      <w:rFonts w:hint="eastAsia" w:ascii="Times New Roman" w:hAnsi="Times New Roman" w:eastAsia="宋体" w:cs="Times New Roman"/>
                      <w:sz w:val="21"/>
                      <w:szCs w:val="21"/>
                      <w:lang w:eastAsia="zh-CN"/>
                    </w:rPr>
                    <w:t>临时</w:t>
                  </w:r>
                  <w:r>
                    <w:rPr>
                      <w:rFonts w:hint="default" w:ascii="Times New Roman" w:hAnsi="Times New Roman" w:eastAsia="宋体" w:cs="Times New Roman"/>
                      <w:sz w:val="21"/>
                      <w:szCs w:val="21"/>
                    </w:rPr>
                    <w:t>表土堆场内，用于后期绿化覆土；生活垃圾集中收集后与附近村庄垃圾一同处置。</w:t>
                  </w:r>
                </w:p>
                <w:p w14:paraId="415E7AA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运营期：生活垃圾经统一集中收集后，与附近村庄垃圾一同处置；损坏更换的电池组件由厂家回收处置；设置一间危险废物暂存间用于收集暂存废变压器油</w:t>
                  </w:r>
                  <w:r>
                    <w:rPr>
                      <w:rFonts w:hint="eastAsia" w:ascii="Times New Roman" w:hAnsi="Times New Roman" w:eastAsia="宋体" w:cs="Times New Roman"/>
                      <w:sz w:val="21"/>
                      <w:szCs w:val="21"/>
                      <w:lang w:eastAsia="zh-CN"/>
                    </w:rPr>
                    <w:t>及废旧铅蓄电池</w:t>
                  </w:r>
                  <w:r>
                    <w:rPr>
                      <w:rFonts w:hint="default" w:ascii="Times New Roman" w:hAnsi="Times New Roman" w:eastAsia="宋体" w:cs="Times New Roman"/>
                      <w:sz w:val="21"/>
                      <w:szCs w:val="21"/>
                    </w:rPr>
                    <w:t>。</w:t>
                  </w:r>
                </w:p>
              </w:tc>
              <w:tc>
                <w:tcPr>
                  <w:tcW w:w="888" w:type="dxa"/>
                  <w:vMerge w:val="continue"/>
                  <w:tcBorders>
                    <w:tl2br w:val="nil"/>
                    <w:tr2bl w:val="nil"/>
                  </w:tcBorders>
                  <w:vAlign w:val="center"/>
                </w:tcPr>
                <w:p w14:paraId="1A6A2CBF">
                  <w:pPr>
                    <w:spacing w:line="240" w:lineRule="auto"/>
                    <w:jc w:val="center"/>
                    <w:rPr>
                      <w:rFonts w:hint="default" w:ascii="Times New Roman" w:hAnsi="Times New Roman" w:eastAsia="宋体" w:cs="Times New Roman"/>
                      <w:sz w:val="21"/>
                      <w:szCs w:val="21"/>
                      <w:lang w:val="en-US" w:eastAsia="zh-CN"/>
                    </w:rPr>
                  </w:pPr>
                </w:p>
              </w:tc>
              <w:tc>
                <w:tcPr>
                  <w:tcW w:w="1109" w:type="dxa"/>
                  <w:vMerge w:val="continue"/>
                  <w:tcBorders>
                    <w:tl2br w:val="nil"/>
                    <w:tr2bl w:val="nil"/>
                  </w:tcBorders>
                  <w:vAlign w:val="center"/>
                </w:tcPr>
                <w:p w14:paraId="712F0563">
                  <w:pPr>
                    <w:spacing w:line="240" w:lineRule="auto"/>
                    <w:jc w:val="center"/>
                    <w:rPr>
                      <w:rFonts w:hint="default" w:ascii="Times New Roman" w:hAnsi="Times New Roman" w:eastAsia="宋体" w:cs="Times New Roman"/>
                      <w:sz w:val="21"/>
                      <w:szCs w:val="21"/>
                      <w:lang w:val="en-US" w:eastAsia="zh-CN"/>
                    </w:rPr>
                  </w:pPr>
                </w:p>
              </w:tc>
            </w:tr>
          </w:tbl>
          <w:p w14:paraId="050EA497">
            <w:pPr>
              <w:spacing w:before="51" w:line="185" w:lineRule="auto"/>
              <w:rPr>
                <w:rFonts w:ascii="Times New Roman" w:hAnsi="Times New Roman" w:eastAsia="Times New Roman" w:cs="Times New Roman"/>
                <w:b/>
                <w:bCs/>
                <w:spacing w:val="13"/>
                <w:sz w:val="24"/>
                <w:szCs w:val="24"/>
              </w:rPr>
            </w:pPr>
          </w:p>
          <w:p w14:paraId="7F336259">
            <w:pPr>
              <w:numPr>
                <w:ilvl w:val="0"/>
                <w:numId w:val="0"/>
              </w:numPr>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2、环境监测计划</w:t>
            </w:r>
          </w:p>
          <w:p w14:paraId="030F386F">
            <w:pPr>
              <w:spacing w:line="360" w:lineRule="auto"/>
              <w:ind w:firstLine="472" w:firstLineChars="200"/>
              <w:rPr>
                <w:rFonts w:hint="eastAsia" w:ascii="宋体" w:hAnsi="宋体" w:eastAsia="宋体" w:cs="宋体"/>
                <w:spacing w:val="-5"/>
                <w:sz w:val="24"/>
                <w:szCs w:val="24"/>
                <w:lang w:eastAsia="zh-CN"/>
              </w:rPr>
            </w:pPr>
            <w:r>
              <w:rPr>
                <w:rFonts w:ascii="宋体" w:hAnsi="宋体" w:eastAsia="宋体" w:cs="宋体"/>
                <w:spacing w:val="-2"/>
                <w:sz w:val="24"/>
                <w:szCs w:val="24"/>
              </w:rPr>
              <w:t>根据《排污单位自行监测技术指南总则》（</w:t>
            </w:r>
            <w:r>
              <w:rPr>
                <w:rFonts w:ascii="Times New Roman" w:hAnsi="Times New Roman" w:eastAsia="Times New Roman" w:cs="Times New Roman"/>
                <w:spacing w:val="-2"/>
                <w:sz w:val="24"/>
                <w:szCs w:val="24"/>
              </w:rPr>
              <w:t>HJ</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2"/>
                <w:sz w:val="24"/>
                <w:szCs w:val="24"/>
              </w:rPr>
              <w:t>819-2017</w:t>
            </w:r>
            <w:r>
              <w:rPr>
                <w:rFonts w:ascii="宋体" w:hAnsi="宋体" w:eastAsia="宋体" w:cs="宋体"/>
                <w:spacing w:val="13"/>
                <w:sz w:val="24"/>
                <w:szCs w:val="24"/>
              </w:rPr>
              <w:t>），</w:t>
            </w:r>
            <w:r>
              <w:rPr>
                <w:rFonts w:ascii="宋体" w:hAnsi="宋体" w:eastAsia="宋体" w:cs="宋体"/>
                <w:spacing w:val="-2"/>
                <w:sz w:val="24"/>
                <w:szCs w:val="24"/>
              </w:rPr>
              <w:t>结合本项目的</w:t>
            </w:r>
            <w:r>
              <w:rPr>
                <w:rFonts w:ascii="宋体" w:hAnsi="宋体" w:eastAsia="宋体" w:cs="宋体"/>
                <w:sz w:val="24"/>
                <w:szCs w:val="24"/>
              </w:rPr>
              <w:t xml:space="preserve"> </w:t>
            </w:r>
            <w:r>
              <w:rPr>
                <w:rFonts w:ascii="宋体" w:hAnsi="宋体" w:eastAsia="宋体" w:cs="宋体"/>
                <w:spacing w:val="-5"/>
                <w:sz w:val="24"/>
                <w:szCs w:val="24"/>
              </w:rPr>
              <w:t>自身特点，确定环境监测的主要工作内容如下</w:t>
            </w:r>
            <w:r>
              <w:rPr>
                <w:rFonts w:hint="eastAsia" w:ascii="宋体" w:hAnsi="宋体" w:eastAsia="宋体" w:cs="宋体"/>
                <w:spacing w:val="-5"/>
                <w:sz w:val="24"/>
                <w:szCs w:val="24"/>
                <w:lang w:eastAsia="zh-CN"/>
              </w:rPr>
              <w:t>：</w:t>
            </w:r>
          </w:p>
          <w:p w14:paraId="7C07EFC4">
            <w:pPr>
              <w:adjustRightInd w:val="0"/>
              <w:snapToGrid w:val="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表5-2</w:t>
            </w:r>
            <w:r>
              <w:rPr>
                <w:rFonts w:hint="default" w:ascii="Times New Roman" w:hAnsi="Times New Roman" w:cs="Times New Roman"/>
                <w:b/>
                <w:bCs/>
                <w:sz w:val="21"/>
                <w:szCs w:val="21"/>
                <w:lang w:val="en-US" w:eastAsia="zh-CN"/>
              </w:rPr>
              <w:t xml:space="preserve"> 项目运营期环境监测计</w:t>
            </w:r>
          </w:p>
          <w:tbl>
            <w:tblPr>
              <w:tblStyle w:val="22"/>
              <w:tblW w:w="8211"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920"/>
              <w:gridCol w:w="1329"/>
              <w:gridCol w:w="1702"/>
              <w:gridCol w:w="2130"/>
            </w:tblGrid>
            <w:tr w14:paraId="6A8CD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30" w:type="dxa"/>
                  <w:tcBorders>
                    <w:tl2br w:val="nil"/>
                    <w:tr2bl w:val="nil"/>
                  </w:tcBorders>
                  <w:vAlign w:val="center"/>
                </w:tcPr>
                <w:p w14:paraId="0CDEA858">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监测内容</w:t>
                  </w:r>
                </w:p>
              </w:tc>
              <w:tc>
                <w:tcPr>
                  <w:tcW w:w="1920" w:type="dxa"/>
                  <w:tcBorders>
                    <w:tl2br w:val="nil"/>
                    <w:tr2bl w:val="nil"/>
                  </w:tcBorders>
                  <w:vAlign w:val="center"/>
                </w:tcPr>
                <w:p w14:paraId="7BDECFFD">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监测项目</w:t>
                  </w:r>
                </w:p>
              </w:tc>
              <w:tc>
                <w:tcPr>
                  <w:tcW w:w="1329" w:type="dxa"/>
                  <w:tcBorders>
                    <w:tl2br w:val="nil"/>
                    <w:tr2bl w:val="nil"/>
                  </w:tcBorders>
                  <w:vAlign w:val="center"/>
                </w:tcPr>
                <w:p w14:paraId="4C83921C">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监测布点</w:t>
                  </w:r>
                </w:p>
              </w:tc>
              <w:tc>
                <w:tcPr>
                  <w:tcW w:w="1702" w:type="dxa"/>
                  <w:tcBorders>
                    <w:tl2br w:val="nil"/>
                    <w:tr2bl w:val="nil"/>
                  </w:tcBorders>
                  <w:vAlign w:val="center"/>
                </w:tcPr>
                <w:p w14:paraId="091D27AF">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监测频率</w:t>
                  </w:r>
                </w:p>
              </w:tc>
              <w:tc>
                <w:tcPr>
                  <w:tcW w:w="2130" w:type="dxa"/>
                  <w:tcBorders>
                    <w:tl2br w:val="nil"/>
                    <w:tr2bl w:val="nil"/>
                  </w:tcBorders>
                  <w:vAlign w:val="center"/>
                </w:tcPr>
                <w:p w14:paraId="08CB7EC6">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执行标准</w:t>
                  </w:r>
                </w:p>
              </w:tc>
            </w:tr>
            <w:tr w14:paraId="1E9255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30" w:type="dxa"/>
                  <w:tcBorders>
                    <w:tl2br w:val="nil"/>
                    <w:tr2bl w:val="nil"/>
                  </w:tcBorders>
                  <w:vAlign w:val="center"/>
                </w:tcPr>
                <w:p w14:paraId="461A028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1920" w:type="dxa"/>
                  <w:tcBorders>
                    <w:tl2br w:val="nil"/>
                    <w:tr2bl w:val="nil"/>
                  </w:tcBorders>
                  <w:vAlign w:val="center"/>
                </w:tcPr>
                <w:p w14:paraId="77B05610">
                  <w:pPr>
                    <w:spacing w:line="240" w:lineRule="auto"/>
                    <w:jc w:val="center"/>
                    <w:rPr>
                      <w:rFonts w:hint="default" w:ascii="Times New Roman" w:hAnsi="Times New Roman" w:eastAsia="宋体" w:cs="Times New Roman"/>
                      <w:sz w:val="21"/>
                      <w:szCs w:val="21"/>
                    </w:rPr>
                  </w:pPr>
                </w:p>
                <w:p w14:paraId="4FFC320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连续等效A 声级</w:t>
                  </w:r>
                </w:p>
              </w:tc>
              <w:tc>
                <w:tcPr>
                  <w:tcW w:w="1329" w:type="dxa"/>
                  <w:tcBorders>
                    <w:tl2br w:val="nil"/>
                    <w:tr2bl w:val="nil"/>
                  </w:tcBorders>
                  <w:vAlign w:val="center"/>
                </w:tcPr>
                <w:p w14:paraId="7235156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升压站厂界四周</w:t>
                  </w:r>
                </w:p>
              </w:tc>
              <w:tc>
                <w:tcPr>
                  <w:tcW w:w="1702" w:type="dxa"/>
                  <w:tcBorders>
                    <w:tl2br w:val="nil"/>
                    <w:tr2bl w:val="nil"/>
                  </w:tcBorders>
                  <w:vAlign w:val="center"/>
                </w:tcPr>
                <w:p w14:paraId="57F3486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验收时监测 1</w:t>
                  </w:r>
                </w:p>
                <w:p w14:paraId="76ADBAD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次。 正常运行后每年监测 1 次</w:t>
                  </w:r>
                </w:p>
              </w:tc>
              <w:tc>
                <w:tcPr>
                  <w:tcW w:w="2130" w:type="dxa"/>
                  <w:tcBorders>
                    <w:tl2br w:val="nil"/>
                    <w:tr2bl w:val="nil"/>
                  </w:tcBorders>
                  <w:vAlign w:val="center"/>
                </w:tcPr>
                <w:p w14:paraId="0DE7300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 排放标准》</w:t>
                  </w:r>
                </w:p>
                <w:p w14:paraId="74FE367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（GB12348-2008）2 类标准</w:t>
                  </w:r>
                </w:p>
              </w:tc>
            </w:tr>
          </w:tbl>
          <w:p w14:paraId="3681DF0F">
            <w:pPr>
              <w:rPr>
                <w:rFonts w:hint="default" w:eastAsiaTheme="minorEastAsia"/>
                <w:lang w:val="en-US" w:eastAsia="zh-CN"/>
              </w:rPr>
            </w:pPr>
          </w:p>
        </w:tc>
      </w:tr>
      <w:tr w14:paraId="3189D4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749AF02E">
            <w:pPr>
              <w:adjustRightInd w:val="0"/>
              <w:snapToGrid w:val="0"/>
              <w:jc w:val="center"/>
              <w:rPr>
                <w:rFonts w:ascii="宋体" w:hAnsi="宋体" w:cs="宋体"/>
                <w:b/>
                <w:bCs w:val="0"/>
                <w:spacing w:val="10"/>
                <w:sz w:val="24"/>
                <w:szCs w:val="24"/>
              </w:rPr>
            </w:pPr>
            <w:r>
              <w:rPr>
                <w:rFonts w:hint="eastAsia" w:ascii="宋体" w:hAnsi="宋体"/>
                <w:b/>
                <w:bCs w:val="0"/>
                <w:sz w:val="24"/>
                <w:szCs w:val="24"/>
              </w:rPr>
              <w:t>环保投资</w:t>
            </w:r>
          </w:p>
        </w:tc>
        <w:tc>
          <w:tcPr>
            <w:tcW w:w="8457" w:type="dxa"/>
            <w:vAlign w:val="top"/>
          </w:tcPr>
          <w:p w14:paraId="37469450">
            <w:pPr>
              <w:autoSpaceDE w:val="0"/>
              <w:autoSpaceDN w:val="0"/>
              <w:adjustRightInd w:val="0"/>
              <w:spacing w:line="360" w:lineRule="auto"/>
              <w:ind w:firstLine="480" w:firstLineChars="200"/>
              <w:rPr>
                <w:rFonts w:eastAsia="宋体"/>
                <w:sz w:val="24"/>
                <w:shd w:val="clear" w:color="auto" w:fill="FFFFFF" w:themeFill="background1"/>
              </w:rPr>
            </w:pPr>
            <w:r>
              <w:rPr>
                <w:rFonts w:hint="eastAsia" w:eastAsia="宋体"/>
                <w:sz w:val="24"/>
                <w:shd w:val="clear" w:color="auto" w:fill="FFFFFF" w:themeFill="background1"/>
              </w:rPr>
              <w:t>本工程</w:t>
            </w:r>
            <w:r>
              <w:rPr>
                <w:rFonts w:eastAsia="宋体"/>
                <w:sz w:val="24"/>
                <w:shd w:val="clear" w:color="auto" w:fill="FFFFFF" w:themeFill="background1"/>
              </w:rPr>
              <w:t>总投资</w:t>
            </w:r>
            <w:r>
              <w:rPr>
                <w:rFonts w:hint="default" w:ascii="Times New Roman" w:hAnsi="Times New Roman" w:eastAsia="宋体" w:cs="Times New Roman"/>
                <w:sz w:val="24"/>
                <w:shd w:val="clear" w:color="auto" w:fill="FFFFFF" w:themeFill="background1"/>
              </w:rPr>
              <w:t>为</w:t>
            </w:r>
            <w:r>
              <w:rPr>
                <w:rFonts w:hint="default" w:ascii="Times New Roman" w:hAnsi="Times New Roman" w:eastAsia="宋体" w:cs="Times New Roman"/>
                <w:sz w:val="24"/>
                <w:shd w:val="clear" w:color="auto" w:fill="FFFFFF" w:themeFill="background1"/>
                <w:lang w:val="en-US" w:eastAsia="zh-CN"/>
              </w:rPr>
              <w:t>31050</w:t>
            </w:r>
            <w:r>
              <w:rPr>
                <w:rFonts w:hint="default" w:ascii="Times New Roman" w:hAnsi="Times New Roman" w:eastAsia="宋体" w:cs="Times New Roman"/>
                <w:sz w:val="24"/>
                <w:shd w:val="clear" w:color="auto" w:fill="FFFFFF" w:themeFill="background1"/>
              </w:rPr>
              <w:t>万元，</w:t>
            </w:r>
            <w:r>
              <w:rPr>
                <w:rFonts w:hint="default" w:ascii="Times New Roman" w:hAnsi="Times New Roman" w:eastAsia="宋体" w:cs="Times New Roman"/>
                <w:spacing w:val="-2"/>
                <w:sz w:val="24"/>
                <w:szCs w:val="24"/>
              </w:rPr>
              <w:t>本项目环保投资约</w:t>
            </w:r>
            <w:r>
              <w:rPr>
                <w:rFonts w:hint="eastAsia" w:ascii="Times New Roman" w:hAnsi="Times New Roman" w:eastAsia="宋体" w:cs="Times New Roman"/>
                <w:spacing w:val="-2"/>
                <w:sz w:val="24"/>
                <w:szCs w:val="24"/>
                <w:lang w:val="en-US" w:eastAsia="zh-CN"/>
              </w:rPr>
              <w:t>223.5</w:t>
            </w:r>
            <w:r>
              <w:rPr>
                <w:rFonts w:hint="default" w:ascii="Times New Roman" w:hAnsi="Times New Roman" w:eastAsia="宋体" w:cs="Times New Roman"/>
                <w:spacing w:val="-2"/>
                <w:sz w:val="24"/>
                <w:szCs w:val="24"/>
              </w:rPr>
              <w:t>万元，占总投资的</w:t>
            </w:r>
            <w:r>
              <w:rPr>
                <w:rFonts w:hint="eastAsia" w:ascii="Times New Roman" w:hAnsi="Times New Roman" w:eastAsia="宋体" w:cs="Times New Roman"/>
                <w:spacing w:val="-2"/>
                <w:sz w:val="24"/>
                <w:szCs w:val="24"/>
                <w:lang w:val="en-US" w:eastAsia="zh-CN"/>
              </w:rPr>
              <w:t>0.72</w:t>
            </w:r>
            <w:r>
              <w:rPr>
                <w:rFonts w:hint="default" w:ascii="Times New Roman" w:hAnsi="Times New Roman" w:eastAsia="Times New Roman" w:cs="Times New Roman"/>
                <w:spacing w:val="-2"/>
                <w:sz w:val="24"/>
                <w:szCs w:val="24"/>
              </w:rPr>
              <w:t>%</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1"/>
                <w:sz w:val="24"/>
                <w:szCs w:val="24"/>
              </w:rPr>
              <w:t>环保投资明细见下表</w:t>
            </w:r>
            <w:r>
              <w:rPr>
                <w:rFonts w:ascii="Times New Roman" w:hAnsi="Times New Roman" w:eastAsia="Times New Roman" w:cs="Times New Roman"/>
                <w:spacing w:val="-1"/>
                <w:sz w:val="24"/>
                <w:szCs w:val="24"/>
              </w:rPr>
              <w:t>5-3</w:t>
            </w:r>
            <w:r>
              <w:rPr>
                <w:rFonts w:eastAsia="宋体"/>
                <w:sz w:val="24"/>
                <w:shd w:val="clear" w:color="auto" w:fill="FFFFFF" w:themeFill="background1"/>
              </w:rPr>
              <w:t>。</w:t>
            </w:r>
          </w:p>
          <w:p w14:paraId="00C387CC">
            <w:pPr>
              <w:pStyle w:val="7"/>
              <w:keepNext/>
              <w:jc w:val="center"/>
              <w:rPr>
                <w:rFonts w:hint="default" w:ascii="Times New Roman" w:hAnsi="Times New Roman" w:eastAsia="宋体" w:cs="Times New Roman"/>
                <w:b/>
                <w:bCs/>
              </w:rPr>
            </w:pPr>
            <w:bookmarkStart w:id="29" w:name="_Ref89794457"/>
            <w:r>
              <w:rPr>
                <w:rFonts w:hint="default" w:ascii="Times New Roman" w:hAnsi="Times New Roman" w:eastAsia="宋体" w:cs="Times New Roman"/>
                <w:b/>
                <w:bCs/>
              </w:rPr>
              <w:t>表</w:t>
            </w:r>
            <w:bookmarkEnd w:id="29"/>
            <w:r>
              <w:rPr>
                <w:rFonts w:hint="default" w:ascii="Times New Roman" w:hAnsi="Times New Roman" w:eastAsia="宋体" w:cs="Times New Roman"/>
                <w:b/>
                <w:bCs/>
                <w:lang w:val="en-US" w:eastAsia="zh-CN"/>
              </w:rPr>
              <w:t>5-3</w:t>
            </w:r>
            <w:r>
              <w:rPr>
                <w:rFonts w:hint="default" w:ascii="Times New Roman" w:hAnsi="Times New Roman" w:eastAsia="宋体" w:cs="Times New Roman"/>
                <w:b/>
                <w:bCs/>
              </w:rPr>
              <w:t>工程环保投资一览表</w:t>
            </w:r>
          </w:p>
          <w:tbl>
            <w:tblPr>
              <w:tblStyle w:val="22"/>
              <w:tblW w:w="821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3"/>
              <w:gridCol w:w="869"/>
              <w:gridCol w:w="4713"/>
              <w:gridCol w:w="1896"/>
            </w:tblGrid>
            <w:tr w14:paraId="14992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tcBorders>
                    <w:tl2br w:val="nil"/>
                    <w:tr2bl w:val="nil"/>
                  </w:tcBorders>
                  <w:vAlign w:val="center"/>
                </w:tcPr>
                <w:p w14:paraId="61D9BAD8">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阶段</w:t>
                  </w:r>
                </w:p>
              </w:tc>
              <w:tc>
                <w:tcPr>
                  <w:tcW w:w="869" w:type="dxa"/>
                  <w:tcBorders>
                    <w:tl2br w:val="nil"/>
                    <w:tr2bl w:val="nil"/>
                  </w:tcBorders>
                  <w:vAlign w:val="center"/>
                </w:tcPr>
                <w:p w14:paraId="36A8CAA3">
                  <w:pPr>
                    <w:jc w:val="center"/>
                    <w:rPr>
                      <w:rFonts w:hint="default" w:ascii="Times New Roman" w:hAnsi="Times New Roman" w:cs="Times New Roman" w:eastAsiaTheme="minorEastAsia"/>
                      <w:b/>
                      <w:bCs/>
                      <w:sz w:val="21"/>
                      <w:szCs w:val="21"/>
                      <w:lang w:eastAsia="zh-CN"/>
                    </w:rPr>
                  </w:pPr>
                  <w:r>
                    <w:rPr>
                      <w:rFonts w:hint="default" w:ascii="Times New Roman" w:hAnsi="Times New Roman" w:cs="Times New Roman"/>
                      <w:b/>
                      <w:bCs/>
                      <w:sz w:val="21"/>
                      <w:szCs w:val="21"/>
                      <w:lang w:eastAsia="zh-CN"/>
                    </w:rPr>
                    <w:t>项目</w:t>
                  </w:r>
                </w:p>
              </w:tc>
              <w:tc>
                <w:tcPr>
                  <w:tcW w:w="4713" w:type="dxa"/>
                  <w:tcBorders>
                    <w:tl2br w:val="nil"/>
                    <w:tr2bl w:val="nil"/>
                  </w:tcBorders>
                  <w:vAlign w:val="center"/>
                </w:tcPr>
                <w:p w14:paraId="26C67E9C">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措施</w:t>
                  </w:r>
                </w:p>
              </w:tc>
              <w:tc>
                <w:tcPr>
                  <w:tcW w:w="1896" w:type="dxa"/>
                  <w:tcBorders>
                    <w:tl2br w:val="nil"/>
                    <w:tr2bl w:val="nil"/>
                  </w:tcBorders>
                  <w:vAlign w:val="center"/>
                </w:tcPr>
                <w:p w14:paraId="6698B90E">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投资金额(万元)</w:t>
                  </w:r>
                </w:p>
              </w:tc>
            </w:tr>
            <w:tr w14:paraId="7E2E1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64577604">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施工期</w:t>
                  </w:r>
                </w:p>
              </w:tc>
              <w:tc>
                <w:tcPr>
                  <w:tcW w:w="869" w:type="dxa"/>
                  <w:tcBorders>
                    <w:tl2br w:val="nil"/>
                    <w:tr2bl w:val="nil"/>
                  </w:tcBorders>
                  <w:vAlign w:val="center"/>
                </w:tcPr>
                <w:p w14:paraId="13F2F611">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5146A268">
                  <w:pPr>
                    <w:jc w:val="center"/>
                    <w:rPr>
                      <w:rFonts w:hint="default" w:ascii="Times New Roman" w:hAnsi="Times New Roman" w:cs="Times New Roman"/>
                      <w:sz w:val="21"/>
                      <w:szCs w:val="21"/>
                    </w:rPr>
                  </w:pPr>
                  <w:r>
                    <w:rPr>
                      <w:rFonts w:hint="default" w:ascii="Times New Roman" w:hAnsi="Times New Roman" w:cs="Times New Roman"/>
                      <w:sz w:val="21"/>
                      <w:szCs w:val="21"/>
                    </w:rPr>
                    <w:t>1辆洒水车、洒水降尘、防尘网、</w:t>
                  </w:r>
                </w:p>
              </w:tc>
              <w:tc>
                <w:tcPr>
                  <w:tcW w:w="1896" w:type="dxa"/>
                  <w:tcBorders>
                    <w:tl2br w:val="nil"/>
                    <w:tr2bl w:val="nil"/>
                  </w:tcBorders>
                  <w:vAlign w:val="center"/>
                </w:tcPr>
                <w:p w14:paraId="04AE94FF">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20</w:t>
                  </w:r>
                </w:p>
              </w:tc>
            </w:tr>
            <w:tr w14:paraId="34D52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72D7B51">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6B765546">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3322D4E4">
                  <w:pPr>
                    <w:jc w:val="center"/>
                    <w:rPr>
                      <w:rFonts w:hint="default" w:ascii="Times New Roman" w:hAnsi="Times New Roman" w:cs="Times New Roman"/>
                      <w:sz w:val="21"/>
                      <w:szCs w:val="21"/>
                    </w:rPr>
                  </w:pPr>
                  <w:r>
                    <w:rPr>
                      <w:rFonts w:hint="default" w:ascii="Times New Roman" w:hAnsi="Times New Roman" w:cs="Times New Roman"/>
                      <w:sz w:val="21"/>
                      <w:szCs w:val="21"/>
                    </w:rPr>
                    <w:t>1座3m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施工废水的沉淀池</w:t>
                  </w:r>
                </w:p>
              </w:tc>
              <w:tc>
                <w:tcPr>
                  <w:tcW w:w="1896" w:type="dxa"/>
                  <w:tcBorders>
                    <w:tl2br w:val="nil"/>
                    <w:tr2bl w:val="nil"/>
                  </w:tcBorders>
                  <w:vAlign w:val="center"/>
                </w:tcPr>
                <w:p w14:paraId="76CE77CA">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0.5</w:t>
                  </w:r>
                </w:p>
              </w:tc>
            </w:tr>
            <w:tr w14:paraId="60986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2468847">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1066B1ED">
                  <w:pPr>
                    <w:jc w:val="center"/>
                    <w:rPr>
                      <w:rFonts w:hint="default" w:ascii="Times New Roman" w:hAnsi="Times New Roman" w:cs="Times New Roman"/>
                      <w:sz w:val="21"/>
                      <w:szCs w:val="21"/>
                    </w:rPr>
                  </w:pPr>
                </w:p>
              </w:tc>
              <w:tc>
                <w:tcPr>
                  <w:tcW w:w="4713" w:type="dxa"/>
                  <w:tcBorders>
                    <w:tl2br w:val="nil"/>
                    <w:tr2bl w:val="nil"/>
                  </w:tcBorders>
                  <w:vAlign w:val="center"/>
                </w:tcPr>
                <w:p w14:paraId="490645C6">
                  <w:pPr>
                    <w:jc w:val="center"/>
                    <w:rPr>
                      <w:rFonts w:hint="default" w:ascii="Times New Roman" w:hAnsi="Times New Roman" w:cs="Times New Roman"/>
                      <w:sz w:val="21"/>
                      <w:szCs w:val="21"/>
                    </w:rPr>
                  </w:pPr>
                  <w:r>
                    <w:rPr>
                      <w:rFonts w:hint="default" w:ascii="Times New Roman" w:hAnsi="Times New Roman" w:cs="Times New Roman"/>
                      <w:sz w:val="21"/>
                      <w:szCs w:val="21"/>
                    </w:rPr>
                    <w:t>1个旱厕、1座1m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的隔油池、1座4m</w:t>
                  </w:r>
                  <w:r>
                    <w:rPr>
                      <w:rFonts w:hint="default" w:ascii="Times New Roman" w:hAnsi="Times New Roman" w:cs="Times New Roman"/>
                      <w:sz w:val="21"/>
                      <w:szCs w:val="21"/>
                      <w:vertAlign w:val="superscript"/>
                    </w:rPr>
                    <w:t xml:space="preserve">3 </w:t>
                  </w:r>
                  <w:r>
                    <w:rPr>
                      <w:rFonts w:hint="default" w:ascii="Times New Roman" w:hAnsi="Times New Roman" w:cs="Times New Roman"/>
                      <w:sz w:val="21"/>
                      <w:szCs w:val="21"/>
                    </w:rPr>
                    <w:t>的沉淀池</w:t>
                  </w:r>
                </w:p>
              </w:tc>
              <w:tc>
                <w:tcPr>
                  <w:tcW w:w="1896" w:type="dxa"/>
                  <w:tcBorders>
                    <w:tl2br w:val="nil"/>
                    <w:tr2bl w:val="nil"/>
                  </w:tcBorders>
                  <w:vAlign w:val="center"/>
                </w:tcPr>
                <w:p w14:paraId="7964F15D">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w:t>
                  </w:r>
                </w:p>
              </w:tc>
            </w:tr>
            <w:tr w14:paraId="6CEE9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9346408">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49FAAF85">
                  <w:pPr>
                    <w:jc w:val="center"/>
                    <w:rPr>
                      <w:rFonts w:hint="default" w:ascii="Times New Roman" w:hAnsi="Times New Roman" w:cs="Times New Roman"/>
                      <w:sz w:val="21"/>
                      <w:szCs w:val="21"/>
                    </w:rPr>
                  </w:pPr>
                </w:p>
              </w:tc>
              <w:tc>
                <w:tcPr>
                  <w:tcW w:w="4713" w:type="dxa"/>
                  <w:tcBorders>
                    <w:tl2br w:val="nil"/>
                    <w:tr2bl w:val="nil"/>
                  </w:tcBorders>
                  <w:vAlign w:val="center"/>
                </w:tcPr>
                <w:p w14:paraId="0360DD34">
                  <w:pPr>
                    <w:jc w:val="center"/>
                    <w:rPr>
                      <w:rFonts w:hint="default" w:ascii="Times New Roman" w:hAnsi="Times New Roman" w:cs="Times New Roman"/>
                      <w:sz w:val="21"/>
                      <w:szCs w:val="21"/>
                    </w:rPr>
                  </w:pPr>
                  <w:r>
                    <w:rPr>
                      <w:rFonts w:hint="default" w:ascii="Times New Roman" w:hAnsi="Times New Roman" w:cs="Times New Roman"/>
                      <w:sz w:val="21"/>
                      <w:szCs w:val="21"/>
                    </w:rPr>
                    <w:t>施工靠水体一侧围挡</w:t>
                  </w:r>
                </w:p>
              </w:tc>
              <w:tc>
                <w:tcPr>
                  <w:tcW w:w="1896" w:type="dxa"/>
                  <w:tcBorders>
                    <w:tl2br w:val="nil"/>
                    <w:tr2bl w:val="nil"/>
                  </w:tcBorders>
                  <w:vAlign w:val="center"/>
                </w:tcPr>
                <w:p w14:paraId="7712806A">
                  <w:pPr>
                    <w:jc w:val="center"/>
                    <w:rPr>
                      <w:rFonts w:hint="default" w:ascii="Times New Roman" w:hAnsi="Times New Roman" w:cs="Times New Roman"/>
                      <w:sz w:val="21"/>
                      <w:szCs w:val="21"/>
                    </w:rPr>
                  </w:pPr>
                  <w:r>
                    <w:rPr>
                      <w:rFonts w:hint="default" w:ascii="Times New Roman" w:hAnsi="Times New Roman" w:cs="Times New Roman"/>
                      <w:sz w:val="21"/>
                      <w:szCs w:val="21"/>
                    </w:rPr>
                    <w:t>20</w:t>
                  </w:r>
                </w:p>
              </w:tc>
            </w:tr>
            <w:tr w14:paraId="5CEC6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1336448">
                  <w:pPr>
                    <w:jc w:val="center"/>
                    <w:rPr>
                      <w:rFonts w:hint="default" w:ascii="Times New Roman" w:hAnsi="Times New Roman" w:cs="Times New Roman"/>
                      <w:sz w:val="21"/>
                      <w:szCs w:val="21"/>
                    </w:rPr>
                  </w:pPr>
                </w:p>
              </w:tc>
              <w:tc>
                <w:tcPr>
                  <w:tcW w:w="869" w:type="dxa"/>
                  <w:tcBorders>
                    <w:tl2br w:val="nil"/>
                    <w:tr2bl w:val="nil"/>
                  </w:tcBorders>
                  <w:vAlign w:val="center"/>
                </w:tcPr>
                <w:p w14:paraId="693F57DB">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6DABDE31">
                  <w:pPr>
                    <w:jc w:val="center"/>
                    <w:rPr>
                      <w:rFonts w:hint="default" w:ascii="Times New Roman" w:hAnsi="Times New Roman" w:cs="Times New Roman"/>
                      <w:sz w:val="21"/>
                      <w:szCs w:val="21"/>
                    </w:rPr>
                  </w:pPr>
                  <w:r>
                    <w:rPr>
                      <w:rFonts w:hint="default" w:ascii="Times New Roman" w:hAnsi="Times New Roman" w:cs="Times New Roman"/>
                      <w:sz w:val="21"/>
                      <w:szCs w:val="21"/>
                    </w:rPr>
                    <w:t>1座垃圾池</w:t>
                  </w:r>
                </w:p>
              </w:tc>
              <w:tc>
                <w:tcPr>
                  <w:tcW w:w="1896" w:type="dxa"/>
                  <w:tcBorders>
                    <w:tl2br w:val="nil"/>
                    <w:tr2bl w:val="nil"/>
                  </w:tcBorders>
                  <w:vAlign w:val="center"/>
                </w:tcPr>
                <w:p w14:paraId="03234506">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3D36AD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restart"/>
                  <w:tcBorders>
                    <w:tl2br w:val="nil"/>
                    <w:tr2bl w:val="nil"/>
                  </w:tcBorders>
                  <w:vAlign w:val="center"/>
                </w:tcPr>
                <w:p w14:paraId="1C6DFEB7">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运营期</w:t>
                  </w:r>
                </w:p>
              </w:tc>
              <w:tc>
                <w:tcPr>
                  <w:tcW w:w="869" w:type="dxa"/>
                  <w:tcBorders>
                    <w:tl2br w:val="nil"/>
                    <w:tr2bl w:val="nil"/>
                  </w:tcBorders>
                  <w:vAlign w:val="center"/>
                </w:tcPr>
                <w:p w14:paraId="5D866ACF">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废气</w:t>
                  </w:r>
                </w:p>
              </w:tc>
              <w:tc>
                <w:tcPr>
                  <w:tcW w:w="4713" w:type="dxa"/>
                  <w:tcBorders>
                    <w:tl2br w:val="nil"/>
                    <w:tr2bl w:val="nil"/>
                  </w:tcBorders>
                  <w:vAlign w:val="center"/>
                </w:tcPr>
                <w:p w14:paraId="5FC24B69">
                  <w:pPr>
                    <w:jc w:val="center"/>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rPr>
                    <w:t>1套</w:t>
                  </w:r>
                  <w:r>
                    <w:rPr>
                      <w:rFonts w:hint="eastAsia" w:ascii="Times New Roman" w:hAnsi="Times New Roman" w:cs="Times New Roman"/>
                      <w:color w:val="auto"/>
                      <w:sz w:val="21"/>
                      <w:szCs w:val="21"/>
                      <w:lang w:eastAsia="zh-CN"/>
                    </w:rPr>
                    <w:t>抽油烟机装置</w:t>
                  </w:r>
                </w:p>
              </w:tc>
              <w:tc>
                <w:tcPr>
                  <w:tcW w:w="1896" w:type="dxa"/>
                  <w:tcBorders>
                    <w:tl2br w:val="nil"/>
                    <w:tr2bl w:val="nil"/>
                  </w:tcBorders>
                  <w:vAlign w:val="center"/>
                </w:tcPr>
                <w:p w14:paraId="7CC61A2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r>
            <w:tr w14:paraId="0569F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6303B2B">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29E968A4">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废水</w:t>
                  </w:r>
                </w:p>
              </w:tc>
              <w:tc>
                <w:tcPr>
                  <w:tcW w:w="4713" w:type="dxa"/>
                  <w:tcBorders>
                    <w:tl2br w:val="nil"/>
                    <w:tr2bl w:val="nil"/>
                  </w:tcBorders>
                  <w:vAlign w:val="center"/>
                </w:tcPr>
                <w:p w14:paraId="603C34C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厂区雨污分流系统</w:t>
                  </w:r>
                </w:p>
              </w:tc>
              <w:tc>
                <w:tcPr>
                  <w:tcW w:w="1896" w:type="dxa"/>
                  <w:tcBorders>
                    <w:tl2br w:val="nil"/>
                    <w:tr2bl w:val="nil"/>
                  </w:tcBorders>
                  <w:vAlign w:val="center"/>
                </w:tcPr>
                <w:p w14:paraId="5FED497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计入主体</w:t>
                  </w:r>
                </w:p>
              </w:tc>
            </w:tr>
            <w:tr w14:paraId="74F0A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D931B58">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52EEA86">
                  <w:pPr>
                    <w:jc w:val="center"/>
                    <w:rPr>
                      <w:rFonts w:hint="default" w:ascii="Times New Roman" w:hAnsi="Times New Roman" w:cs="Times New Roman"/>
                      <w:sz w:val="21"/>
                      <w:szCs w:val="21"/>
                    </w:rPr>
                  </w:pPr>
                </w:p>
              </w:tc>
              <w:tc>
                <w:tcPr>
                  <w:tcW w:w="4713" w:type="dxa"/>
                  <w:tcBorders>
                    <w:tl2br w:val="nil"/>
                    <w:tr2bl w:val="nil"/>
                  </w:tcBorders>
                  <w:vAlign w:val="center"/>
                </w:tcPr>
                <w:p w14:paraId="2BE3C437">
                  <w:pPr>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eastAsia="zh-CN"/>
                    </w:rPr>
                    <w:t>升压站内建设</w:t>
                  </w:r>
                  <w:r>
                    <w:rPr>
                      <w:rFonts w:hint="default" w:ascii="Times New Roman" w:hAnsi="Times New Roman" w:cs="Times New Roman"/>
                      <w:color w:val="auto"/>
                      <w:sz w:val="21"/>
                      <w:szCs w:val="21"/>
                    </w:rPr>
                    <w:t>1m</w:t>
                  </w:r>
                  <w:r>
                    <w:rPr>
                      <w:rFonts w:hint="default" w:ascii="Times New Roman" w:hAnsi="Times New Roman" w:cs="Times New Roman"/>
                      <w:color w:val="auto"/>
                      <w:sz w:val="21"/>
                      <w:szCs w:val="21"/>
                      <w:vertAlign w:val="superscript"/>
                    </w:rPr>
                    <w:t xml:space="preserve">3 </w:t>
                  </w:r>
                  <w:r>
                    <w:rPr>
                      <w:rFonts w:hint="default" w:ascii="Times New Roman" w:hAnsi="Times New Roman" w:cs="Times New Roman"/>
                      <w:color w:val="auto"/>
                      <w:sz w:val="21"/>
                      <w:szCs w:val="21"/>
                    </w:rPr>
                    <w:t>隔油池</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 xml:space="preserve">3 </w:t>
                  </w:r>
                  <w:r>
                    <w:rPr>
                      <w:rFonts w:hint="default" w:ascii="Times New Roman" w:hAnsi="Times New Roman" w:cs="Times New Roman"/>
                      <w:color w:val="auto"/>
                      <w:sz w:val="21"/>
                      <w:szCs w:val="21"/>
                    </w:rPr>
                    <w:t>化粪池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18</w:t>
                  </w:r>
                  <w:r>
                    <w:rPr>
                      <w:rFonts w:hint="default" w:ascii="Times New Roman" w:hAnsi="Times New Roman" w:cs="Times New Roman"/>
                      <w:color w:val="auto"/>
                      <w:sz w:val="21"/>
                      <w:szCs w:val="21"/>
                    </w:rPr>
                    <w:t>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eastAsia="zh-CN"/>
                    </w:rPr>
                    <w:t>废水收集池</w:t>
                  </w:r>
                </w:p>
              </w:tc>
              <w:tc>
                <w:tcPr>
                  <w:tcW w:w="1896" w:type="dxa"/>
                  <w:tcBorders>
                    <w:tl2br w:val="nil"/>
                    <w:tr2bl w:val="nil"/>
                  </w:tcBorders>
                  <w:vAlign w:val="center"/>
                </w:tcPr>
                <w:p w14:paraId="3A5DD8BD">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3</w:t>
                  </w:r>
                </w:p>
              </w:tc>
            </w:tr>
            <w:tr w14:paraId="20BEF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6745D037">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441DC974">
                  <w:pPr>
                    <w:jc w:val="center"/>
                    <w:rPr>
                      <w:rFonts w:hint="default" w:ascii="Times New Roman" w:hAnsi="Times New Roman" w:cs="Times New Roman"/>
                      <w:sz w:val="21"/>
                      <w:szCs w:val="21"/>
                    </w:rPr>
                  </w:pPr>
                </w:p>
              </w:tc>
              <w:tc>
                <w:tcPr>
                  <w:tcW w:w="4713" w:type="dxa"/>
                  <w:tcBorders>
                    <w:tl2br w:val="nil"/>
                    <w:tr2bl w:val="nil"/>
                  </w:tcBorders>
                  <w:vAlign w:val="center"/>
                </w:tcPr>
                <w:p w14:paraId="2C9F223B">
                  <w:pPr>
                    <w:jc w:val="center"/>
                    <w:rPr>
                      <w:rFonts w:hint="eastAsia" w:ascii="Times New Roman" w:hAnsi="Times New Roman" w:cs="Times New Roman" w:eastAsiaTheme="minorEastAsia"/>
                      <w:color w:val="auto"/>
                      <w:sz w:val="21"/>
                      <w:szCs w:val="21"/>
                      <w:lang w:eastAsia="zh-CN"/>
                    </w:rPr>
                  </w:pPr>
                  <w:r>
                    <w:rPr>
                      <w:rFonts w:hint="eastAsia"/>
                      <w:color w:val="auto"/>
                      <w:sz w:val="21"/>
                      <w:szCs w:val="21"/>
                      <w:lang w:eastAsia="zh-CN"/>
                    </w:rPr>
                    <w:t>光伏阵列区建设集水沟渠及沉淀池</w:t>
                  </w:r>
                </w:p>
              </w:tc>
              <w:tc>
                <w:tcPr>
                  <w:tcW w:w="1896" w:type="dxa"/>
                  <w:tcBorders>
                    <w:tl2br w:val="nil"/>
                    <w:tr2bl w:val="nil"/>
                  </w:tcBorders>
                  <w:vAlign w:val="center"/>
                </w:tcPr>
                <w:p w14:paraId="486CDDDF">
                  <w:pPr>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val="en-US" w:eastAsia="zh-CN"/>
                    </w:rPr>
                    <w:t>7</w:t>
                  </w:r>
                </w:p>
              </w:tc>
            </w:tr>
            <w:tr w14:paraId="57A36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733" w:type="dxa"/>
                  <w:vMerge w:val="continue"/>
                  <w:tcBorders>
                    <w:tl2br w:val="nil"/>
                    <w:tr2bl w:val="nil"/>
                  </w:tcBorders>
                  <w:vAlign w:val="center"/>
                </w:tcPr>
                <w:p w14:paraId="33D02693">
                  <w:pPr>
                    <w:jc w:val="center"/>
                    <w:rPr>
                      <w:rFonts w:hint="default" w:ascii="Times New Roman" w:hAnsi="Times New Roman" w:cs="Times New Roman"/>
                      <w:sz w:val="21"/>
                      <w:szCs w:val="21"/>
                    </w:rPr>
                  </w:pPr>
                </w:p>
              </w:tc>
              <w:tc>
                <w:tcPr>
                  <w:tcW w:w="869" w:type="dxa"/>
                  <w:tcBorders>
                    <w:tl2br w:val="nil"/>
                    <w:tr2bl w:val="nil"/>
                  </w:tcBorders>
                  <w:vAlign w:val="center"/>
                </w:tcPr>
                <w:p w14:paraId="7347A617">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噪声</w:t>
                  </w:r>
                </w:p>
              </w:tc>
              <w:tc>
                <w:tcPr>
                  <w:tcW w:w="4713" w:type="dxa"/>
                  <w:tcBorders>
                    <w:tl2br w:val="nil"/>
                    <w:tr2bl w:val="nil"/>
                  </w:tcBorders>
                  <w:vAlign w:val="center"/>
                </w:tcPr>
                <w:p w14:paraId="4AC6AF4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阻尼减振、隔声</w:t>
                  </w:r>
                </w:p>
              </w:tc>
              <w:tc>
                <w:tcPr>
                  <w:tcW w:w="1896" w:type="dxa"/>
                  <w:tcBorders>
                    <w:tl2br w:val="nil"/>
                    <w:tr2bl w:val="nil"/>
                  </w:tcBorders>
                  <w:vAlign w:val="center"/>
                </w:tcPr>
                <w:p w14:paraId="31994B2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r>
            <w:tr w14:paraId="1BACEB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AEABEAD">
                  <w:pPr>
                    <w:jc w:val="center"/>
                    <w:rPr>
                      <w:rFonts w:hint="default" w:ascii="Times New Roman" w:hAnsi="Times New Roman" w:cs="Times New Roman"/>
                      <w:sz w:val="21"/>
                      <w:szCs w:val="21"/>
                    </w:rPr>
                  </w:pPr>
                </w:p>
              </w:tc>
              <w:tc>
                <w:tcPr>
                  <w:tcW w:w="869" w:type="dxa"/>
                  <w:tcBorders>
                    <w:tl2br w:val="nil"/>
                    <w:tr2bl w:val="nil"/>
                  </w:tcBorders>
                  <w:vAlign w:val="center"/>
                </w:tcPr>
                <w:p w14:paraId="7DBC98E4">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固废</w:t>
                  </w:r>
                </w:p>
              </w:tc>
              <w:tc>
                <w:tcPr>
                  <w:tcW w:w="4713" w:type="dxa"/>
                  <w:tcBorders>
                    <w:tl2br w:val="nil"/>
                    <w:tr2bl w:val="nil"/>
                  </w:tcBorders>
                  <w:vAlign w:val="center"/>
                </w:tcPr>
                <w:p w14:paraId="5E3F17D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1间</w:t>
                  </w:r>
                  <w:r>
                    <w:rPr>
                      <w:rFonts w:hint="default" w:ascii="Times New Roman" w:hAnsi="Times New Roman" w:cs="Times New Roman"/>
                      <w:color w:val="auto"/>
                      <w:sz w:val="21"/>
                      <w:szCs w:val="21"/>
                      <w:lang w:val="en-US" w:eastAsia="zh-CN"/>
                    </w:rPr>
                    <w:t>25</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 xml:space="preserve">2 </w:t>
                  </w:r>
                  <w:r>
                    <w:rPr>
                      <w:rFonts w:hint="default" w:ascii="Times New Roman" w:hAnsi="Times New Roman" w:cs="Times New Roman"/>
                      <w:color w:val="auto"/>
                      <w:sz w:val="21"/>
                      <w:szCs w:val="21"/>
                    </w:rPr>
                    <w:t>的危废暂存间</w:t>
                  </w:r>
                </w:p>
              </w:tc>
              <w:tc>
                <w:tcPr>
                  <w:tcW w:w="1896" w:type="dxa"/>
                  <w:tcBorders>
                    <w:tl2br w:val="nil"/>
                    <w:tr2bl w:val="nil"/>
                  </w:tcBorders>
                  <w:vAlign w:val="center"/>
                </w:tcPr>
                <w:p w14:paraId="26FFF8E6">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w:t>
                  </w:r>
                </w:p>
              </w:tc>
            </w:tr>
            <w:tr w14:paraId="73C9E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33" w:type="dxa"/>
                  <w:vMerge w:val="continue"/>
                  <w:tcBorders>
                    <w:tl2br w:val="nil"/>
                    <w:tr2bl w:val="nil"/>
                  </w:tcBorders>
                  <w:vAlign w:val="center"/>
                </w:tcPr>
                <w:p w14:paraId="485E02F6">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2310C163">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环境风险</w:t>
                  </w:r>
                </w:p>
              </w:tc>
              <w:tc>
                <w:tcPr>
                  <w:tcW w:w="4713" w:type="dxa"/>
                  <w:tcBorders>
                    <w:tl2br w:val="nil"/>
                    <w:tr2bl w:val="nil"/>
                  </w:tcBorders>
                  <w:vAlign w:val="center"/>
                </w:tcPr>
                <w:p w14:paraId="66DBE0DE">
                  <w:pPr>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26</w:t>
                  </w:r>
                  <w:r>
                    <w:rPr>
                      <w:rFonts w:hint="default" w:ascii="Times New Roman" w:hAnsi="Times New Roman" w:cs="Times New Roman"/>
                      <w:sz w:val="21"/>
                      <w:szCs w:val="21"/>
                    </w:rPr>
                    <w:t>台箱式变压器旁分别设置</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个</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 xml:space="preserve">3 </w:t>
                  </w:r>
                  <w:r>
                    <w:rPr>
                      <w:rFonts w:hint="eastAsia" w:ascii="Times New Roman" w:hAnsi="Times New Roman" w:cs="Times New Roman"/>
                      <w:sz w:val="21"/>
                      <w:szCs w:val="21"/>
                      <w:lang w:eastAsia="zh-CN"/>
                    </w:rPr>
                    <w:t>事故池</w:t>
                  </w:r>
                </w:p>
              </w:tc>
              <w:tc>
                <w:tcPr>
                  <w:tcW w:w="1896" w:type="dxa"/>
                  <w:tcBorders>
                    <w:tl2br w:val="nil"/>
                    <w:tr2bl w:val="nil"/>
                  </w:tcBorders>
                  <w:vAlign w:val="center"/>
                </w:tcPr>
                <w:p w14:paraId="33C85CE4">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13</w:t>
                  </w:r>
                </w:p>
              </w:tc>
            </w:tr>
            <w:tr w14:paraId="4A85A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19BA6DE">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058D387D">
                  <w:pPr>
                    <w:jc w:val="center"/>
                    <w:rPr>
                      <w:rFonts w:hint="default" w:ascii="Times New Roman" w:hAnsi="Times New Roman" w:cs="Times New Roman"/>
                      <w:sz w:val="21"/>
                      <w:szCs w:val="21"/>
                    </w:rPr>
                  </w:pPr>
                </w:p>
              </w:tc>
              <w:tc>
                <w:tcPr>
                  <w:tcW w:w="4713" w:type="dxa"/>
                  <w:tcBorders>
                    <w:tl2br w:val="nil"/>
                    <w:tr2bl w:val="nil"/>
                  </w:tcBorders>
                  <w:vAlign w:val="center"/>
                </w:tcPr>
                <w:p w14:paraId="24DBF369">
                  <w:pPr>
                    <w:jc w:val="center"/>
                    <w:rPr>
                      <w:rFonts w:hint="default" w:ascii="Times New Roman" w:hAnsi="Times New Roman" w:cs="Times New Roman"/>
                      <w:sz w:val="21"/>
                      <w:szCs w:val="21"/>
                    </w:rPr>
                  </w:pPr>
                  <w:r>
                    <w:rPr>
                      <w:rFonts w:hint="default" w:ascii="Times New Roman" w:hAnsi="Times New Roman" w:cs="Times New Roman"/>
                      <w:sz w:val="21"/>
                      <w:szCs w:val="21"/>
                    </w:rPr>
                    <w:t>升压站设置</w:t>
                  </w:r>
                  <w:r>
                    <w:rPr>
                      <w:rFonts w:hint="eastAsia" w:ascii="Times New Roman" w:hAnsi="Times New Roman" w:cs="Times New Roman"/>
                      <w:sz w:val="21"/>
                      <w:szCs w:val="21"/>
                      <w:lang w:val="en-US" w:eastAsia="zh-CN"/>
                    </w:rPr>
                    <w:t>30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事故油池</w:t>
                  </w:r>
                </w:p>
              </w:tc>
              <w:tc>
                <w:tcPr>
                  <w:tcW w:w="1896" w:type="dxa"/>
                  <w:tcBorders>
                    <w:tl2br w:val="nil"/>
                    <w:tr2bl w:val="nil"/>
                  </w:tcBorders>
                  <w:vAlign w:val="center"/>
                </w:tcPr>
                <w:p w14:paraId="2569967B">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5</w:t>
                  </w:r>
                </w:p>
              </w:tc>
            </w:tr>
            <w:tr w14:paraId="33E95E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2DD678C8">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F49EE40">
                  <w:pPr>
                    <w:jc w:val="center"/>
                    <w:rPr>
                      <w:rFonts w:hint="default" w:ascii="Times New Roman" w:hAnsi="Times New Roman" w:cs="Times New Roman"/>
                      <w:sz w:val="21"/>
                      <w:szCs w:val="21"/>
                    </w:rPr>
                  </w:pPr>
                </w:p>
              </w:tc>
              <w:tc>
                <w:tcPr>
                  <w:tcW w:w="4713" w:type="dxa"/>
                  <w:tcBorders>
                    <w:tl2br w:val="nil"/>
                    <w:tr2bl w:val="nil"/>
                  </w:tcBorders>
                  <w:vAlign w:val="center"/>
                </w:tcPr>
                <w:p w14:paraId="3380555A">
                  <w:pPr>
                    <w:jc w:val="center"/>
                    <w:rPr>
                      <w:rFonts w:hint="default" w:ascii="Times New Roman" w:hAnsi="Times New Roman" w:cs="Times New Roman"/>
                      <w:sz w:val="21"/>
                      <w:szCs w:val="21"/>
                    </w:rPr>
                  </w:pPr>
                  <w:r>
                    <w:rPr>
                      <w:rFonts w:hint="default" w:ascii="Times New Roman" w:hAnsi="Times New Roman" w:cs="Times New Roman"/>
                      <w:sz w:val="21"/>
                      <w:szCs w:val="21"/>
                    </w:rPr>
                    <w:t>危废暂存间、</w:t>
                  </w:r>
                  <w:r>
                    <w:rPr>
                      <w:rFonts w:hint="default" w:ascii="Times New Roman" w:hAnsi="Times New Roman" w:eastAsia="宋体" w:cs="Times New Roman"/>
                      <w:color w:val="auto"/>
                      <w:sz w:val="21"/>
                      <w:szCs w:val="21"/>
                    </w:rPr>
                    <w:t>集油坑</w:t>
                  </w:r>
                  <w:r>
                    <w:rPr>
                      <w:rFonts w:hint="eastAsia" w:ascii="Times New Roman" w:hAnsi="Times New Roman" w:cs="Times New Roman"/>
                      <w:sz w:val="21"/>
                      <w:szCs w:val="21"/>
                      <w:lang w:eastAsia="zh-CN"/>
                    </w:rPr>
                    <w:t>、事故池</w:t>
                  </w:r>
                  <w:r>
                    <w:rPr>
                      <w:rFonts w:hint="default" w:ascii="Times New Roman" w:hAnsi="Times New Roman" w:cs="Times New Roman"/>
                      <w:sz w:val="21"/>
                      <w:szCs w:val="21"/>
                    </w:rPr>
                    <w:t>池防渗处理</w:t>
                  </w:r>
                </w:p>
              </w:tc>
              <w:tc>
                <w:tcPr>
                  <w:tcW w:w="1896" w:type="dxa"/>
                  <w:tcBorders>
                    <w:tl2br w:val="nil"/>
                    <w:tr2bl w:val="nil"/>
                  </w:tcBorders>
                  <w:vAlign w:val="center"/>
                </w:tcPr>
                <w:p w14:paraId="02680265">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10</w:t>
                  </w:r>
                </w:p>
              </w:tc>
            </w:tr>
            <w:tr w14:paraId="1B7EC1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0EB5DE5A">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4F7D7EF">
                  <w:pPr>
                    <w:jc w:val="center"/>
                    <w:rPr>
                      <w:rFonts w:hint="default" w:ascii="Times New Roman" w:hAnsi="Times New Roman" w:cs="Times New Roman"/>
                      <w:sz w:val="21"/>
                      <w:szCs w:val="21"/>
                    </w:rPr>
                  </w:pPr>
                </w:p>
              </w:tc>
              <w:tc>
                <w:tcPr>
                  <w:tcW w:w="4713" w:type="dxa"/>
                  <w:tcBorders>
                    <w:tl2br w:val="nil"/>
                    <w:tr2bl w:val="nil"/>
                  </w:tcBorders>
                  <w:vAlign w:val="center"/>
                </w:tcPr>
                <w:p w14:paraId="081564CE">
                  <w:pPr>
                    <w:jc w:val="center"/>
                    <w:rPr>
                      <w:rFonts w:hint="default" w:ascii="Times New Roman" w:hAnsi="Times New Roman" w:cs="Times New Roman"/>
                      <w:sz w:val="21"/>
                      <w:szCs w:val="21"/>
                    </w:rPr>
                  </w:pPr>
                  <w:r>
                    <w:rPr>
                      <w:rFonts w:hint="default" w:ascii="Times New Roman" w:hAnsi="Times New Roman" w:cs="Times New Roman"/>
                      <w:sz w:val="21"/>
                      <w:szCs w:val="21"/>
                    </w:rPr>
                    <w:t>配备空油桶、消防沙、吸油棉、铲子、消防栓、消防服、灭火器、火警报警装置等应急物资</w:t>
                  </w:r>
                </w:p>
              </w:tc>
              <w:tc>
                <w:tcPr>
                  <w:tcW w:w="1896" w:type="dxa"/>
                  <w:tcBorders>
                    <w:tl2br w:val="nil"/>
                    <w:tr2bl w:val="nil"/>
                  </w:tcBorders>
                  <w:vAlign w:val="center"/>
                </w:tcPr>
                <w:p w14:paraId="47FE91D9">
                  <w:pPr>
                    <w:jc w:val="center"/>
                    <w:rPr>
                      <w:rFonts w:hint="default" w:ascii="Times New Roman" w:hAnsi="Times New Roman" w:cs="Times New Roman"/>
                      <w:sz w:val="21"/>
                      <w:szCs w:val="21"/>
                    </w:rPr>
                  </w:pPr>
                </w:p>
                <w:p w14:paraId="51016CED">
                  <w:pPr>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sz w:val="21"/>
                      <w:szCs w:val="21"/>
                      <w:lang w:val="en-US" w:eastAsia="zh-CN"/>
                    </w:rPr>
                    <w:t>10</w:t>
                  </w:r>
                </w:p>
              </w:tc>
            </w:tr>
            <w:tr w14:paraId="7A07A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59BEE49">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77BD0A8E">
                  <w:pPr>
                    <w:jc w:val="center"/>
                    <w:rPr>
                      <w:rFonts w:hint="default" w:ascii="Times New Roman" w:hAnsi="Times New Roman" w:cs="Times New Roman"/>
                      <w:sz w:val="21"/>
                      <w:szCs w:val="21"/>
                    </w:rPr>
                  </w:pPr>
                </w:p>
              </w:tc>
              <w:tc>
                <w:tcPr>
                  <w:tcW w:w="4713" w:type="dxa"/>
                  <w:tcBorders>
                    <w:tl2br w:val="nil"/>
                    <w:tr2bl w:val="nil"/>
                  </w:tcBorders>
                  <w:vAlign w:val="center"/>
                </w:tcPr>
                <w:p w14:paraId="616CF8D0">
                  <w:pPr>
                    <w:jc w:val="center"/>
                    <w:rPr>
                      <w:rFonts w:hint="default" w:ascii="Times New Roman" w:hAnsi="Times New Roman" w:cs="Times New Roman"/>
                      <w:sz w:val="21"/>
                      <w:szCs w:val="21"/>
                    </w:rPr>
                  </w:pPr>
                  <w:r>
                    <w:rPr>
                      <w:rFonts w:hint="default" w:ascii="Times New Roman" w:hAnsi="Times New Roman" w:cs="Times New Roman"/>
                      <w:sz w:val="21"/>
                      <w:szCs w:val="21"/>
                    </w:rPr>
                    <w:t>突发环境事件应急预案编制费</w:t>
                  </w:r>
                </w:p>
              </w:tc>
              <w:tc>
                <w:tcPr>
                  <w:tcW w:w="1896" w:type="dxa"/>
                  <w:tcBorders>
                    <w:tl2br w:val="nil"/>
                    <w:tr2bl w:val="nil"/>
                  </w:tcBorders>
                  <w:vAlign w:val="center"/>
                </w:tcPr>
                <w:p w14:paraId="2B0A80E0">
                  <w:pPr>
                    <w:jc w:val="center"/>
                    <w:rPr>
                      <w:rFonts w:hint="default" w:ascii="Times New Roman" w:hAnsi="Times New Roman" w:cs="Times New Roman"/>
                      <w:sz w:val="21"/>
                      <w:szCs w:val="21"/>
                    </w:rPr>
                  </w:pPr>
                  <w:r>
                    <w:rPr>
                      <w:rFonts w:hint="default" w:ascii="Times New Roman" w:hAnsi="Times New Roman" w:cs="Times New Roman"/>
                      <w:sz w:val="21"/>
                      <w:szCs w:val="21"/>
                    </w:rPr>
                    <w:t>5</w:t>
                  </w:r>
                </w:p>
              </w:tc>
            </w:tr>
            <w:tr w14:paraId="29C99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13C5F895">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7D491727">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生态环境</w:t>
                  </w:r>
                </w:p>
              </w:tc>
              <w:tc>
                <w:tcPr>
                  <w:tcW w:w="4713" w:type="dxa"/>
                  <w:tcBorders>
                    <w:tl2br w:val="nil"/>
                    <w:tr2bl w:val="nil"/>
                  </w:tcBorders>
                  <w:vAlign w:val="center"/>
                </w:tcPr>
                <w:p w14:paraId="6F2829ED">
                  <w:pPr>
                    <w:jc w:val="center"/>
                    <w:rPr>
                      <w:rFonts w:hint="default" w:ascii="Times New Roman" w:hAnsi="Times New Roman" w:cs="Times New Roman"/>
                      <w:sz w:val="21"/>
                      <w:szCs w:val="21"/>
                    </w:rPr>
                  </w:pPr>
                  <w:r>
                    <w:rPr>
                      <w:rFonts w:hint="default" w:ascii="Times New Roman" w:hAnsi="Times New Roman" w:cs="Times New Roman"/>
                      <w:sz w:val="21"/>
                      <w:szCs w:val="21"/>
                    </w:rPr>
                    <w:t>执行水保方案措施</w:t>
                  </w:r>
                </w:p>
              </w:tc>
              <w:tc>
                <w:tcPr>
                  <w:tcW w:w="1896" w:type="dxa"/>
                  <w:tcBorders>
                    <w:tl2br w:val="nil"/>
                    <w:tr2bl w:val="nil"/>
                  </w:tcBorders>
                  <w:vAlign w:val="center"/>
                </w:tcPr>
                <w:p w14:paraId="437E9E8F">
                  <w:pPr>
                    <w:jc w:val="center"/>
                    <w:rPr>
                      <w:rFonts w:hint="default" w:ascii="Times New Roman" w:hAnsi="Times New Roman" w:cs="Times New Roman"/>
                      <w:sz w:val="21"/>
                      <w:szCs w:val="21"/>
                    </w:rPr>
                  </w:pPr>
                  <w:r>
                    <w:rPr>
                      <w:rFonts w:hint="default" w:ascii="Times New Roman" w:hAnsi="Times New Roman" w:cs="Times New Roman"/>
                      <w:sz w:val="21"/>
                      <w:szCs w:val="21"/>
                    </w:rPr>
                    <w:t>计入水保投资</w:t>
                  </w:r>
                </w:p>
              </w:tc>
            </w:tr>
            <w:tr w14:paraId="6D23CF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132022BE">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5A0FC0A">
                  <w:pPr>
                    <w:jc w:val="center"/>
                    <w:rPr>
                      <w:rFonts w:hint="default" w:ascii="Times New Roman" w:hAnsi="Times New Roman" w:cs="Times New Roman"/>
                      <w:sz w:val="21"/>
                      <w:szCs w:val="21"/>
                    </w:rPr>
                  </w:pPr>
                </w:p>
              </w:tc>
              <w:tc>
                <w:tcPr>
                  <w:tcW w:w="4713" w:type="dxa"/>
                  <w:tcBorders>
                    <w:tl2br w:val="nil"/>
                    <w:tr2bl w:val="nil"/>
                  </w:tcBorders>
                  <w:vAlign w:val="center"/>
                </w:tcPr>
                <w:p w14:paraId="6D114F62">
                  <w:pPr>
                    <w:jc w:val="center"/>
                    <w:rPr>
                      <w:rFonts w:hint="default" w:ascii="Times New Roman" w:hAnsi="Times New Roman" w:cs="Times New Roman"/>
                      <w:sz w:val="21"/>
                      <w:szCs w:val="21"/>
                    </w:rPr>
                  </w:pPr>
                  <w:r>
                    <w:rPr>
                      <w:rFonts w:hint="default" w:ascii="Times New Roman" w:hAnsi="Times New Roman" w:cs="Times New Roman"/>
                      <w:sz w:val="21"/>
                      <w:szCs w:val="21"/>
                    </w:rPr>
                    <w:t>生态保护宣传教育</w:t>
                  </w:r>
                </w:p>
              </w:tc>
              <w:tc>
                <w:tcPr>
                  <w:tcW w:w="1896" w:type="dxa"/>
                  <w:tcBorders>
                    <w:tl2br w:val="nil"/>
                    <w:tr2bl w:val="nil"/>
                  </w:tcBorders>
                  <w:vAlign w:val="center"/>
                </w:tcPr>
                <w:p w14:paraId="6F737857">
                  <w:pPr>
                    <w:jc w:val="center"/>
                    <w:rPr>
                      <w:rFonts w:hint="default" w:ascii="Times New Roman" w:hAnsi="Times New Roman" w:cs="Times New Roman"/>
                      <w:sz w:val="21"/>
                      <w:szCs w:val="21"/>
                    </w:rPr>
                  </w:pPr>
                  <w:r>
                    <w:rPr>
                      <w:rFonts w:hint="default" w:ascii="Times New Roman" w:hAnsi="Times New Roman" w:cs="Times New Roman"/>
                      <w:sz w:val="21"/>
                      <w:szCs w:val="21"/>
                    </w:rPr>
                    <w:t>3</w:t>
                  </w:r>
                </w:p>
              </w:tc>
            </w:tr>
            <w:tr w14:paraId="086EE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3" w:type="dxa"/>
                  <w:vMerge w:val="continue"/>
                  <w:tcBorders>
                    <w:tl2br w:val="nil"/>
                    <w:tr2bl w:val="nil"/>
                  </w:tcBorders>
                  <w:vAlign w:val="center"/>
                </w:tcPr>
                <w:p w14:paraId="3330F450">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507F881">
                  <w:pPr>
                    <w:jc w:val="center"/>
                    <w:rPr>
                      <w:rFonts w:hint="default" w:ascii="Times New Roman" w:hAnsi="Times New Roman" w:cs="Times New Roman"/>
                      <w:sz w:val="21"/>
                      <w:szCs w:val="21"/>
                    </w:rPr>
                  </w:pPr>
                </w:p>
              </w:tc>
              <w:tc>
                <w:tcPr>
                  <w:tcW w:w="4713" w:type="dxa"/>
                  <w:tcBorders>
                    <w:tl2br w:val="nil"/>
                    <w:tr2bl w:val="nil"/>
                  </w:tcBorders>
                  <w:vAlign w:val="center"/>
                </w:tcPr>
                <w:p w14:paraId="7A24952B">
                  <w:pPr>
                    <w:jc w:val="center"/>
                    <w:rPr>
                      <w:rFonts w:hint="default" w:ascii="Times New Roman" w:hAnsi="Times New Roman" w:cs="Times New Roman"/>
                      <w:sz w:val="21"/>
                      <w:szCs w:val="21"/>
                    </w:rPr>
                  </w:pPr>
                  <w:r>
                    <w:rPr>
                      <w:rFonts w:hint="default" w:ascii="Times New Roman" w:hAnsi="Times New Roman" w:cs="Times New Roman"/>
                      <w:sz w:val="21"/>
                      <w:szCs w:val="21"/>
                    </w:rPr>
                    <w:t>集电线路及道路边坡施工迹地恢复</w:t>
                  </w:r>
                </w:p>
              </w:tc>
              <w:tc>
                <w:tcPr>
                  <w:tcW w:w="1896" w:type="dxa"/>
                  <w:tcBorders>
                    <w:tl2br w:val="nil"/>
                    <w:tr2bl w:val="nil"/>
                  </w:tcBorders>
                  <w:vAlign w:val="center"/>
                </w:tcPr>
                <w:p w14:paraId="01CABA68">
                  <w:pPr>
                    <w:jc w:val="center"/>
                    <w:rPr>
                      <w:rFonts w:hint="default" w:ascii="Times New Roman" w:hAnsi="Times New Roman" w:cs="Times New Roman"/>
                      <w:sz w:val="21"/>
                      <w:szCs w:val="21"/>
                    </w:rPr>
                  </w:pPr>
                  <w:r>
                    <w:rPr>
                      <w:rFonts w:hint="default" w:ascii="Times New Roman" w:hAnsi="Times New Roman" w:cs="Times New Roman"/>
                      <w:sz w:val="21"/>
                      <w:szCs w:val="21"/>
                    </w:rPr>
                    <w:t>40</w:t>
                  </w:r>
                </w:p>
              </w:tc>
            </w:tr>
            <w:tr w14:paraId="2407D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3199944">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5393859A">
                  <w:pPr>
                    <w:jc w:val="center"/>
                    <w:rPr>
                      <w:rFonts w:hint="default" w:ascii="Times New Roman" w:hAnsi="Times New Roman" w:cs="Times New Roman"/>
                      <w:sz w:val="21"/>
                      <w:szCs w:val="21"/>
                    </w:rPr>
                  </w:pPr>
                </w:p>
              </w:tc>
              <w:tc>
                <w:tcPr>
                  <w:tcW w:w="4713" w:type="dxa"/>
                  <w:tcBorders>
                    <w:tl2br w:val="nil"/>
                    <w:tr2bl w:val="nil"/>
                  </w:tcBorders>
                  <w:vAlign w:val="center"/>
                </w:tcPr>
                <w:p w14:paraId="431E13CF">
                  <w:pPr>
                    <w:jc w:val="center"/>
                    <w:rPr>
                      <w:rFonts w:hint="default" w:ascii="Times New Roman" w:hAnsi="Times New Roman" w:cs="Times New Roman"/>
                      <w:sz w:val="21"/>
                      <w:szCs w:val="21"/>
                    </w:rPr>
                  </w:pPr>
                  <w:r>
                    <w:rPr>
                      <w:rFonts w:hint="default" w:ascii="Times New Roman" w:hAnsi="Times New Roman" w:cs="Times New Roman"/>
                      <w:sz w:val="21"/>
                      <w:szCs w:val="21"/>
                    </w:rPr>
                    <w:t>场区绿化</w:t>
                  </w:r>
                  <w:r>
                    <w:rPr>
                      <w:rFonts w:hint="eastAsia" w:ascii="Times New Roman" w:hAnsi="Times New Roman" w:cs="Times New Roman"/>
                      <w:sz w:val="21"/>
                      <w:szCs w:val="21"/>
                      <w:lang w:val="en-US" w:eastAsia="zh-CN"/>
                    </w:rPr>
                    <w:t>300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2</w:t>
                  </w:r>
                </w:p>
              </w:tc>
              <w:tc>
                <w:tcPr>
                  <w:tcW w:w="1896" w:type="dxa"/>
                  <w:tcBorders>
                    <w:tl2br w:val="nil"/>
                    <w:tr2bl w:val="nil"/>
                  </w:tcBorders>
                  <w:vAlign w:val="center"/>
                </w:tcPr>
                <w:p w14:paraId="410C2768">
                  <w:pPr>
                    <w:jc w:val="center"/>
                    <w:rPr>
                      <w:rFonts w:hint="default" w:ascii="Times New Roman" w:hAnsi="Times New Roman" w:cs="Times New Roman"/>
                      <w:sz w:val="21"/>
                      <w:szCs w:val="21"/>
                    </w:rPr>
                  </w:pPr>
                  <w:r>
                    <w:rPr>
                      <w:rFonts w:hint="default" w:ascii="Times New Roman" w:hAnsi="Times New Roman" w:cs="Times New Roman"/>
                      <w:sz w:val="21"/>
                      <w:szCs w:val="21"/>
                    </w:rPr>
                    <w:t>2</w:t>
                  </w:r>
                </w:p>
              </w:tc>
            </w:tr>
            <w:tr w14:paraId="76F44F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767FA109">
                  <w:pPr>
                    <w:jc w:val="center"/>
                    <w:rPr>
                      <w:rFonts w:hint="default" w:ascii="Times New Roman" w:hAnsi="Times New Roman" w:cs="Times New Roman"/>
                      <w:sz w:val="21"/>
                      <w:szCs w:val="21"/>
                    </w:rPr>
                  </w:pPr>
                </w:p>
              </w:tc>
              <w:tc>
                <w:tcPr>
                  <w:tcW w:w="869" w:type="dxa"/>
                  <w:vMerge w:val="restart"/>
                  <w:tcBorders>
                    <w:tl2br w:val="nil"/>
                    <w:tr2bl w:val="nil"/>
                  </w:tcBorders>
                  <w:vAlign w:val="center"/>
                </w:tcPr>
                <w:p w14:paraId="77B04874">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其他</w:t>
                  </w:r>
                </w:p>
              </w:tc>
              <w:tc>
                <w:tcPr>
                  <w:tcW w:w="4713" w:type="dxa"/>
                  <w:tcBorders>
                    <w:tl2br w:val="nil"/>
                    <w:tr2bl w:val="nil"/>
                  </w:tcBorders>
                  <w:vAlign w:val="center"/>
                </w:tcPr>
                <w:p w14:paraId="09257829">
                  <w:pPr>
                    <w:jc w:val="center"/>
                    <w:rPr>
                      <w:rFonts w:hint="default" w:ascii="Times New Roman" w:hAnsi="Times New Roman" w:cs="Times New Roman"/>
                      <w:sz w:val="21"/>
                      <w:szCs w:val="21"/>
                    </w:rPr>
                  </w:pPr>
                  <w:r>
                    <w:rPr>
                      <w:rFonts w:hint="default" w:ascii="Times New Roman" w:hAnsi="Times New Roman" w:cs="Times New Roman"/>
                      <w:sz w:val="21"/>
                      <w:szCs w:val="21"/>
                    </w:rPr>
                    <w:t>竣工环境保护验收</w:t>
                  </w:r>
                </w:p>
              </w:tc>
              <w:tc>
                <w:tcPr>
                  <w:tcW w:w="1896" w:type="dxa"/>
                  <w:tcBorders>
                    <w:tl2br w:val="nil"/>
                    <w:tr2bl w:val="nil"/>
                  </w:tcBorders>
                  <w:vAlign w:val="center"/>
                </w:tcPr>
                <w:p w14:paraId="613546E3">
                  <w:pPr>
                    <w:jc w:val="center"/>
                    <w:rPr>
                      <w:rFonts w:hint="default" w:ascii="Times New Roman" w:hAnsi="Times New Roman" w:cs="Times New Roman"/>
                      <w:sz w:val="21"/>
                      <w:szCs w:val="21"/>
                    </w:rPr>
                  </w:pPr>
                  <w:r>
                    <w:rPr>
                      <w:rFonts w:hint="default" w:ascii="Times New Roman" w:hAnsi="Times New Roman" w:cs="Times New Roman"/>
                      <w:sz w:val="21"/>
                      <w:szCs w:val="21"/>
                    </w:rPr>
                    <w:t>15</w:t>
                  </w:r>
                </w:p>
              </w:tc>
            </w:tr>
            <w:tr w14:paraId="623BC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5E2F8BC5">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6D4B20DA">
                  <w:pPr>
                    <w:jc w:val="center"/>
                    <w:rPr>
                      <w:rFonts w:hint="default" w:ascii="Times New Roman" w:hAnsi="Times New Roman" w:cs="Times New Roman"/>
                      <w:sz w:val="21"/>
                      <w:szCs w:val="21"/>
                    </w:rPr>
                  </w:pPr>
                </w:p>
              </w:tc>
              <w:tc>
                <w:tcPr>
                  <w:tcW w:w="4713" w:type="dxa"/>
                  <w:tcBorders>
                    <w:tl2br w:val="nil"/>
                    <w:tr2bl w:val="nil"/>
                  </w:tcBorders>
                  <w:vAlign w:val="center"/>
                </w:tcPr>
                <w:p w14:paraId="0E39D0C6">
                  <w:pPr>
                    <w:jc w:val="center"/>
                    <w:rPr>
                      <w:rFonts w:hint="default" w:ascii="Times New Roman" w:hAnsi="Times New Roman" w:cs="Times New Roman"/>
                      <w:sz w:val="21"/>
                      <w:szCs w:val="21"/>
                    </w:rPr>
                  </w:pPr>
                  <w:r>
                    <w:rPr>
                      <w:rFonts w:hint="default" w:ascii="Times New Roman" w:hAnsi="Times New Roman" w:cs="Times New Roman"/>
                      <w:sz w:val="21"/>
                      <w:szCs w:val="21"/>
                    </w:rPr>
                    <w:t>环境监理</w:t>
                  </w:r>
                </w:p>
              </w:tc>
              <w:tc>
                <w:tcPr>
                  <w:tcW w:w="1896" w:type="dxa"/>
                  <w:tcBorders>
                    <w:tl2br w:val="nil"/>
                    <w:tr2bl w:val="nil"/>
                  </w:tcBorders>
                  <w:vAlign w:val="center"/>
                </w:tcPr>
                <w:p w14:paraId="255EEB7E">
                  <w:pPr>
                    <w:jc w:val="center"/>
                    <w:rPr>
                      <w:rFonts w:hint="default" w:ascii="Times New Roman" w:hAnsi="Times New Roman" w:cs="Times New Roman"/>
                      <w:sz w:val="21"/>
                      <w:szCs w:val="21"/>
                    </w:rPr>
                  </w:pPr>
                  <w:r>
                    <w:rPr>
                      <w:rFonts w:hint="default" w:ascii="Times New Roman" w:hAnsi="Times New Roman" w:cs="Times New Roman"/>
                      <w:sz w:val="21"/>
                      <w:szCs w:val="21"/>
                    </w:rPr>
                    <w:t>50</w:t>
                  </w:r>
                </w:p>
              </w:tc>
            </w:tr>
            <w:tr w14:paraId="47A7EF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33" w:type="dxa"/>
                  <w:vMerge w:val="continue"/>
                  <w:tcBorders>
                    <w:tl2br w:val="nil"/>
                    <w:tr2bl w:val="nil"/>
                  </w:tcBorders>
                  <w:vAlign w:val="center"/>
                </w:tcPr>
                <w:p w14:paraId="3A69511E">
                  <w:pPr>
                    <w:jc w:val="center"/>
                    <w:rPr>
                      <w:rFonts w:hint="default" w:ascii="Times New Roman" w:hAnsi="Times New Roman" w:cs="Times New Roman"/>
                      <w:sz w:val="21"/>
                      <w:szCs w:val="21"/>
                    </w:rPr>
                  </w:pPr>
                </w:p>
              </w:tc>
              <w:tc>
                <w:tcPr>
                  <w:tcW w:w="869" w:type="dxa"/>
                  <w:vMerge w:val="continue"/>
                  <w:tcBorders>
                    <w:tl2br w:val="nil"/>
                    <w:tr2bl w:val="nil"/>
                  </w:tcBorders>
                  <w:vAlign w:val="center"/>
                </w:tcPr>
                <w:p w14:paraId="361A9336">
                  <w:pPr>
                    <w:jc w:val="center"/>
                    <w:rPr>
                      <w:rFonts w:hint="default" w:ascii="Times New Roman" w:hAnsi="Times New Roman" w:cs="Times New Roman"/>
                      <w:sz w:val="21"/>
                      <w:szCs w:val="21"/>
                    </w:rPr>
                  </w:pPr>
                </w:p>
              </w:tc>
              <w:tc>
                <w:tcPr>
                  <w:tcW w:w="4713" w:type="dxa"/>
                  <w:tcBorders>
                    <w:tl2br w:val="nil"/>
                    <w:tr2bl w:val="nil"/>
                  </w:tcBorders>
                  <w:vAlign w:val="center"/>
                </w:tcPr>
                <w:p w14:paraId="3F02BF71">
                  <w:pPr>
                    <w:jc w:val="center"/>
                    <w:rPr>
                      <w:rFonts w:hint="default" w:ascii="Times New Roman" w:hAnsi="Times New Roman" w:cs="Times New Roman"/>
                      <w:sz w:val="21"/>
                      <w:szCs w:val="21"/>
                    </w:rPr>
                  </w:pPr>
                  <w:r>
                    <w:rPr>
                      <w:rFonts w:hint="default" w:ascii="Times New Roman" w:hAnsi="Times New Roman" w:cs="Times New Roman"/>
                      <w:sz w:val="21"/>
                      <w:szCs w:val="21"/>
                    </w:rPr>
                    <w:t>环境监测</w:t>
                  </w:r>
                </w:p>
              </w:tc>
              <w:tc>
                <w:tcPr>
                  <w:tcW w:w="1896" w:type="dxa"/>
                  <w:tcBorders>
                    <w:tl2br w:val="nil"/>
                    <w:tr2bl w:val="nil"/>
                  </w:tcBorders>
                  <w:vAlign w:val="center"/>
                </w:tcPr>
                <w:p w14:paraId="2CF1BA35">
                  <w:pPr>
                    <w:jc w:val="center"/>
                    <w:rPr>
                      <w:rFonts w:hint="default" w:ascii="Times New Roman" w:hAnsi="Times New Roman" w:cs="Times New Roman"/>
                      <w:sz w:val="21"/>
                      <w:szCs w:val="21"/>
                    </w:rPr>
                  </w:pPr>
                  <w:r>
                    <w:rPr>
                      <w:rFonts w:hint="default" w:ascii="Times New Roman" w:hAnsi="Times New Roman" w:cs="Times New Roman"/>
                      <w:sz w:val="21"/>
                      <w:szCs w:val="21"/>
                    </w:rPr>
                    <w:t>10</w:t>
                  </w:r>
                </w:p>
              </w:tc>
            </w:tr>
            <w:tr w14:paraId="24B42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33" w:type="dxa"/>
                  <w:vMerge w:val="continue"/>
                  <w:tcBorders>
                    <w:tl2br w:val="nil"/>
                    <w:tr2bl w:val="nil"/>
                  </w:tcBorders>
                  <w:vAlign w:val="center"/>
                </w:tcPr>
                <w:p w14:paraId="110350BB">
                  <w:pPr>
                    <w:jc w:val="center"/>
                    <w:rPr>
                      <w:rFonts w:hint="default" w:ascii="Times New Roman" w:hAnsi="Times New Roman" w:cs="Times New Roman"/>
                      <w:sz w:val="21"/>
                      <w:szCs w:val="21"/>
                    </w:rPr>
                  </w:pPr>
                </w:p>
              </w:tc>
              <w:tc>
                <w:tcPr>
                  <w:tcW w:w="5582" w:type="dxa"/>
                  <w:gridSpan w:val="2"/>
                  <w:tcBorders>
                    <w:tl2br w:val="nil"/>
                    <w:tr2bl w:val="nil"/>
                  </w:tcBorders>
                  <w:vAlign w:val="center"/>
                </w:tcPr>
                <w:p w14:paraId="14D7B77C">
                  <w:pPr>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合计</w:t>
                  </w:r>
                </w:p>
              </w:tc>
              <w:tc>
                <w:tcPr>
                  <w:tcW w:w="1896" w:type="dxa"/>
                  <w:tcBorders>
                    <w:tl2br w:val="nil"/>
                    <w:tr2bl w:val="nil"/>
                  </w:tcBorders>
                  <w:vAlign w:val="center"/>
                </w:tcPr>
                <w:p w14:paraId="6878362A">
                  <w:pPr>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223.5</w:t>
                  </w:r>
                </w:p>
              </w:tc>
            </w:tr>
          </w:tbl>
          <w:p w14:paraId="209DC1C2">
            <w:pPr>
              <w:pStyle w:val="12"/>
              <w:ind w:left="0" w:leftChars="0" w:firstLine="0" w:firstLineChars="0"/>
            </w:pPr>
          </w:p>
          <w:p w14:paraId="50AABA7F">
            <w:pPr>
              <w:adjustRightInd w:val="0"/>
              <w:snapToGrid w:val="0"/>
              <w:rPr>
                <w:rFonts w:hint="eastAsia" w:ascii="宋体" w:hAnsi="宋体" w:cs="宋体"/>
                <w:bCs/>
                <w:spacing w:val="10"/>
                <w:sz w:val="24"/>
                <w:szCs w:val="24"/>
                <w:lang w:val="en-US" w:eastAsia="zh-CN"/>
              </w:rPr>
            </w:pPr>
          </w:p>
          <w:p w14:paraId="51308B43">
            <w:pPr>
              <w:adjustRightInd w:val="0"/>
              <w:snapToGrid w:val="0"/>
              <w:rPr>
                <w:rFonts w:hint="eastAsia" w:ascii="宋体" w:hAnsi="宋体" w:cs="宋体"/>
                <w:bCs/>
                <w:spacing w:val="10"/>
                <w:sz w:val="24"/>
                <w:szCs w:val="24"/>
                <w:lang w:val="en-US" w:eastAsia="zh-CN"/>
              </w:rPr>
            </w:pPr>
          </w:p>
          <w:p w14:paraId="0CA2EAAF">
            <w:pPr>
              <w:adjustRightInd w:val="0"/>
              <w:snapToGrid w:val="0"/>
              <w:rPr>
                <w:rFonts w:hint="eastAsia" w:ascii="宋体" w:hAnsi="宋体" w:cs="宋体"/>
                <w:bCs/>
                <w:spacing w:val="10"/>
                <w:sz w:val="24"/>
                <w:szCs w:val="24"/>
                <w:lang w:val="en-US" w:eastAsia="zh-CN"/>
              </w:rPr>
            </w:pPr>
          </w:p>
          <w:p w14:paraId="0E22A65D">
            <w:pPr>
              <w:adjustRightInd w:val="0"/>
              <w:snapToGrid w:val="0"/>
              <w:rPr>
                <w:rFonts w:hint="eastAsia" w:ascii="宋体" w:hAnsi="宋体" w:cs="宋体"/>
                <w:bCs/>
                <w:spacing w:val="10"/>
                <w:sz w:val="24"/>
                <w:szCs w:val="24"/>
                <w:lang w:val="en-US" w:eastAsia="zh-CN"/>
              </w:rPr>
            </w:pPr>
          </w:p>
          <w:p w14:paraId="0C2E5E5F">
            <w:pPr>
              <w:adjustRightInd w:val="0"/>
              <w:snapToGrid w:val="0"/>
              <w:rPr>
                <w:rFonts w:hint="eastAsia" w:ascii="宋体" w:hAnsi="宋体" w:cs="宋体"/>
                <w:bCs/>
                <w:spacing w:val="10"/>
                <w:sz w:val="24"/>
                <w:szCs w:val="24"/>
                <w:lang w:val="en-US" w:eastAsia="zh-CN"/>
              </w:rPr>
            </w:pPr>
          </w:p>
          <w:p w14:paraId="329AB82F">
            <w:pPr>
              <w:adjustRightInd w:val="0"/>
              <w:snapToGrid w:val="0"/>
              <w:rPr>
                <w:rFonts w:hint="eastAsia" w:ascii="宋体" w:hAnsi="宋体" w:eastAsia="宋体" w:cs="宋体"/>
                <w:bCs/>
                <w:spacing w:val="10"/>
                <w:sz w:val="24"/>
                <w:szCs w:val="24"/>
                <w:lang w:val="en-US" w:eastAsia="zh-CN"/>
              </w:rPr>
            </w:pPr>
          </w:p>
        </w:tc>
      </w:tr>
    </w:tbl>
    <w:p w14:paraId="528468BD">
      <w:pPr>
        <w:pStyle w:val="20"/>
        <w:jc w:val="both"/>
        <w:outlineLvl w:val="9"/>
        <w:rPr>
          <w:rFonts w:hint="eastAsia" w:ascii="黑体" w:hAnsi="黑体" w:eastAsia="黑体"/>
          <w:snapToGrid w:val="0"/>
          <w:color w:val="000000"/>
          <w:sz w:val="30"/>
          <w:szCs w:val="30"/>
        </w:rPr>
      </w:pPr>
    </w:p>
    <w:p w14:paraId="5385C24A">
      <w:pPr>
        <w:pStyle w:val="20"/>
        <w:numPr>
          <w:ilvl w:val="0"/>
          <w:numId w:val="0"/>
        </w:numPr>
        <w:jc w:val="both"/>
        <w:outlineLvl w:val="9"/>
        <w:rPr>
          <w:rFonts w:hint="default" w:ascii="Times New Roman" w:hAnsi="Times New Roman" w:eastAsia="宋体" w:cs="Times New Roman"/>
          <w:color w:val="000000"/>
          <w:sz w:val="24"/>
          <w:szCs w:val="24"/>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2B05855">
      <w:pPr>
        <w:spacing w:line="360" w:lineRule="auto"/>
        <w:jc w:val="both"/>
        <w:outlineLvl w:val="0"/>
        <w:rPr>
          <w:rFonts w:eastAsia="黑体"/>
          <w:bCs/>
          <w:sz w:val="32"/>
          <w:szCs w:val="32"/>
          <w:shd w:val="clear" w:color="auto" w:fill="FFFFFF" w:themeFill="background1"/>
        </w:rPr>
      </w:pPr>
      <w:bookmarkStart w:id="30" w:name="_Toc94022803"/>
      <w:r>
        <w:rPr>
          <w:rFonts w:eastAsia="黑体"/>
          <w:bCs/>
          <w:sz w:val="32"/>
          <w:szCs w:val="32"/>
          <w:shd w:val="clear" w:color="auto" w:fill="FFFFFF" w:themeFill="background1"/>
        </w:rPr>
        <w:t>六、生态环境保护措施监督检查清单</w:t>
      </w:r>
      <w:bookmarkEnd w:id="30"/>
    </w:p>
    <w:tbl>
      <w:tblPr>
        <w:tblStyle w:val="22"/>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4"/>
        <w:gridCol w:w="4465"/>
        <w:gridCol w:w="2882"/>
        <w:gridCol w:w="2810"/>
        <w:gridCol w:w="2183"/>
      </w:tblGrid>
      <w:tr w14:paraId="5B4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restart"/>
            <w:tcBorders>
              <w:tl2br w:val="single" w:color="auto" w:sz="4" w:space="0"/>
            </w:tcBorders>
            <w:vAlign w:val="center"/>
          </w:tcPr>
          <w:p w14:paraId="4313C2FA">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4445</wp:posOffset>
                      </wp:positionV>
                      <wp:extent cx="1233805" cy="398780"/>
                      <wp:effectExtent l="1270" t="4445" r="3175" b="15875"/>
                      <wp:wrapNone/>
                      <wp:docPr id="92" name="直接连接符 92"/>
                      <wp:cNvGraphicFramePr/>
                      <a:graphic xmlns:a="http://schemas.openxmlformats.org/drawingml/2006/main">
                        <a:graphicData uri="http://schemas.microsoft.com/office/word/2010/wordprocessingShape">
                          <wps:wsp>
                            <wps:cNvCnPr/>
                            <wps:spPr>
                              <a:xfrm flipH="1" flipV="1">
                                <a:off x="0" y="0"/>
                                <a:ext cx="1233805" cy="398780"/>
                              </a:xfrm>
                              <a:prstGeom prst="line">
                                <a:avLst/>
                              </a:prstGeom>
                              <a:ln w="635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4pt;margin-top:0.35pt;height:31.4pt;width:97.15pt;z-index:251661312;mso-width-relative:page;mso-height-relative:page;" filled="f" stroked="t" coordsize="21600,21600" o:gfxdata="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65lOtYAAAAHAQAADwAAAAAAAAABACAAAAAiAAAA&#10;ZHJzL2Rvd25yZXYueG1sUEsBAhQAFAAAAAgAh07iQKMjnI8JAgAA/wMAAA4AAAAAAAAAAQAgAAAA&#10;JQEAAGRycy9lMm9Eb2MueG1sUEsFBgAAAAAGAAYAWQEAAKAFAAAAAA==&#10;">
                      <v:fill on="f" focussize="0,0"/>
                      <v:stroke weight="0.5pt" color="#000000" joinstyle="round"/>
                      <v:imagedata o:title=""/>
                      <o:lock v:ext="edit" aspectratio="f"/>
                    </v:line>
                  </w:pict>
                </mc:Fallback>
              </mc:AlternateContent>
            </w:r>
            <w:r>
              <w:rPr>
                <w:rFonts w:ascii="黑体" w:hAnsi="黑体" w:eastAsia="黑体"/>
                <w:bCs/>
                <w:sz w:val="21"/>
                <w:szCs w:val="21"/>
                <w:shd w:val="clear" w:color="auto" w:fill="FFFFFF" w:themeFill="background1"/>
              </w:rPr>
              <w:t>内容</w:t>
            </w:r>
          </w:p>
          <w:p w14:paraId="3D55CF35">
            <w:pPr>
              <w:widowControl/>
              <w:spacing w:line="276" w:lineRule="auto"/>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要素</w:t>
            </w:r>
          </w:p>
        </w:tc>
        <w:tc>
          <w:tcPr>
            <w:tcW w:w="7347" w:type="dxa"/>
            <w:gridSpan w:val="2"/>
            <w:vAlign w:val="center"/>
          </w:tcPr>
          <w:p w14:paraId="5A9D7653">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施工期</w:t>
            </w:r>
          </w:p>
        </w:tc>
        <w:tc>
          <w:tcPr>
            <w:tcW w:w="4993" w:type="dxa"/>
            <w:gridSpan w:val="2"/>
            <w:vAlign w:val="center"/>
          </w:tcPr>
          <w:p w14:paraId="524BF894">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运营期</w:t>
            </w:r>
          </w:p>
        </w:tc>
      </w:tr>
      <w:tr w14:paraId="1153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blHeader/>
        </w:trPr>
        <w:tc>
          <w:tcPr>
            <w:tcW w:w="1834" w:type="dxa"/>
            <w:vMerge w:val="continue"/>
            <w:tcBorders>
              <w:tl2br w:val="single" w:color="auto" w:sz="4" w:space="0"/>
            </w:tcBorders>
            <w:vAlign w:val="center"/>
          </w:tcPr>
          <w:p w14:paraId="2528307E">
            <w:pPr>
              <w:widowControl/>
              <w:spacing w:line="276" w:lineRule="auto"/>
              <w:jc w:val="center"/>
              <w:rPr>
                <w:rFonts w:ascii="黑体" w:hAnsi="黑体" w:eastAsia="黑体"/>
                <w:bCs/>
                <w:sz w:val="21"/>
                <w:szCs w:val="21"/>
                <w:shd w:val="clear" w:color="auto" w:fill="FFFFFF" w:themeFill="background1"/>
              </w:rPr>
            </w:pPr>
          </w:p>
        </w:tc>
        <w:tc>
          <w:tcPr>
            <w:tcW w:w="4465" w:type="dxa"/>
            <w:vAlign w:val="center"/>
          </w:tcPr>
          <w:p w14:paraId="6B0BFCAD">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环境保护措施</w:t>
            </w:r>
          </w:p>
        </w:tc>
        <w:tc>
          <w:tcPr>
            <w:tcW w:w="2882" w:type="dxa"/>
            <w:vAlign w:val="center"/>
          </w:tcPr>
          <w:p w14:paraId="5CF67175">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验收要求</w:t>
            </w:r>
          </w:p>
        </w:tc>
        <w:tc>
          <w:tcPr>
            <w:tcW w:w="2810" w:type="dxa"/>
            <w:vAlign w:val="center"/>
          </w:tcPr>
          <w:p w14:paraId="762C29AB">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环境保护措施</w:t>
            </w:r>
          </w:p>
        </w:tc>
        <w:tc>
          <w:tcPr>
            <w:tcW w:w="2183" w:type="dxa"/>
            <w:vAlign w:val="center"/>
          </w:tcPr>
          <w:p w14:paraId="2161CA00">
            <w:pPr>
              <w:widowControl/>
              <w:spacing w:line="276" w:lineRule="auto"/>
              <w:jc w:val="center"/>
              <w:rPr>
                <w:rFonts w:ascii="黑体" w:hAnsi="黑体" w:eastAsia="黑体"/>
                <w:bCs/>
                <w:sz w:val="21"/>
                <w:szCs w:val="21"/>
                <w:shd w:val="clear" w:color="auto" w:fill="FFFFFF" w:themeFill="background1"/>
              </w:rPr>
            </w:pPr>
            <w:r>
              <w:rPr>
                <w:rFonts w:ascii="黑体" w:hAnsi="黑体" w:eastAsia="黑体"/>
                <w:bCs/>
                <w:sz w:val="21"/>
                <w:szCs w:val="21"/>
                <w:shd w:val="clear" w:color="auto" w:fill="FFFFFF" w:themeFill="background1"/>
              </w:rPr>
              <w:t>验收要求</w:t>
            </w:r>
          </w:p>
        </w:tc>
      </w:tr>
      <w:tr w14:paraId="6234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DFA24C7">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陆生生态</w:t>
            </w:r>
          </w:p>
        </w:tc>
        <w:tc>
          <w:tcPr>
            <w:tcW w:w="4465" w:type="dxa"/>
            <w:vAlign w:val="center"/>
          </w:tcPr>
          <w:p w14:paraId="0CA7E36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0279B5C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①严格控制开挖范围及开挖量，变电站施工活动限制在站区范围内，</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电线路施工限制在事先划定的施工区内。</w:t>
            </w:r>
          </w:p>
          <w:p w14:paraId="42E9BF9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对开挖后的裸露开挖面用苫布覆盖，避免降雨时水流直接冲刷；施工时开挖的土石方不允许就地倾倒，应采取回填等方式妥善处置，临时堆土应采取围护拦挡措施，并在土体表面覆上苫布防止雨水冲刷造成水土流失。</w:t>
            </w:r>
          </w:p>
          <w:p w14:paraId="3A44FC5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w:t>
            </w:r>
            <w:r>
              <w:rPr>
                <w:rFonts w:hint="eastAsia" w:ascii="Times New Roman" w:hAnsi="Times New Roman" w:cs="Times New Roman"/>
                <w:sz w:val="21"/>
                <w:szCs w:val="21"/>
                <w:shd w:val="clear" w:color="auto" w:fill="FFFFFF" w:themeFill="background1"/>
                <w:lang w:eastAsia="zh-CN"/>
              </w:rPr>
              <w:t>布设</w:t>
            </w:r>
            <w:r>
              <w:rPr>
                <w:rFonts w:hint="default" w:ascii="Times New Roman" w:hAnsi="Times New Roman" w:cs="Times New Roman" w:eastAsiaTheme="minorEastAsia"/>
                <w:sz w:val="21"/>
                <w:szCs w:val="21"/>
                <w:shd w:val="clear" w:color="auto" w:fill="FFFFFF" w:themeFill="background1"/>
              </w:rPr>
              <w:t>尽量避开农田、耕地，减少对农业耕作的影响。</w:t>
            </w:r>
          </w:p>
          <w:p w14:paraId="6D9DAAE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④优化施工方案，减少临时占地占用的农田、耕地面积，必要时用彩条布、钢板等隔离，减少对农田、耕地的耕作层土壤的扰动和破坏。</w:t>
            </w:r>
          </w:p>
          <w:p w14:paraId="4B6F8AF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⑤工程施工完成后，应及早清理施工现场，对施工扰动区域进行土地整治，并根据土地利用功能及早复耕或植被恢复，避免水土流失。</w:t>
            </w:r>
          </w:p>
          <w:p w14:paraId="31AC3A3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774DB12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①变电站施工应在站区范围内进行，文明施工，集中堆放材料，严禁踩踏施工区域外地表植被。</w:t>
            </w:r>
          </w:p>
          <w:p w14:paraId="7994F2E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电线路施工时，建设单位应划定施工活动范围，避免对周边区域植被造成破坏。</w:t>
            </w:r>
          </w:p>
          <w:p w14:paraId="20728A8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施工开挖时应分层开挖，分层堆放，注意表土保护，施工结束后按原土层顺序分层回填，以利于后期植被恢复。</w:t>
            </w:r>
          </w:p>
          <w:p w14:paraId="7700224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④对线路沿线经过的林带，采取高跨方式通过，严禁砍伐通道；输电线路采用先进的架线工艺，如飞艇、动力伞或无人机等展放线，减少对线路走廊下方植被的破坏。</w:t>
            </w:r>
          </w:p>
          <w:p w14:paraId="7424669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⑤施工结束后，尽快清理施工场地，及时清理残留在原场地的混凝土、土石方，并对施工扰动区域进行复耕或进行植被恢复。</w:t>
            </w:r>
          </w:p>
          <w:p w14:paraId="586A452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6526302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①加强施工人员的环境保护教育，提高施工人员和相关管理人员的环保意识，严禁出现随意捕杀野生动物的行为。</w:t>
            </w:r>
          </w:p>
          <w:p w14:paraId="215BED3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②采用低噪声的机械等施工设备，禁止随意大声喧哗等高噪声的活动，减少施工活动噪声对野生动物的驱赶效应。</w:t>
            </w:r>
          </w:p>
          <w:p w14:paraId="371BD9D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③尽量利用原有田间道路、机耕路等现有道路作为施工道路，减小施工道路开辟对野生动物生活环境的破坏范围和强度。</w:t>
            </w:r>
          </w:p>
          <w:p w14:paraId="1B1AE94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④施工结束后，对施工扰动区域及临时占地区域进行原生态恢复，恢复野生动物生境。</w:t>
            </w:r>
          </w:p>
          <w:p w14:paraId="7262865F">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2EE73F7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（1）土地占用保护措施</w:t>
            </w:r>
          </w:p>
          <w:p w14:paraId="23A4CC5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①施工单位按照设计要求施工，划定施工活动范围，并严格限制施工机械和人员活动范围。</w:t>
            </w:r>
          </w:p>
          <w:p w14:paraId="6AE82F8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②开挖后的裸露开挖面采取覆盖措施，开挖的土石方采取回填等方式妥善处置，禁止随意弃置，临时堆土采取围护拦挡和覆盖措施，防止雨水冲刷造成水土流失。</w:t>
            </w:r>
          </w:p>
          <w:p w14:paraId="295E151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电线路尽量避开农田、耕地，如确实无法完全避让，则尽量布置在农田、耕地边角处，减少对农业耕作的影响。</w:t>
            </w:r>
          </w:p>
          <w:p w14:paraId="2AA7A69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④减少临时占地，特别是占用农田、耕地面积，并采取铺垫、隔离措施，减少对耕作层土壤的扰动和破坏。</w:t>
            </w:r>
          </w:p>
          <w:p w14:paraId="042DAAC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⑤工程施工完成后，及时清理施工现场，对施工扰动区域进行土地整治和植被恢复。</w:t>
            </w:r>
          </w:p>
          <w:p w14:paraId="5596F85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（2）植被保护措施</w:t>
            </w:r>
          </w:p>
          <w:p w14:paraId="23305B0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①变电站施工活动集中在变电站围墙内进行，禁止破坏站外植被。</w:t>
            </w:r>
          </w:p>
          <w:p w14:paraId="535C2E8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w:t>
            </w:r>
            <w:r>
              <w:rPr>
                <w:rFonts w:hint="default"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电线路施工时划定施工活动范围，避免对周边区域植被造成破坏。</w:t>
            </w:r>
          </w:p>
          <w:p w14:paraId="3FC2374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w:t>
            </w:r>
            <w:r>
              <w:rPr>
                <w:rFonts w:hint="eastAsia" w:ascii="Times New Roman" w:hAnsi="Times New Roman" w:cs="Times New Roman"/>
                <w:sz w:val="21"/>
                <w:szCs w:val="21"/>
                <w:shd w:val="clear" w:color="auto" w:fill="FFFFFF" w:themeFill="background1"/>
                <w:lang w:eastAsia="zh-CN"/>
              </w:rPr>
              <w:t>集电线路</w:t>
            </w:r>
            <w:r>
              <w:rPr>
                <w:rFonts w:hint="default" w:ascii="Times New Roman" w:hAnsi="Times New Roman" w:cs="Times New Roman" w:eastAsiaTheme="minorEastAsia"/>
                <w:sz w:val="21"/>
                <w:szCs w:val="21"/>
                <w:shd w:val="clear" w:color="auto" w:fill="FFFFFF" w:themeFill="background1"/>
              </w:rPr>
              <w:t>施工开挖时做好表土剥离、分类存放和回填利用。</w:t>
            </w:r>
          </w:p>
          <w:p w14:paraId="18B0EDA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④施工结束后，进行施工迹地清理，对施工扰动区域进行土地整治和植被恢复。</w:t>
            </w:r>
          </w:p>
          <w:p w14:paraId="142CEA3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（3）动物保护措施</w:t>
            </w:r>
          </w:p>
          <w:p w14:paraId="4EA7107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①加强施工期环保管理工作，确保无捕杀野生动物的行为。</w:t>
            </w:r>
          </w:p>
          <w:p w14:paraId="52EFC0A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②采用噪声水平满足国家相应标准的施工机械设备，禁止高噪声等不文明施工活动。</w:t>
            </w:r>
          </w:p>
          <w:p w14:paraId="617D51C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③充分利用已有道路作为施工道路，减小新开辟临时施工道路。</w:t>
            </w:r>
          </w:p>
          <w:p w14:paraId="305E576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④施工结束后，对施工扰动区域及临时占地区域进行土地功能和生态功能恢复。</w:t>
            </w:r>
          </w:p>
          <w:p w14:paraId="6FFE009E">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10" w:type="dxa"/>
            <w:vAlign w:val="center"/>
          </w:tcPr>
          <w:p w14:paraId="101BB93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加强对运行维护人员的环境保护教育，提高环保意识，运行维护人员不得随意砍伐线路沿线树木，破坏线路沿线原有生态环境。</w:t>
            </w:r>
          </w:p>
        </w:tc>
        <w:tc>
          <w:tcPr>
            <w:tcW w:w="2183" w:type="dxa"/>
            <w:vAlign w:val="center"/>
          </w:tcPr>
          <w:p w14:paraId="06CB98D3">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禁止运行维护人员随意砍伐线路沿线树木，破坏原有生态环境。</w:t>
            </w:r>
          </w:p>
        </w:tc>
      </w:tr>
      <w:tr w14:paraId="1C93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744BAFBE">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水生生态</w:t>
            </w:r>
          </w:p>
        </w:tc>
        <w:tc>
          <w:tcPr>
            <w:tcW w:w="4465" w:type="dxa"/>
            <w:vAlign w:val="center"/>
          </w:tcPr>
          <w:p w14:paraId="1A78035E">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2E7671F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17D2070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148AEF43">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2914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0CF0B982">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地表水环境</w:t>
            </w:r>
          </w:p>
        </w:tc>
        <w:tc>
          <w:tcPr>
            <w:tcW w:w="4465" w:type="dxa"/>
            <w:vAlign w:val="center"/>
          </w:tcPr>
          <w:p w14:paraId="0730EBDA">
            <w:pPr>
              <w:widowControl/>
              <w:spacing w:line="240" w:lineRule="auto"/>
              <w:jc w:val="left"/>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施工场地设置</w:t>
            </w:r>
            <w:r>
              <w:rPr>
                <w:rFonts w:hint="default"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座3m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 xml:space="preserve"> 的沉淀池，产生的废水经沉淀池处理后，全部回用于施工用水及场地洒水降尘；施工营地设置旱厕，旱厕定期清掏， 全部用于周边农用施肥，不外排； 在施工营地内设置1座1m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的隔油池和1座4m</w:t>
            </w:r>
            <w:r>
              <w:rPr>
                <w:rFonts w:hint="default" w:ascii="Times New Roman" w:hAnsi="Times New Roman" w:cs="Times New Roman" w:eastAsiaTheme="minorEastAsia"/>
                <w:sz w:val="21"/>
                <w:szCs w:val="21"/>
                <w:shd w:val="clear" w:color="auto" w:fill="FFFFFF" w:themeFill="background1"/>
                <w:vertAlign w:val="superscript"/>
              </w:rPr>
              <w:t>3</w:t>
            </w:r>
            <w:r>
              <w:rPr>
                <w:rFonts w:hint="default" w:ascii="Times New Roman" w:hAnsi="Times New Roman" w:cs="Times New Roman" w:eastAsiaTheme="minorEastAsia"/>
                <w:sz w:val="21"/>
                <w:szCs w:val="21"/>
                <w:shd w:val="clear" w:color="auto" w:fill="FFFFFF" w:themeFill="background1"/>
              </w:rPr>
              <w:t>的沉淀池， 餐饮废水经隔油池、</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处理，其余生活污水经</w:t>
            </w:r>
            <w:r>
              <w:rPr>
                <w:rFonts w:hint="eastAsia" w:ascii="Times New Roman" w:hAnsi="Times New Roman" w:cs="Times New Roman"/>
                <w:sz w:val="21"/>
                <w:szCs w:val="21"/>
                <w:shd w:val="clear" w:color="auto" w:fill="FFFFFF" w:themeFill="background1"/>
                <w:lang w:eastAsia="zh-CN"/>
              </w:rPr>
              <w:t>化粪池</w:t>
            </w:r>
            <w:r>
              <w:rPr>
                <w:rFonts w:hint="default" w:ascii="Times New Roman" w:hAnsi="Times New Roman" w:cs="Times New Roman" w:eastAsiaTheme="minorEastAsia"/>
                <w:sz w:val="21"/>
                <w:szCs w:val="21"/>
                <w:shd w:val="clear" w:color="auto" w:fill="FFFFFF" w:themeFill="background1"/>
              </w:rPr>
              <w:t>处理后，全部回用于施工场地洒水降尘或周围灌木丛或草地的浇水</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不外排</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有效的拦蓄措施，防止施工废水进入附近水体。</w:t>
            </w:r>
          </w:p>
        </w:tc>
        <w:tc>
          <w:tcPr>
            <w:tcW w:w="2882" w:type="dxa"/>
            <w:vAlign w:val="center"/>
          </w:tcPr>
          <w:p w14:paraId="200B0BE0">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施工期废产生的废水经沉淀池处理后，全部回用于施工用水及场地洒水降尘处理后</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全部回用，不外排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施工营地设置旱厕，旱厕定期清掏，全部用于周边农用施肥，不外排</w:t>
            </w:r>
            <w:r>
              <w:rPr>
                <w:rFonts w:hint="default"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生活污水经</w:t>
            </w:r>
            <w:r>
              <w:rPr>
                <w:rFonts w:hint="eastAsia" w:ascii="Times New Roman" w:hAnsi="Times New Roman" w:cs="Times New Roman"/>
                <w:color w:val="auto"/>
                <w:sz w:val="21"/>
                <w:szCs w:val="21"/>
                <w:shd w:val="clear" w:color="auto" w:fill="FFFFFF" w:themeFill="background1"/>
                <w:lang w:eastAsia="zh-CN"/>
              </w:rPr>
              <w:t>隔油池、化粪池</w:t>
            </w:r>
            <w:r>
              <w:rPr>
                <w:rFonts w:hint="default" w:ascii="Times New Roman" w:hAnsi="Times New Roman" w:cs="Times New Roman" w:eastAsiaTheme="minorEastAsia"/>
                <w:color w:val="auto"/>
                <w:sz w:val="21"/>
                <w:szCs w:val="21"/>
                <w:shd w:val="clear" w:color="auto" w:fill="FFFFFF" w:themeFill="background1"/>
              </w:rPr>
              <w:t>处理后，全部回用于施工场地洒水降尘或周围灌木丛或草地的浇水</w:t>
            </w:r>
            <w:r>
              <w:rPr>
                <w:rFonts w:hint="default" w:ascii="Times New Roman" w:hAnsi="Times New Roman" w:cs="Times New Roman" w:eastAsiaTheme="minorEastAsia"/>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不外排</w:t>
            </w:r>
            <w:r>
              <w:rPr>
                <w:rFonts w:hint="default" w:ascii="Times New Roman" w:hAnsi="Times New Roman" w:cs="Times New Roman" w:eastAsiaTheme="minorEastAsia"/>
                <w:color w:val="auto"/>
                <w:sz w:val="21"/>
                <w:szCs w:val="21"/>
                <w:shd w:val="clear" w:color="auto" w:fill="FFFFFF" w:themeFill="background1"/>
                <w:lang w:eastAsia="zh-CN"/>
              </w:rPr>
              <w:t>。</w:t>
            </w:r>
          </w:p>
        </w:tc>
        <w:tc>
          <w:tcPr>
            <w:tcW w:w="2810" w:type="dxa"/>
            <w:vAlign w:val="center"/>
          </w:tcPr>
          <w:p w14:paraId="46AA8854">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①升压站内实行雨污分流，升压站内食堂废水经1个</w:t>
            </w:r>
            <w:r>
              <w:rPr>
                <w:rFonts w:hint="eastAsia" w:ascii="Times New Roman" w:hAnsi="Times New Roman" w:cs="Times New Roman"/>
                <w:color w:val="auto"/>
                <w:sz w:val="21"/>
                <w:szCs w:val="21"/>
                <w:shd w:val="clear" w:color="auto" w:fill="FFFFFF" w:themeFill="background1"/>
                <w:lang w:val="en-US" w:eastAsia="zh-CN"/>
              </w:rPr>
              <w:t>0.5</w:t>
            </w:r>
            <w:r>
              <w:rPr>
                <w:rFonts w:hint="default" w:ascii="Times New Roman" w:hAnsi="Times New Roman" w:cs="Times New Roman" w:eastAsiaTheme="minorEastAsia"/>
                <w:color w:val="auto"/>
                <w:sz w:val="21"/>
                <w:szCs w:val="21"/>
                <w:shd w:val="clear" w:color="auto" w:fill="FFFFFF" w:themeFill="background1"/>
              </w:rPr>
              <w:t>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隔油池隔油后，连同其它生活污水经1个4m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化粪池预处理后</w:t>
            </w:r>
            <w:r>
              <w:rPr>
                <w:rFonts w:hint="eastAsia" w:ascii="Times New Roman" w:hAnsi="Times New Roman" w:cs="Times New Roman"/>
                <w:color w:val="auto"/>
                <w:sz w:val="21"/>
                <w:szCs w:val="21"/>
                <w:shd w:val="clear" w:color="auto" w:fill="FFFFFF" w:themeFill="background1"/>
                <w:lang w:eastAsia="zh-CN"/>
              </w:rPr>
              <w:t>于</w:t>
            </w:r>
            <w:r>
              <w:rPr>
                <w:rFonts w:hint="default" w:ascii="Times New Roman" w:hAnsi="Times New Roman" w:cs="Times New Roman" w:eastAsiaTheme="minorEastAsia"/>
                <w:color w:val="auto"/>
                <w:sz w:val="21"/>
                <w:szCs w:val="21"/>
                <w:shd w:val="clear" w:color="auto" w:fill="FFFFFF" w:themeFill="background1"/>
              </w:rPr>
              <w:t>1</w:t>
            </w:r>
            <w:r>
              <w:rPr>
                <w:rFonts w:hint="eastAsia" w:ascii="Times New Roman" w:hAnsi="Times New Roman" w:cs="Times New Roman"/>
                <w:color w:val="auto"/>
                <w:sz w:val="21"/>
                <w:szCs w:val="21"/>
                <w:shd w:val="clear" w:color="auto" w:fill="FFFFFF" w:themeFill="background1"/>
                <w:lang w:val="en-US" w:eastAsia="zh-CN"/>
              </w:rPr>
              <w:t>8</w:t>
            </w:r>
            <w:r>
              <w:rPr>
                <w:rFonts w:hint="default" w:ascii="Times New Roman" w:hAnsi="Times New Roman" w:cs="Times New Roman" w:eastAsiaTheme="minorEastAsia"/>
                <w:color w:val="auto"/>
                <w:sz w:val="21"/>
                <w:szCs w:val="21"/>
                <w:shd w:val="clear" w:color="auto" w:fill="FFFFFF" w:themeFill="background1"/>
              </w:rPr>
              <w:t>m</w:t>
            </w:r>
            <w:r>
              <w:rPr>
                <w:rFonts w:hint="default" w:ascii="Times New Roman" w:hAnsi="Times New Roman" w:cs="Times New Roman" w:eastAsiaTheme="minorEastAsia"/>
                <w:color w:val="auto"/>
                <w:sz w:val="21"/>
                <w:szCs w:val="21"/>
                <w:shd w:val="clear" w:color="auto" w:fill="FFFFFF" w:themeFill="background1"/>
                <w:vertAlign w:val="superscript"/>
              </w:rPr>
              <w:t>3</w:t>
            </w:r>
            <w:r>
              <w:rPr>
                <w:rFonts w:hint="default" w:ascii="Times New Roman" w:hAnsi="Times New Roman" w:cs="Times New Roman" w:eastAsiaTheme="minorEastAsia"/>
                <w:color w:val="auto"/>
                <w:sz w:val="21"/>
                <w:szCs w:val="21"/>
                <w:shd w:val="clear" w:color="auto" w:fill="FFFFFF" w:themeFill="background1"/>
              </w:rPr>
              <w:t>的</w:t>
            </w:r>
            <w:r>
              <w:rPr>
                <w:rFonts w:hint="eastAsia" w:ascii="Times New Roman" w:hAnsi="Times New Roman" w:cs="Times New Roman"/>
                <w:color w:val="auto"/>
                <w:sz w:val="21"/>
                <w:szCs w:val="21"/>
                <w:shd w:val="clear" w:color="auto" w:fill="FFFFFF" w:themeFill="background1"/>
                <w:lang w:eastAsia="zh-CN"/>
              </w:rPr>
              <w:t>废水收集</w:t>
            </w:r>
            <w:r>
              <w:rPr>
                <w:rFonts w:hint="default" w:ascii="Times New Roman" w:hAnsi="Times New Roman" w:cs="Times New Roman" w:eastAsiaTheme="minorEastAsia"/>
                <w:color w:val="auto"/>
                <w:sz w:val="21"/>
                <w:szCs w:val="21"/>
                <w:shd w:val="clear" w:color="auto" w:fill="FFFFFF" w:themeFill="background1"/>
              </w:rPr>
              <w:t>池</w:t>
            </w:r>
            <w:r>
              <w:rPr>
                <w:rFonts w:hint="eastAsia" w:ascii="Times New Roman" w:hAnsi="Times New Roman" w:cs="Times New Roman"/>
                <w:color w:val="auto"/>
                <w:sz w:val="21"/>
                <w:szCs w:val="21"/>
                <w:shd w:val="clear" w:color="auto" w:fill="FFFFFF" w:themeFill="background1"/>
                <w:lang w:eastAsia="zh-CN"/>
              </w:rPr>
              <w:t>内暂存</w:t>
            </w:r>
            <w:r>
              <w:rPr>
                <w:rFonts w:hint="default" w:ascii="Times New Roman" w:hAnsi="Times New Roman" w:cs="Times New Roman" w:eastAsiaTheme="minorEastAsia"/>
                <w:color w:val="auto"/>
                <w:sz w:val="21"/>
                <w:szCs w:val="21"/>
                <w:shd w:val="clear" w:color="auto" w:fill="FFFFFF" w:themeFill="background1"/>
              </w:rPr>
              <w:t>，</w:t>
            </w:r>
            <w:r>
              <w:rPr>
                <w:rFonts w:hint="eastAsia" w:ascii="Times New Roman" w:hAnsi="Times New Roman" w:cs="Times New Roman"/>
                <w:color w:val="auto"/>
                <w:sz w:val="21"/>
                <w:szCs w:val="21"/>
                <w:shd w:val="clear" w:color="auto" w:fill="FFFFFF" w:themeFill="background1"/>
                <w:lang w:eastAsia="zh-CN"/>
              </w:rPr>
              <w:t>晴天用于站区内绿化浇洒</w:t>
            </w:r>
            <w:r>
              <w:rPr>
                <w:rFonts w:hint="default" w:ascii="Times New Roman" w:hAnsi="Times New Roman" w:cs="Times New Roman" w:eastAsiaTheme="minorEastAsia"/>
                <w:color w:val="auto"/>
                <w:sz w:val="21"/>
                <w:szCs w:val="21"/>
                <w:shd w:val="clear" w:color="auto" w:fill="FFFFFF" w:themeFill="background1"/>
              </w:rPr>
              <w:t>，不外排。</w:t>
            </w:r>
          </w:p>
          <w:p w14:paraId="421D3DB0">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rPr>
              <w:t>②光伏板在旱季进行清洗，在阵列区内配套设置集水沟渠</w:t>
            </w:r>
            <w:r>
              <w:rPr>
                <w:rFonts w:hint="eastAsia" w:ascii="Times New Roman" w:hAnsi="Times New Roman" w:cs="Times New Roman"/>
                <w:color w:val="auto"/>
                <w:sz w:val="21"/>
                <w:szCs w:val="21"/>
                <w:shd w:val="clear" w:color="auto" w:fill="FFFFFF" w:themeFill="background1"/>
                <w:lang w:eastAsia="zh-CN"/>
              </w:rPr>
              <w:t>及</w:t>
            </w:r>
            <w:r>
              <w:rPr>
                <w:rFonts w:hint="default" w:ascii="Times New Roman" w:hAnsi="Times New Roman" w:cs="Times New Roman" w:eastAsiaTheme="minorEastAsia"/>
                <w:color w:val="auto"/>
                <w:sz w:val="21"/>
                <w:szCs w:val="21"/>
                <w:shd w:val="clear" w:color="auto" w:fill="FFFFFF" w:themeFill="background1"/>
              </w:rPr>
              <w:t>沉淀池，光伏板清洗废水经集水沟收集后进入沉淀池沉淀处理，用于板下</w:t>
            </w:r>
            <w:r>
              <w:rPr>
                <w:rFonts w:hint="default" w:ascii="Times New Roman" w:hAnsi="Times New Roman" w:cs="Times New Roman"/>
                <w:color w:val="auto"/>
                <w:sz w:val="21"/>
                <w:szCs w:val="21"/>
                <w:shd w:val="clear" w:color="auto" w:fill="FFFFFF" w:themeFill="background1"/>
                <w:lang w:eastAsia="zh-CN"/>
              </w:rPr>
              <w:t>植被灌溉</w:t>
            </w:r>
            <w:r>
              <w:rPr>
                <w:rFonts w:hint="default" w:ascii="Times New Roman" w:hAnsi="Times New Roman" w:cs="Times New Roman" w:eastAsiaTheme="minorEastAsia"/>
                <w:color w:val="auto"/>
                <w:sz w:val="21"/>
                <w:szCs w:val="21"/>
                <w:shd w:val="clear" w:color="auto" w:fill="FFFFFF" w:themeFill="background1"/>
              </w:rPr>
              <w:t>不外排。</w:t>
            </w:r>
          </w:p>
          <w:p w14:paraId="5986DD50">
            <w:pPr>
              <w:widowControl/>
              <w:spacing w:line="240" w:lineRule="auto"/>
              <w:jc w:val="left"/>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rPr>
              <w:t>③定期对化粪池、隔油池</w:t>
            </w:r>
            <w:r>
              <w:rPr>
                <w:rFonts w:hint="eastAsia" w:ascii="Times New Roman" w:hAnsi="Times New Roman" w:cs="Times New Roman"/>
                <w:color w:val="auto"/>
                <w:sz w:val="21"/>
                <w:szCs w:val="21"/>
                <w:shd w:val="clear" w:color="auto" w:fill="FFFFFF" w:themeFill="background1"/>
                <w:lang w:eastAsia="zh-CN"/>
              </w:rPr>
              <w:t>、废水收集池、集水沟</w:t>
            </w:r>
            <w:r>
              <w:rPr>
                <w:rFonts w:hint="default" w:ascii="Times New Roman" w:hAnsi="Times New Roman" w:cs="Times New Roman" w:eastAsiaTheme="minorEastAsia"/>
                <w:color w:val="auto"/>
                <w:sz w:val="21"/>
                <w:szCs w:val="21"/>
                <w:shd w:val="clear" w:color="auto" w:fill="FFFFFF" w:themeFill="background1"/>
              </w:rPr>
              <w:t>进行清掏</w:t>
            </w:r>
            <w:r>
              <w:rPr>
                <w:rFonts w:hint="eastAsia" w:ascii="Times New Roman" w:hAnsi="Times New Roman" w:cs="Times New Roman"/>
                <w:color w:val="auto"/>
                <w:sz w:val="21"/>
                <w:szCs w:val="21"/>
                <w:shd w:val="clear" w:color="auto" w:fill="FFFFFF" w:themeFill="background1"/>
                <w:lang w:eastAsia="zh-CN"/>
              </w:rPr>
              <w:t>。</w:t>
            </w:r>
          </w:p>
        </w:tc>
        <w:tc>
          <w:tcPr>
            <w:tcW w:w="2183" w:type="dxa"/>
            <w:vAlign w:val="center"/>
          </w:tcPr>
          <w:p w14:paraId="5EE4EEC5">
            <w:pPr>
              <w:widowControl/>
              <w:spacing w:line="240" w:lineRule="auto"/>
              <w:jc w:val="left"/>
              <w:rPr>
                <w:rFonts w:hint="default" w:ascii="Times New Roman" w:hAnsi="Times New Roman" w:cs="Times New Roman" w:eastAsiaTheme="minorEastAsia"/>
                <w:color w:val="auto"/>
                <w:sz w:val="21"/>
                <w:szCs w:val="21"/>
                <w:shd w:val="clear" w:color="auto" w:fill="FFFFFF" w:themeFill="background1"/>
              </w:rPr>
            </w:pPr>
            <w:r>
              <w:rPr>
                <w:rFonts w:hint="eastAsia" w:ascii="Times New Roman" w:hAnsi="Times New Roman" w:cs="Times New Roman"/>
                <w:color w:val="auto"/>
                <w:sz w:val="21"/>
                <w:szCs w:val="21"/>
                <w:shd w:val="clear" w:color="auto" w:fill="FFFFFF" w:themeFill="background1"/>
                <w:lang w:eastAsia="zh-CN"/>
              </w:rPr>
              <w:t>生活污水</w:t>
            </w:r>
            <w:r>
              <w:rPr>
                <w:rFonts w:hint="default" w:ascii="Times New Roman" w:hAnsi="Times New Roman" w:cs="Times New Roman" w:eastAsiaTheme="minorEastAsia"/>
                <w:color w:val="auto"/>
                <w:sz w:val="21"/>
                <w:szCs w:val="21"/>
                <w:shd w:val="clear" w:color="auto" w:fill="FFFFFF" w:themeFill="background1"/>
              </w:rPr>
              <w:t>回用不外排</w:t>
            </w:r>
            <w:r>
              <w:rPr>
                <w:rFonts w:hint="eastAsia" w:ascii="Times New Roman" w:hAnsi="Times New Roman" w:cs="Times New Roman"/>
                <w:color w:val="auto"/>
                <w:sz w:val="21"/>
                <w:szCs w:val="21"/>
                <w:shd w:val="clear" w:color="auto" w:fill="FFFFFF" w:themeFill="background1"/>
                <w:lang w:eastAsia="zh-CN"/>
              </w:rPr>
              <w:t>；</w:t>
            </w:r>
            <w:r>
              <w:rPr>
                <w:rFonts w:hint="default" w:ascii="Times New Roman" w:hAnsi="Times New Roman" w:cs="Times New Roman" w:eastAsiaTheme="minorEastAsia"/>
                <w:color w:val="auto"/>
                <w:sz w:val="21"/>
                <w:szCs w:val="21"/>
                <w:shd w:val="clear" w:color="auto" w:fill="FFFFFF" w:themeFill="background1"/>
              </w:rPr>
              <w:t>光伏板清洁废水回用不外排。</w:t>
            </w:r>
          </w:p>
          <w:p w14:paraId="07CE684F">
            <w:pPr>
              <w:widowControl/>
              <w:spacing w:line="240" w:lineRule="auto"/>
              <w:rPr>
                <w:rFonts w:hint="default" w:ascii="Times New Roman" w:hAnsi="Times New Roman" w:cs="Times New Roman" w:eastAsiaTheme="minorEastAsia"/>
                <w:color w:val="auto"/>
                <w:sz w:val="21"/>
                <w:szCs w:val="21"/>
                <w:shd w:val="clear" w:color="auto" w:fill="FFFFFF" w:themeFill="background1"/>
              </w:rPr>
            </w:pPr>
          </w:p>
        </w:tc>
      </w:tr>
      <w:tr w14:paraId="17A46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339FD1E">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地下水及土壤环境</w:t>
            </w:r>
          </w:p>
        </w:tc>
        <w:tc>
          <w:tcPr>
            <w:tcW w:w="4465" w:type="dxa"/>
            <w:vAlign w:val="center"/>
          </w:tcPr>
          <w:p w14:paraId="7B0B2B8B">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6DF91932">
            <w:pPr>
              <w:widowControl/>
              <w:spacing w:line="240" w:lineRule="auto"/>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eastAsia="宋体" w:cs="Times New Roman"/>
                <w:color w:val="auto"/>
                <w:sz w:val="21"/>
                <w:szCs w:val="21"/>
                <w:shd w:val="clear" w:color="auto" w:fill="FFFFFF" w:themeFill="background1"/>
              </w:rPr>
              <w:t>/</w:t>
            </w:r>
          </w:p>
        </w:tc>
        <w:tc>
          <w:tcPr>
            <w:tcW w:w="2810" w:type="dxa"/>
            <w:vAlign w:val="center"/>
          </w:tcPr>
          <w:p w14:paraId="5815AC3B">
            <w:pPr>
              <w:widowControl/>
              <w:spacing w:line="240" w:lineRule="auto"/>
              <w:jc w:val="center"/>
              <w:rPr>
                <w:rFonts w:hint="default" w:ascii="Times New Roman" w:hAnsi="Times New Roman" w:eastAsia="宋体" w:cs="Times New Roman"/>
                <w:color w:val="auto"/>
                <w:sz w:val="21"/>
                <w:szCs w:val="21"/>
                <w:shd w:val="clear" w:color="auto" w:fill="FFFFFF" w:themeFill="background1"/>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4"/>
                <w:szCs w:val="24"/>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eastAsiaTheme="minorEastAsia"/>
                <w:color w:val="auto"/>
                <w:sz w:val="21"/>
                <w:szCs w:val="21"/>
                <w:shd w:val="clear" w:color="auto" w:fill="FFFFFF" w:themeFill="background1"/>
                <w:lang w:val="en-US" w:eastAsia="zh-CN"/>
              </w:rPr>
              <w:t>，参照《环境影响评价技术导则地下水环境》（HJ 610-2016）进行重点防渗，</w:t>
            </w:r>
            <w:r>
              <w:rPr>
                <w:rFonts w:hint="default" w:ascii="Times New Roman" w:hAnsi="Times New Roman" w:cs="Times New Roman" w:eastAsiaTheme="minorEastAsia"/>
                <w:color w:val="auto"/>
                <w:sz w:val="21"/>
                <w:szCs w:val="21"/>
                <w:shd w:val="clear" w:color="auto" w:fill="FFFFFF" w:themeFill="background1"/>
              </w:rPr>
              <w:t>防渗</w:t>
            </w:r>
            <w:r>
              <w:rPr>
                <w:rFonts w:hint="default" w:ascii="Times New Roman" w:hAnsi="Times New Roman" w:cs="Times New Roman"/>
                <w:b w:val="0"/>
                <w:bCs w:val="0"/>
                <w:color w:val="auto"/>
                <w:sz w:val="21"/>
                <w:szCs w:val="21"/>
              </w:rPr>
              <w:t>性能不应低于6.0m厚渗透系数为1×10</w:t>
            </w:r>
            <w:r>
              <w:rPr>
                <w:rFonts w:hint="default" w:ascii="Times New Roman" w:hAnsi="Times New Roman" w:cs="Times New Roman"/>
                <w:b w:val="0"/>
                <w:bCs w:val="0"/>
                <w:color w:val="auto"/>
                <w:sz w:val="21"/>
                <w:szCs w:val="21"/>
                <w:vertAlign w:val="superscript"/>
              </w:rPr>
              <w:t>-7</w:t>
            </w:r>
            <w:r>
              <w:rPr>
                <w:rFonts w:hint="default" w:ascii="Times New Roman" w:hAnsi="Times New Roman" w:cs="Times New Roman"/>
                <w:b w:val="0"/>
                <w:bCs w:val="0"/>
                <w:color w:val="auto"/>
                <w:sz w:val="21"/>
                <w:szCs w:val="21"/>
              </w:rPr>
              <w:t>cm/s的黏土层的防渗性能或2mm厚高密度聚乙烯，或至少2mm厚的其他人工材料，渗透系数≤1×10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default" w:ascii="Times New Roman" w:hAnsi="Times New Roman" w:eastAsia="宋体" w:cs="Times New Roman"/>
                <w:color w:val="auto"/>
                <w:sz w:val="21"/>
                <w:szCs w:val="21"/>
                <w:lang w:val="en-US" w:eastAsia="zh-CN"/>
              </w:rPr>
              <w:t>参照《环境影响评价技术导则地下水环境》（HJ 610-2016）进行一般防渗，等效黏土防渗层Mb≥1.5m，渗透系数K≤1.0×10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cm/s；项目办公楼综合楼、路面为简易防渗区，进行水泥硬化防渗即可，同时应加强维护，降低“跑、冒、滴、漏”发生的可能防止对地下水产生污染。</w:t>
            </w:r>
          </w:p>
        </w:tc>
        <w:tc>
          <w:tcPr>
            <w:tcW w:w="2183" w:type="dxa"/>
            <w:vAlign w:val="center"/>
          </w:tcPr>
          <w:p w14:paraId="491954E7">
            <w:pPr>
              <w:widowControl/>
              <w:spacing w:line="240" w:lineRule="auto"/>
              <w:jc w:val="center"/>
              <w:rPr>
                <w:rFonts w:hint="eastAsia" w:ascii="Times New Roman" w:hAnsi="Times New Roman" w:cs="Times New Roman" w:eastAsiaTheme="minorEastAsia"/>
                <w:color w:val="auto"/>
                <w:sz w:val="21"/>
                <w:szCs w:val="21"/>
                <w:shd w:val="clear" w:color="auto" w:fill="FFFFFF" w:themeFill="background1"/>
                <w:lang w:eastAsia="zh-CN"/>
              </w:rPr>
            </w:pPr>
            <w:r>
              <w:rPr>
                <w:rFonts w:hint="default" w:ascii="Times New Roman" w:hAnsi="Times New Roman" w:cs="Times New Roman" w:eastAsiaTheme="minorEastAsia"/>
                <w:color w:val="auto"/>
                <w:sz w:val="21"/>
                <w:szCs w:val="21"/>
                <w:shd w:val="clear" w:color="auto" w:fill="FFFFFF" w:themeFill="background1"/>
                <w:lang w:val="en-US" w:eastAsia="zh-CN"/>
              </w:rPr>
              <w:t>重点防渗区为危险废物暂存间、</w:t>
            </w:r>
            <w:r>
              <w:rPr>
                <w:rFonts w:hint="default" w:ascii="Times New Roman" w:hAnsi="Times New Roman" w:eastAsia="宋体" w:cs="Times New Roman"/>
                <w:color w:val="auto"/>
                <w:sz w:val="24"/>
                <w:szCs w:val="24"/>
              </w:rPr>
              <w:t>集油坑</w:t>
            </w:r>
            <w:r>
              <w:rPr>
                <w:rFonts w:hint="default" w:ascii="Times New Roman" w:hAnsi="Times New Roman" w:cs="Times New Roman" w:eastAsiaTheme="minorEastAsia"/>
                <w:color w:val="auto"/>
                <w:sz w:val="21"/>
                <w:szCs w:val="21"/>
                <w:shd w:val="clear" w:color="auto" w:fill="FFFFFF" w:themeFill="background1"/>
                <w:lang w:val="en-US" w:eastAsia="zh-CN"/>
              </w:rPr>
              <w:t>、</w:t>
            </w:r>
            <w:r>
              <w:rPr>
                <w:rFonts w:hint="eastAsia" w:ascii="Times New Roman" w:hAnsi="Times New Roman" w:cs="Times New Roman"/>
                <w:color w:val="auto"/>
                <w:sz w:val="21"/>
                <w:szCs w:val="21"/>
                <w:shd w:val="clear" w:color="auto" w:fill="FFFFFF" w:themeFill="background1"/>
                <w:lang w:val="en-US" w:eastAsia="zh-CN"/>
              </w:rPr>
              <w:t>事故池</w:t>
            </w:r>
            <w:r>
              <w:rPr>
                <w:rFonts w:hint="default" w:ascii="Times New Roman" w:hAnsi="Times New Roman" w:cs="Times New Roman"/>
                <w:b w:val="0"/>
                <w:bCs w:val="0"/>
                <w:color w:val="auto"/>
                <w:sz w:val="21"/>
                <w:szCs w:val="21"/>
              </w:rPr>
              <w:t>渗透系数≤1×10</w:t>
            </w:r>
            <w:r>
              <w:rPr>
                <w:rFonts w:hint="default" w:ascii="Times New Roman" w:hAnsi="Times New Roman" w:cs="Times New Roman"/>
                <w:b w:val="0"/>
                <w:bCs w:val="0"/>
                <w:color w:val="auto"/>
                <w:sz w:val="21"/>
                <w:szCs w:val="21"/>
                <w:vertAlign w:val="superscript"/>
              </w:rPr>
              <w:t>-10</w:t>
            </w:r>
            <w:r>
              <w:rPr>
                <w:rFonts w:hint="default" w:ascii="Times New Roman" w:hAnsi="Times New Roman" w:cs="Times New Roman"/>
                <w:b w:val="0"/>
                <w:bCs w:val="0"/>
                <w:color w:val="auto"/>
                <w:sz w:val="21"/>
                <w:szCs w:val="21"/>
              </w:rPr>
              <w:t>cm/s</w:t>
            </w:r>
            <w:r>
              <w:rPr>
                <w:rFonts w:hint="eastAsia" w:ascii="Times New Roman" w:hAnsi="Times New Roman" w:cs="Times New Roman"/>
                <w:b w:val="0"/>
                <w:bCs w:val="0"/>
                <w:color w:val="auto"/>
                <w:sz w:val="21"/>
                <w:szCs w:val="21"/>
                <w:lang w:eastAsia="zh-CN"/>
              </w:rPr>
              <w:t>；一般防渗区</w:t>
            </w:r>
            <w:r>
              <w:rPr>
                <w:rFonts w:hint="eastAsia" w:ascii="Times New Roman" w:hAnsi="Times New Roman" w:cs="Times New Roman"/>
                <w:color w:val="auto"/>
                <w:sz w:val="21"/>
                <w:szCs w:val="21"/>
                <w:lang w:val="en-US" w:eastAsia="zh-CN"/>
              </w:rPr>
              <w:t>废水收集池</w:t>
            </w:r>
            <w:r>
              <w:rPr>
                <w:rFonts w:hint="default" w:ascii="Times New Roman" w:hAnsi="Times New Roman" w:cs="Times New Roman"/>
                <w:color w:val="auto"/>
                <w:sz w:val="21"/>
                <w:szCs w:val="21"/>
                <w:lang w:val="en-US" w:eastAsia="zh-CN"/>
              </w:rPr>
              <w:t>、化粪池、隔油池</w:t>
            </w:r>
            <w:r>
              <w:rPr>
                <w:rFonts w:hint="eastAsia"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渗透系数K≤1.0×10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项目办公楼综合楼、路面为简易防渗区，进行水泥硬化防渗即可</w:t>
            </w:r>
            <w:r>
              <w:rPr>
                <w:rFonts w:hint="eastAsia" w:ascii="Times New Roman" w:hAnsi="Times New Roman" w:eastAsia="宋体" w:cs="Times New Roman"/>
                <w:color w:val="auto"/>
                <w:sz w:val="21"/>
                <w:szCs w:val="21"/>
                <w:lang w:val="en-US" w:eastAsia="zh-CN"/>
              </w:rPr>
              <w:t>。</w:t>
            </w:r>
          </w:p>
        </w:tc>
      </w:tr>
      <w:tr w14:paraId="1909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700EEA61">
            <w:pPr>
              <w:widowControl/>
              <w:spacing w:line="276" w:lineRule="auto"/>
              <w:jc w:val="center"/>
              <w:rPr>
                <w:rFonts w:asciiTheme="minorEastAsia" w:hAnsiTheme="minorEastAsia" w:eastAsiaTheme="minorEastAsia"/>
                <w:sz w:val="21"/>
                <w:szCs w:val="21"/>
                <w:shd w:val="clear" w:color="auto" w:fill="FFFFFF" w:themeFill="background1"/>
              </w:rPr>
            </w:pPr>
            <w:r>
              <w:rPr>
                <w:rFonts w:asciiTheme="minorEastAsia" w:hAnsiTheme="minorEastAsia" w:eastAsiaTheme="minorEastAsia"/>
                <w:sz w:val="21"/>
                <w:szCs w:val="21"/>
                <w:shd w:val="clear" w:color="auto" w:fill="FFFFFF" w:themeFill="background1"/>
              </w:rPr>
              <w:t>声环境</w:t>
            </w:r>
          </w:p>
        </w:tc>
        <w:tc>
          <w:tcPr>
            <w:tcW w:w="4465" w:type="dxa"/>
            <w:vAlign w:val="center"/>
          </w:tcPr>
          <w:p w14:paraId="284CF30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①要求施工单位文明施工，加强施工期的环境管理和环境监控工作，并接受生态环境部门的监督管理。</w:t>
            </w:r>
          </w:p>
          <w:p w14:paraId="3FCA52B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②施工单位应采用噪声水平满足国家相应标准的施工机械设备，并在施工场周围设置围挡设施以减小施工噪声影响。</w:t>
            </w:r>
          </w:p>
          <w:p w14:paraId="31F126B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③优化施工方案，产生高噪声影响的施工作业安排在白天进行，合理安排工期，施工应尽量安排在白天进行。</w:t>
            </w:r>
          </w:p>
          <w:p w14:paraId="5E7B1583">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④加强施工车辆在施工区附近的交通管理，当车辆途经附近居民点时，限速行驶、不高音鸣号，以减少施工车辆行驶对沿途居民点的噪声影响。</w:t>
            </w:r>
          </w:p>
        </w:tc>
        <w:tc>
          <w:tcPr>
            <w:tcW w:w="2882" w:type="dxa"/>
            <w:vAlign w:val="center"/>
          </w:tcPr>
          <w:p w14:paraId="0F0362C1">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①严格落实文明施工原则，并在施工期间加强环境管理和环境监控工作。</w:t>
            </w:r>
          </w:p>
          <w:p w14:paraId="594A0E7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②施工单位采用噪声水平满足国家相应标准的施工机械设备，并在施工场周围设置围挡设施，施工场界噪声满足《建筑施工场界环境噪声排放标准》（GB 12523-2011）要求。</w:t>
            </w:r>
          </w:p>
          <w:p w14:paraId="3796B81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③施工过程中，尽量避免夜间施工，若确需夜间施工，应禁止高噪声施工作业。</w:t>
            </w:r>
          </w:p>
          <w:p w14:paraId="29E518E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④加强施工噪声管理工作，避免施工扰民。</w:t>
            </w:r>
          </w:p>
        </w:tc>
        <w:tc>
          <w:tcPr>
            <w:tcW w:w="2810" w:type="dxa"/>
            <w:vAlign w:val="center"/>
          </w:tcPr>
          <w:p w14:paraId="74607A6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选用低噪声设备，采取隔声、减振等措施，种植绿化，并加强设备维护。</w:t>
            </w:r>
          </w:p>
          <w:p w14:paraId="2EF09EAB">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183" w:type="dxa"/>
            <w:vAlign w:val="center"/>
          </w:tcPr>
          <w:p w14:paraId="78E4B6E3">
            <w:pPr>
              <w:widowControl/>
              <w:spacing w:line="240" w:lineRule="auto"/>
              <w:rPr>
                <w:rFonts w:hint="default" w:ascii="Times New Roman" w:hAnsi="Times New Roman" w:cs="Times New Roman" w:eastAsiaTheme="minorEastAsia"/>
                <w:sz w:val="21"/>
                <w:szCs w:val="21"/>
                <w:shd w:val="clear" w:color="auto" w:fill="FFFFFF" w:themeFill="background1"/>
                <w:lang w:eastAsia="zh-CN"/>
              </w:rPr>
            </w:pPr>
            <w:r>
              <w:rPr>
                <w:rFonts w:hint="default" w:ascii="Times New Roman" w:hAnsi="Times New Roman" w:cs="Times New Roman" w:eastAsiaTheme="minorEastAsia"/>
                <w:sz w:val="21"/>
                <w:szCs w:val="21"/>
                <w:shd w:val="clear" w:color="auto" w:fill="FFFFFF" w:themeFill="background1"/>
              </w:rPr>
              <w:t>变电站运营期间厂界噪声满足《工业企业厂界环境噪声排放标准》（GB12348-2008）2类标准要求</w:t>
            </w:r>
            <w:r>
              <w:rPr>
                <w:rFonts w:hint="default" w:ascii="Times New Roman" w:hAnsi="Times New Roman" w:cs="Times New Roman"/>
                <w:sz w:val="21"/>
                <w:szCs w:val="21"/>
                <w:shd w:val="clear" w:color="auto" w:fill="FFFFFF" w:themeFill="background1"/>
                <w:lang w:eastAsia="zh-CN"/>
              </w:rPr>
              <w:t>。</w:t>
            </w:r>
          </w:p>
        </w:tc>
      </w:tr>
      <w:tr w14:paraId="00E0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7B94A0B1">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振动</w:t>
            </w:r>
          </w:p>
        </w:tc>
        <w:tc>
          <w:tcPr>
            <w:tcW w:w="4465" w:type="dxa"/>
            <w:vAlign w:val="center"/>
          </w:tcPr>
          <w:p w14:paraId="0B930BEE">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5CF796FF">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2F390631">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5154397A">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42B9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3F24B51">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大气环境</w:t>
            </w:r>
          </w:p>
        </w:tc>
        <w:tc>
          <w:tcPr>
            <w:tcW w:w="4465" w:type="dxa"/>
            <w:vAlign w:val="center"/>
          </w:tcPr>
          <w:p w14:paraId="0BC79289">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①施工单位应文明施工，加强施工期的环境管理和环境监控工作。</w:t>
            </w:r>
          </w:p>
          <w:p w14:paraId="46BF966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②施工产生的建筑垃圾等要合理堆放，应定期清运。</w:t>
            </w:r>
          </w:p>
          <w:p w14:paraId="6D19FEC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③车辆运输变电站及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电线路施工产生的多余土方或散体材料时，必须密闭、包扎、覆盖，避免沿途漏撒，并且在规定的时间内按指定路段行驶，控制扬尘污染。</w:t>
            </w:r>
          </w:p>
          <w:p w14:paraId="3ACC1CC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④加强材料转运与使用的管理，合理装卸，规范操作。</w:t>
            </w:r>
          </w:p>
          <w:p w14:paraId="65DA9F77">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⑤变电站及</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电线路附近的道路在车辆进出时洒水，保持湿润，减少或避免产生扬尘。</w:t>
            </w:r>
          </w:p>
          <w:p w14:paraId="5D62A016">
            <w:pPr>
              <w:widowControl/>
              <w:spacing w:line="240" w:lineRule="auto"/>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⑥临时堆土应及时苫盖、干燥天气下易起尘的裸露土地及时洒水抑尘。</w:t>
            </w:r>
          </w:p>
        </w:tc>
        <w:tc>
          <w:tcPr>
            <w:tcW w:w="2882" w:type="dxa"/>
            <w:vAlign w:val="center"/>
          </w:tcPr>
          <w:p w14:paraId="6BD7E102">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①施工单位严格落实文明施工，并加强施工期的环境管理。</w:t>
            </w:r>
          </w:p>
          <w:p w14:paraId="7E0A700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②施工垃圾及时清运。</w:t>
            </w:r>
          </w:p>
          <w:p w14:paraId="40B758EB">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③运输土石方或散体材料时采取密闭、包扎、覆盖措施，避免沿途漏撒。</w:t>
            </w:r>
          </w:p>
          <w:p w14:paraId="20DF916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④严格规范材料转运、装卸过程中的操作。</w:t>
            </w:r>
          </w:p>
          <w:p w14:paraId="68FA7A70">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⑤车辆进出施工区域时，需进行洒水降尘，避免扬尘对周围环境造成影响。</w:t>
            </w:r>
          </w:p>
          <w:p w14:paraId="3C5E1BF8">
            <w:pPr>
              <w:widowControl/>
              <w:spacing w:line="240" w:lineRule="auto"/>
              <w:rPr>
                <w:rFonts w:hint="default" w:ascii="Times New Roman" w:hAnsi="Times New Roman" w:eastAsia="宋体" w:cs="Times New Roman"/>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⑥临时堆土采取苫盖措施，对起尘的裸露土地进行洒水抑尘。</w:t>
            </w:r>
          </w:p>
        </w:tc>
        <w:tc>
          <w:tcPr>
            <w:tcW w:w="2810" w:type="dxa"/>
            <w:vAlign w:val="center"/>
          </w:tcPr>
          <w:p w14:paraId="1588FF4F">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①升压站内使用清洁能源，厨房油烟采用1套</w:t>
            </w:r>
            <w:r>
              <w:rPr>
                <w:rFonts w:hint="eastAsia" w:ascii="Times New Roman" w:hAnsi="Times New Roman" w:eastAsia="宋体" w:cs="Times New Roman"/>
                <w:sz w:val="21"/>
                <w:szCs w:val="21"/>
                <w:shd w:val="clear" w:color="auto" w:fill="FFFFFF" w:themeFill="background1"/>
                <w:lang w:eastAsia="zh-CN"/>
              </w:rPr>
              <w:t>抽烟烟机</w:t>
            </w:r>
            <w:r>
              <w:rPr>
                <w:rFonts w:hint="default" w:ascii="Times New Roman" w:hAnsi="Times New Roman" w:eastAsia="宋体" w:cs="Times New Roman"/>
                <w:sz w:val="21"/>
                <w:szCs w:val="21"/>
                <w:shd w:val="clear" w:color="auto" w:fill="FFFFFF" w:themeFill="background1"/>
              </w:rPr>
              <w:t>处理后排放。</w:t>
            </w:r>
          </w:p>
          <w:p w14:paraId="3BEC0A93">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②保持项目区内环境卫生，减少运营期地面扬尘和飘散物对环境空气质量的影响</w:t>
            </w:r>
            <w:r>
              <w:rPr>
                <w:rFonts w:hint="default" w:ascii="Times New Roman" w:hAnsi="Times New Roman" w:eastAsia="宋体" w:cs="Times New Roman"/>
                <w:sz w:val="21"/>
                <w:szCs w:val="21"/>
                <w:shd w:val="clear" w:color="auto" w:fill="FFFFFF" w:themeFill="background1"/>
                <w:lang w:eastAsia="zh-CN"/>
              </w:rPr>
              <w:t>；</w:t>
            </w:r>
            <w:r>
              <w:rPr>
                <w:rFonts w:hint="default" w:ascii="Times New Roman" w:hAnsi="Times New Roman" w:eastAsia="宋体" w:cs="Times New Roman"/>
                <w:sz w:val="21"/>
                <w:szCs w:val="21"/>
                <w:shd w:val="clear" w:color="auto" w:fill="FFFFFF" w:themeFill="background1"/>
              </w:rPr>
              <w:t>垃圾及时清运并对垃圾收集点经常进行清扫。</w:t>
            </w:r>
          </w:p>
          <w:p w14:paraId="178D356E">
            <w:pPr>
              <w:widowControl/>
              <w:spacing w:line="240" w:lineRule="auto"/>
              <w:jc w:val="center"/>
              <w:rPr>
                <w:rFonts w:hint="default" w:ascii="Times New Roman" w:hAnsi="Times New Roman" w:eastAsia="宋体" w:cs="Times New Roman"/>
                <w:sz w:val="21"/>
                <w:szCs w:val="21"/>
                <w:shd w:val="clear" w:color="auto" w:fill="FFFFFF" w:themeFill="background1"/>
              </w:rPr>
            </w:pPr>
          </w:p>
        </w:tc>
        <w:tc>
          <w:tcPr>
            <w:tcW w:w="2183" w:type="dxa"/>
            <w:vAlign w:val="center"/>
          </w:tcPr>
          <w:p w14:paraId="5B41FF0D">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r w14:paraId="6737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69B557D4">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固体废物</w:t>
            </w:r>
          </w:p>
        </w:tc>
        <w:tc>
          <w:tcPr>
            <w:tcW w:w="4465" w:type="dxa"/>
            <w:vAlign w:val="center"/>
          </w:tcPr>
          <w:p w14:paraId="166F76D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①废弃土石方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全部在场地内回填</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不设置弃渣场，禁止乱弃渣。</w:t>
            </w:r>
          </w:p>
          <w:p w14:paraId="7920E67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②建筑垃圾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分类收集，能利用部分外售收购商进行回收利用，不可回收部分委托有资质单位清运至政府部门指定的场所进行处</w:t>
            </w:r>
          </w:p>
          <w:p w14:paraId="3E8D3BA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在施工场地设置临时生活垃圾收集容器，对施工人员的生活垃圾进行分类收集，垃圾实行“日产日清”，交</w:t>
            </w:r>
            <w:r>
              <w:rPr>
                <w:rFonts w:hint="default" w:ascii="Times New Roman" w:hAnsi="Times New Roman" w:cs="Times New Roman"/>
                <w:sz w:val="21"/>
                <w:szCs w:val="21"/>
                <w:shd w:val="clear" w:color="auto" w:fill="FFFFFF" w:themeFill="background1"/>
                <w:lang w:eastAsia="zh-CN"/>
              </w:rPr>
              <w:t>附近村</w:t>
            </w:r>
            <w:r>
              <w:rPr>
                <w:rFonts w:hint="default" w:ascii="Times New Roman" w:hAnsi="Times New Roman" w:cs="Times New Roman" w:eastAsiaTheme="minorEastAsia"/>
                <w:sz w:val="21"/>
                <w:szCs w:val="21"/>
                <w:shd w:val="clear" w:color="auto" w:fill="FFFFFF" w:themeFill="background1"/>
              </w:rPr>
              <w:t>垃圾收集点处理。</w:t>
            </w:r>
          </w:p>
          <w:p w14:paraId="0F4DDE28">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④粪便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定时由当地</w:t>
            </w:r>
            <w:r>
              <w:rPr>
                <w:rFonts w:hint="eastAsia" w:ascii="Times New Roman" w:hAnsi="Times New Roman" w:cs="Times New Roman"/>
                <w:sz w:val="21"/>
                <w:szCs w:val="21"/>
                <w:shd w:val="clear" w:color="auto" w:fill="FFFFFF" w:themeFill="background1"/>
                <w:lang w:eastAsia="zh-CN"/>
              </w:rPr>
              <w:t>农户</w:t>
            </w:r>
            <w:r>
              <w:rPr>
                <w:rFonts w:hint="default" w:ascii="Times New Roman" w:hAnsi="Times New Roman" w:cs="Times New Roman" w:eastAsiaTheme="minorEastAsia"/>
                <w:sz w:val="21"/>
                <w:szCs w:val="21"/>
                <w:shd w:val="clear" w:color="auto" w:fill="FFFFFF" w:themeFill="background1"/>
              </w:rPr>
              <w:t>清运用作农肥。</w:t>
            </w:r>
          </w:p>
          <w:p w14:paraId="192523A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⑤临时堆土</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项目临时堆场应选择在项目用地范围内，严禁新增占地，并进行覆盖和拦档。</w:t>
            </w:r>
          </w:p>
          <w:p w14:paraId="7F69FD62">
            <w:pPr>
              <w:widowControl/>
              <w:spacing w:line="240" w:lineRule="auto"/>
              <w:rPr>
                <w:rFonts w:hint="default" w:ascii="Times New Roman" w:hAnsi="Times New Roman" w:cs="Times New Roman" w:eastAsiaTheme="minorEastAsia"/>
                <w:sz w:val="21"/>
                <w:szCs w:val="21"/>
                <w:shd w:val="clear" w:color="auto" w:fill="FFFFFF" w:themeFill="background1"/>
              </w:rPr>
            </w:pPr>
          </w:p>
        </w:tc>
        <w:tc>
          <w:tcPr>
            <w:tcW w:w="2882" w:type="dxa"/>
            <w:vAlign w:val="center"/>
          </w:tcPr>
          <w:p w14:paraId="70DE7CB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①变电站施工过程中控制挖填平衡，严禁边挖边弃。</w:t>
            </w:r>
          </w:p>
          <w:p w14:paraId="3BC8D7A6">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②禁止将</w:t>
            </w:r>
            <w:r>
              <w:rPr>
                <w:rFonts w:hint="eastAsia" w:ascii="Times New Roman" w:hAnsi="Times New Roman" w:cs="Times New Roman"/>
                <w:sz w:val="21"/>
                <w:szCs w:val="21"/>
                <w:shd w:val="clear" w:color="auto" w:fill="FFFFFF" w:themeFill="background1"/>
                <w:lang w:eastAsia="zh-CN"/>
              </w:rPr>
              <w:t>集</w:t>
            </w:r>
            <w:r>
              <w:rPr>
                <w:rFonts w:hint="default" w:ascii="Times New Roman" w:hAnsi="Times New Roman" w:cs="Times New Roman" w:eastAsiaTheme="minorEastAsia"/>
                <w:sz w:val="21"/>
                <w:szCs w:val="21"/>
                <w:shd w:val="clear" w:color="auto" w:fill="FFFFFF" w:themeFill="background1"/>
              </w:rPr>
              <w:t>电线路开挖多余土方随意弃置，施工结束后需进行植被恢复。</w:t>
            </w:r>
          </w:p>
          <w:p w14:paraId="5A100D5C">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③施工期的建筑垃圾、生活垃圾分类收集，妥善处理。</w:t>
            </w:r>
          </w:p>
          <w:p w14:paraId="481B96DF">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④施工结束后对施工区域进行清理，避免残留施工建筑垃圾和生活垃圾。</w:t>
            </w:r>
          </w:p>
        </w:tc>
        <w:tc>
          <w:tcPr>
            <w:tcW w:w="2810" w:type="dxa"/>
            <w:vAlign w:val="center"/>
          </w:tcPr>
          <w:p w14:paraId="10A4689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①生活垃圾</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能回用的尽量回收利用</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不能回用的定期运至</w:t>
            </w:r>
            <w:r>
              <w:rPr>
                <w:rFonts w:hint="default" w:ascii="Times New Roman" w:hAnsi="Times New Roman" w:cs="Times New Roman"/>
                <w:sz w:val="21"/>
                <w:szCs w:val="21"/>
                <w:shd w:val="clear" w:color="auto" w:fill="FFFFFF" w:themeFill="background1"/>
                <w:lang w:eastAsia="zh-CN"/>
              </w:rPr>
              <w:t>附近</w:t>
            </w:r>
            <w:r>
              <w:rPr>
                <w:rFonts w:hint="default" w:ascii="Times New Roman" w:hAnsi="Times New Roman" w:cs="Times New Roman" w:eastAsiaTheme="minorEastAsia"/>
                <w:sz w:val="21"/>
                <w:szCs w:val="21"/>
                <w:shd w:val="clear" w:color="auto" w:fill="FFFFFF" w:themeFill="background1"/>
              </w:rPr>
              <w:t>村垃圾收集点</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由当地环卫部门处置。</w:t>
            </w:r>
          </w:p>
          <w:p w14:paraId="63F7B405">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②废电池板</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报废后由建设单位对其进行收集，最终由专业的回收厂家收购回收处</w:t>
            </w:r>
          </w:p>
          <w:p w14:paraId="3AE803FA">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理。</w:t>
            </w:r>
          </w:p>
          <w:p w14:paraId="6F3C03B3">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③废矿物油、废铅蓄电池</w:t>
            </w:r>
            <w:r>
              <w:rPr>
                <w:rFonts w:hint="eastAsia"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属于危险废物，收集于专用容器内，在危废暂存间暂存，定期交有资质单位处置。</w:t>
            </w:r>
          </w:p>
          <w:p w14:paraId="73A4D25D">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④化粪池和</w:t>
            </w:r>
            <w:r>
              <w:rPr>
                <w:rFonts w:hint="eastAsia" w:ascii="Times New Roman" w:hAnsi="Times New Roman" w:cs="Times New Roman"/>
                <w:sz w:val="21"/>
                <w:szCs w:val="21"/>
                <w:shd w:val="clear" w:color="auto" w:fill="FFFFFF" w:themeFill="background1"/>
                <w:lang w:eastAsia="zh-CN"/>
              </w:rPr>
              <w:t>废水收集池：</w:t>
            </w:r>
            <w:r>
              <w:rPr>
                <w:rFonts w:hint="default" w:ascii="Times New Roman" w:hAnsi="Times New Roman" w:cs="Times New Roman" w:eastAsiaTheme="minorEastAsia"/>
                <w:sz w:val="21"/>
                <w:szCs w:val="21"/>
                <w:shd w:val="clear" w:color="auto" w:fill="FFFFFF" w:themeFill="background1"/>
              </w:rPr>
              <w:t>清掏后用于电站周围植物施肥。</w:t>
            </w:r>
          </w:p>
          <w:p w14:paraId="63EF960E">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⑤危险废物环境管理要求:设置1间面积为25m</w:t>
            </w:r>
            <w:r>
              <w:rPr>
                <w:rFonts w:hint="default" w:ascii="Times New Roman" w:hAnsi="Times New Roman" w:cs="Times New Roman" w:eastAsiaTheme="minorEastAsia"/>
                <w:sz w:val="21"/>
                <w:szCs w:val="21"/>
                <w:shd w:val="clear" w:color="auto" w:fill="FFFFFF" w:themeFill="background1"/>
                <w:vertAlign w:val="superscript"/>
              </w:rPr>
              <w:t>2</w:t>
            </w:r>
            <w:r>
              <w:rPr>
                <w:rFonts w:hint="default" w:ascii="Times New Roman" w:hAnsi="Times New Roman" w:cs="Times New Roman" w:eastAsiaTheme="minorEastAsia"/>
                <w:sz w:val="21"/>
                <w:szCs w:val="21"/>
                <w:shd w:val="clear" w:color="auto" w:fill="FFFFFF" w:themeFill="background1"/>
              </w:rPr>
              <w:t>的危险废物暂存间暂存危废。</w:t>
            </w:r>
          </w:p>
        </w:tc>
        <w:tc>
          <w:tcPr>
            <w:tcW w:w="2183" w:type="dxa"/>
            <w:vAlign w:val="center"/>
          </w:tcPr>
          <w:p w14:paraId="0620D5C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固废处置100%</w:t>
            </w:r>
          </w:p>
          <w:p w14:paraId="36193A33">
            <w:pPr>
              <w:widowControl/>
              <w:spacing w:line="240" w:lineRule="auto"/>
              <w:rPr>
                <w:rFonts w:hint="default" w:ascii="Times New Roman" w:hAnsi="Times New Roman" w:cs="Times New Roman" w:eastAsiaTheme="minorEastAsia"/>
                <w:sz w:val="21"/>
                <w:szCs w:val="21"/>
                <w:shd w:val="clear" w:color="auto" w:fill="FFFFFF" w:themeFill="background1"/>
              </w:rPr>
            </w:pPr>
          </w:p>
        </w:tc>
      </w:tr>
      <w:tr w14:paraId="2AD7E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4A97207C">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环境风险</w:t>
            </w:r>
          </w:p>
        </w:tc>
        <w:tc>
          <w:tcPr>
            <w:tcW w:w="4465" w:type="dxa"/>
            <w:vAlign w:val="center"/>
          </w:tcPr>
          <w:p w14:paraId="468D32DB">
            <w:pPr>
              <w:pStyle w:val="37"/>
              <w:spacing w:line="240" w:lineRule="auto"/>
              <w:rPr>
                <w:rFonts w:hint="default" w:ascii="Times New Roman" w:hAnsi="Times New Roman" w:cs="Times New Roman"/>
                <w:sz w:val="21"/>
                <w:szCs w:val="21"/>
                <w:shd w:val="clear" w:color="auto" w:fill="FFFFFF" w:themeFill="background1"/>
              </w:rPr>
            </w:pPr>
            <w:r>
              <w:rPr>
                <w:rFonts w:hint="default" w:ascii="Times New Roman" w:hAnsi="Times New Roman" w:cs="Times New Roman"/>
                <w:sz w:val="21"/>
                <w:szCs w:val="21"/>
                <w:shd w:val="clear" w:color="auto" w:fill="FFFFFF" w:themeFill="background1"/>
              </w:rPr>
              <w:t>/</w:t>
            </w:r>
          </w:p>
        </w:tc>
        <w:tc>
          <w:tcPr>
            <w:tcW w:w="2882" w:type="dxa"/>
            <w:vAlign w:val="center"/>
          </w:tcPr>
          <w:p w14:paraId="42433277">
            <w:pPr>
              <w:adjustRightInd w:val="0"/>
              <w:snapToGrid w:val="0"/>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6CABB64A">
            <w:pPr>
              <w:widowControl/>
              <w:spacing w:line="240" w:lineRule="auto"/>
              <w:jc w:val="left"/>
              <w:rPr>
                <w:rFonts w:hint="default" w:ascii="Times New Roman" w:hAnsi="Times New Roman" w:cs="Times New Roman" w:eastAsiaTheme="minorEastAsia"/>
                <w:sz w:val="21"/>
                <w:szCs w:val="21"/>
                <w:shd w:val="clear" w:color="auto" w:fill="FFFFFF" w:themeFill="background1"/>
              </w:rPr>
            </w:pPr>
            <w:r>
              <w:rPr>
                <w:rFonts w:hint="eastAsia" w:ascii="Times New Roman" w:hAnsi="Times New Roman" w:cs="Times New Roman"/>
                <w:sz w:val="21"/>
                <w:szCs w:val="21"/>
                <w:shd w:val="clear" w:color="auto" w:fill="FFFFFF" w:themeFill="background1"/>
                <w:lang w:val="en-US" w:eastAsia="zh-CN"/>
              </w:rPr>
              <w:t>26</w:t>
            </w:r>
            <w:r>
              <w:rPr>
                <w:rFonts w:hint="default" w:ascii="Times New Roman" w:hAnsi="Times New Roman" w:cs="Times New Roman" w:eastAsiaTheme="minorEastAsia"/>
                <w:sz w:val="21"/>
                <w:szCs w:val="21"/>
                <w:shd w:val="clear" w:color="auto" w:fill="FFFFFF" w:themeFill="background1"/>
              </w:rPr>
              <w:t>座箱式变压器旁分别设置1座</w:t>
            </w:r>
            <w:r>
              <w:rPr>
                <w:rFonts w:hint="eastAsia" w:ascii="Times New Roman" w:hAnsi="Times New Roman" w:cs="Times New Roman"/>
                <w:sz w:val="21"/>
                <w:szCs w:val="21"/>
                <w:shd w:val="clear" w:color="auto" w:fill="FFFFFF" w:themeFill="background1"/>
                <w:lang w:val="en-US" w:eastAsia="zh-CN"/>
              </w:rPr>
              <w:t>1</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sz w:val="21"/>
                <w:szCs w:val="21"/>
                <w:shd w:val="clear" w:color="auto" w:fill="FFFFFF" w:themeFill="background1"/>
                <w:vertAlign w:val="superscript"/>
                <w:lang w:val="en-US" w:eastAsia="zh-CN"/>
              </w:rPr>
              <w:t>3</w:t>
            </w:r>
            <w:r>
              <w:rPr>
                <w:rFonts w:hint="default" w:ascii="Times New Roman" w:hAnsi="Times New Roman" w:cs="Times New Roman" w:eastAsiaTheme="minorEastAsia"/>
                <w:sz w:val="21"/>
                <w:szCs w:val="21"/>
                <w:shd w:val="clear" w:color="auto" w:fill="FFFFFF" w:themeFill="background1"/>
              </w:rPr>
              <w:t>的</w:t>
            </w:r>
            <w:r>
              <w:rPr>
                <w:rFonts w:hint="eastAsia" w:ascii="Times New Roman" w:hAnsi="Times New Roman" w:cs="Times New Roman"/>
                <w:sz w:val="21"/>
                <w:szCs w:val="21"/>
                <w:shd w:val="clear" w:color="auto" w:fill="FFFFFF" w:themeFill="background1"/>
                <w:lang w:eastAsia="zh-CN"/>
              </w:rPr>
              <w:t>事故池</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升压站设置</w:t>
            </w:r>
            <w:r>
              <w:rPr>
                <w:rFonts w:hint="default" w:ascii="Times New Roman" w:hAnsi="Times New Roman" w:cs="Times New Roman"/>
                <w:sz w:val="21"/>
                <w:szCs w:val="21"/>
                <w:shd w:val="clear" w:color="auto" w:fill="FFFFFF" w:themeFill="background1"/>
                <w:lang w:val="en-US" w:eastAsia="zh-CN"/>
              </w:rPr>
              <w:t>25</w:t>
            </w:r>
            <w:r>
              <w:rPr>
                <w:rFonts w:hint="default" w:ascii="Times New Roman" w:hAnsi="Times New Roman" w:cs="Times New Roman" w:eastAsiaTheme="minorEastAsia"/>
                <w:sz w:val="21"/>
                <w:szCs w:val="21"/>
                <w:shd w:val="clear" w:color="auto" w:fill="FFFFFF" w:themeFill="background1"/>
              </w:rPr>
              <w:t>m</w:t>
            </w:r>
            <w:r>
              <w:rPr>
                <w:rFonts w:hint="default" w:ascii="Times New Roman" w:hAnsi="Times New Roman" w:cs="Times New Roman" w:eastAsiaTheme="minorEastAsia"/>
                <w:sz w:val="21"/>
                <w:szCs w:val="21"/>
                <w:shd w:val="clear" w:color="auto" w:fill="FFFFFF" w:themeFill="background1"/>
                <w:vertAlign w:val="superscript"/>
              </w:rPr>
              <w:t>2</w:t>
            </w:r>
            <w:r>
              <w:rPr>
                <w:rFonts w:hint="default" w:ascii="Times New Roman" w:hAnsi="Times New Roman" w:cs="Times New Roman" w:eastAsiaTheme="minorEastAsia"/>
                <w:sz w:val="21"/>
                <w:szCs w:val="21"/>
                <w:shd w:val="clear" w:color="auto" w:fill="FFFFFF" w:themeFill="background1"/>
              </w:rPr>
              <w:t>事故油池，危废暂存间根据《危险废物贮存污染控制标准》(GB 18597-2001)中的相关要求进行管理和建设，配备空油桶、消防沙</w:t>
            </w:r>
            <w:r>
              <w:rPr>
                <w:rFonts w:hint="default" w:ascii="Times New Roman" w:hAnsi="Times New Roman" w:cs="Times New Roman"/>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吸油棉、铲子等应急物</w:t>
            </w:r>
            <w:r>
              <w:rPr>
                <w:rFonts w:hint="default" w:ascii="Times New Roman" w:hAnsi="Times New Roman" w:cs="Times New Roman"/>
                <w:sz w:val="21"/>
                <w:szCs w:val="21"/>
                <w:shd w:val="clear" w:color="auto" w:fill="FFFFFF" w:themeFill="background1"/>
                <w:lang w:eastAsia="zh-CN"/>
              </w:rPr>
              <w:t>。</w:t>
            </w:r>
          </w:p>
        </w:tc>
        <w:tc>
          <w:tcPr>
            <w:tcW w:w="2183" w:type="dxa"/>
            <w:vAlign w:val="center"/>
          </w:tcPr>
          <w:p w14:paraId="6FAD8EEA">
            <w:pPr>
              <w:spacing w:before="35" w:line="240" w:lineRule="auto"/>
              <w:ind w:firstLine="118"/>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制定应急预案</w:t>
            </w:r>
            <w:r>
              <w:rPr>
                <w:rFonts w:hint="default" w:ascii="Times New Roman" w:hAnsi="Times New Roman" w:cs="Times New Roman" w:eastAsiaTheme="minorEastAsia"/>
                <w:sz w:val="21"/>
                <w:szCs w:val="21"/>
                <w:shd w:val="clear" w:color="auto" w:fill="FFFFFF" w:themeFill="background1"/>
                <w:lang w:eastAsia="zh-CN"/>
              </w:rPr>
              <w:t>，</w:t>
            </w:r>
            <w:r>
              <w:rPr>
                <w:rFonts w:hint="default" w:ascii="Times New Roman" w:hAnsi="Times New Roman" w:cs="Times New Roman" w:eastAsiaTheme="minorEastAsia"/>
                <w:sz w:val="21"/>
                <w:szCs w:val="21"/>
                <w:shd w:val="clear" w:color="auto" w:fill="FFFFFF" w:themeFill="background1"/>
              </w:rPr>
              <w:t>并按照应急预案及本环评要求设置相应的风险防范措施</w:t>
            </w:r>
          </w:p>
        </w:tc>
      </w:tr>
      <w:tr w14:paraId="2BFD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28469BCA">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环境监测</w:t>
            </w:r>
          </w:p>
        </w:tc>
        <w:tc>
          <w:tcPr>
            <w:tcW w:w="4465" w:type="dxa"/>
            <w:vAlign w:val="center"/>
          </w:tcPr>
          <w:p w14:paraId="6B3950A6">
            <w:pPr>
              <w:widowControl/>
              <w:spacing w:line="240" w:lineRule="auto"/>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82" w:type="dxa"/>
            <w:vAlign w:val="center"/>
          </w:tcPr>
          <w:p w14:paraId="6C02C04B">
            <w:pPr>
              <w:widowControl/>
              <w:spacing w:line="240" w:lineRule="auto"/>
              <w:jc w:val="center"/>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cs="Times New Roman" w:eastAsiaTheme="minorEastAsia"/>
                <w:sz w:val="21"/>
                <w:szCs w:val="21"/>
                <w:shd w:val="clear" w:color="auto" w:fill="FFFFFF" w:themeFill="background1"/>
              </w:rPr>
              <w:t>/</w:t>
            </w:r>
          </w:p>
        </w:tc>
        <w:tc>
          <w:tcPr>
            <w:tcW w:w="2810" w:type="dxa"/>
            <w:vAlign w:val="center"/>
          </w:tcPr>
          <w:p w14:paraId="2C4375B4">
            <w:pPr>
              <w:widowControl/>
              <w:spacing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1"/>
                <w:sz w:val="21"/>
                <w:szCs w:val="21"/>
              </w:rPr>
              <w:t>运营期的环境监测由</w:t>
            </w:r>
            <w:r>
              <w:rPr>
                <w:rFonts w:hint="default" w:ascii="Times New Roman" w:hAnsi="Times New Roman" w:eastAsia="宋体" w:cs="Times New Roman"/>
                <w:spacing w:val="-2"/>
                <w:sz w:val="21"/>
                <w:szCs w:val="21"/>
              </w:rPr>
              <w:t>建设单位委托有资质的环境监测单位按已制定的计划监测</w:t>
            </w:r>
          </w:p>
        </w:tc>
        <w:tc>
          <w:tcPr>
            <w:tcW w:w="2183" w:type="dxa"/>
            <w:vAlign w:val="center"/>
          </w:tcPr>
          <w:p w14:paraId="28CC32CF">
            <w:pPr>
              <w:spacing w:before="38" w:line="240" w:lineRule="auto"/>
              <w:ind w:firstLine="11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委托有资质的环境</w:t>
            </w:r>
          </w:p>
          <w:p w14:paraId="36AB7D9D">
            <w:pPr>
              <w:spacing w:before="40" w:line="240" w:lineRule="auto"/>
              <w:rPr>
                <w:rFonts w:hint="default" w:ascii="Times New Roman" w:hAnsi="Times New Roman" w:cs="Times New Roman" w:eastAsiaTheme="minorEastAsia"/>
                <w:sz w:val="21"/>
                <w:szCs w:val="21"/>
                <w:shd w:val="clear" w:color="auto" w:fill="FFFFFF" w:themeFill="background1"/>
              </w:rPr>
            </w:pPr>
            <w:r>
              <w:rPr>
                <w:rFonts w:hint="default" w:ascii="Times New Roman" w:hAnsi="Times New Roman" w:eastAsia="宋体" w:cs="Times New Roman"/>
                <w:spacing w:val="-2"/>
                <w:sz w:val="21"/>
                <w:szCs w:val="21"/>
              </w:rPr>
              <w:t>监测单位按已制定</w:t>
            </w:r>
            <w:r>
              <w:rPr>
                <w:rFonts w:hint="default" w:ascii="Times New Roman" w:hAnsi="Times New Roman" w:eastAsia="宋体" w:cs="Times New Roman"/>
                <w:spacing w:val="-5"/>
                <w:sz w:val="21"/>
                <w:szCs w:val="21"/>
              </w:rPr>
              <w:t>的计划监</w:t>
            </w:r>
            <w:r>
              <w:rPr>
                <w:rFonts w:hint="default" w:ascii="Times New Roman" w:hAnsi="Times New Roman" w:eastAsia="宋体" w:cs="Times New Roman"/>
                <w:sz w:val="21"/>
                <w:szCs w:val="21"/>
              </w:rPr>
              <w:t>测</w:t>
            </w:r>
          </w:p>
        </w:tc>
      </w:tr>
      <w:tr w14:paraId="7AF7A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4" w:type="dxa"/>
            <w:vAlign w:val="center"/>
          </w:tcPr>
          <w:p w14:paraId="5F212C40">
            <w:pPr>
              <w:widowControl/>
              <w:spacing w:line="276" w:lineRule="auto"/>
              <w:jc w:val="center"/>
              <w:rPr>
                <w:rFonts w:eastAsia="宋体"/>
                <w:sz w:val="21"/>
                <w:szCs w:val="21"/>
                <w:shd w:val="clear" w:color="auto" w:fill="FFFFFF" w:themeFill="background1"/>
              </w:rPr>
            </w:pPr>
            <w:r>
              <w:rPr>
                <w:rFonts w:eastAsia="宋体"/>
                <w:sz w:val="21"/>
                <w:szCs w:val="21"/>
                <w:shd w:val="clear" w:color="auto" w:fill="FFFFFF" w:themeFill="background1"/>
              </w:rPr>
              <w:t>其他</w:t>
            </w:r>
          </w:p>
        </w:tc>
        <w:tc>
          <w:tcPr>
            <w:tcW w:w="4465" w:type="dxa"/>
            <w:vAlign w:val="center"/>
          </w:tcPr>
          <w:p w14:paraId="20A82E72">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82" w:type="dxa"/>
            <w:vAlign w:val="center"/>
          </w:tcPr>
          <w:p w14:paraId="4A1824B2">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810" w:type="dxa"/>
            <w:vAlign w:val="center"/>
          </w:tcPr>
          <w:p w14:paraId="723D84D4">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c>
          <w:tcPr>
            <w:tcW w:w="2183" w:type="dxa"/>
            <w:vAlign w:val="center"/>
          </w:tcPr>
          <w:p w14:paraId="6DB5B3CF">
            <w:pPr>
              <w:widowControl/>
              <w:spacing w:line="240" w:lineRule="auto"/>
              <w:jc w:val="center"/>
              <w:rPr>
                <w:rFonts w:hint="default" w:ascii="Times New Roman" w:hAnsi="Times New Roman" w:eastAsia="宋体" w:cs="Times New Roman"/>
                <w:sz w:val="21"/>
                <w:szCs w:val="21"/>
                <w:shd w:val="clear" w:color="auto" w:fill="FFFFFF" w:themeFill="background1"/>
              </w:rPr>
            </w:pPr>
            <w:r>
              <w:rPr>
                <w:rFonts w:hint="default" w:ascii="Times New Roman" w:hAnsi="Times New Roman" w:eastAsia="宋体" w:cs="Times New Roman"/>
                <w:sz w:val="21"/>
                <w:szCs w:val="21"/>
                <w:shd w:val="clear" w:color="auto" w:fill="FFFFFF" w:themeFill="background1"/>
              </w:rPr>
              <w:t>/</w:t>
            </w:r>
          </w:p>
        </w:tc>
      </w:tr>
    </w:tbl>
    <w:p w14:paraId="764584E2">
      <w:pPr>
        <w:widowControl/>
        <w:adjustRightInd w:val="0"/>
        <w:snapToGrid w:val="0"/>
        <w:spacing w:line="360" w:lineRule="auto"/>
        <w:ind w:firstLine="480" w:firstLineChars="200"/>
        <w:jc w:val="left"/>
        <w:rPr>
          <w:rFonts w:hint="default" w:ascii="Times New Roman" w:hAnsi="Times New Roman" w:eastAsia="宋体" w:cs="Times New Roman"/>
          <w:color w:val="000000"/>
          <w:sz w:val="24"/>
          <w:szCs w:val="24"/>
          <w:lang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1A427F1">
      <w:pPr>
        <w:pStyle w:val="20"/>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F3B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E92CA9A">
            <w:pPr>
              <w:snapToGrid w:val="0"/>
              <w:spacing w:line="360" w:lineRule="auto"/>
              <w:ind w:firstLine="480" w:firstLineChars="200"/>
              <w:jc w:val="left"/>
              <w:rPr>
                <w:rFonts w:ascii="Times New Roman" w:hAnsi="Times New Roman"/>
                <w:color w:val="000000"/>
                <w:sz w:val="24"/>
              </w:rPr>
            </w:pPr>
            <w:r>
              <w:rPr>
                <w:rFonts w:ascii="Times New Roman" w:hAnsi="Times New Roman"/>
                <w:color w:val="000000"/>
                <w:sz w:val="24"/>
              </w:rPr>
              <w:t>项目符合《云南省主体功能区规划》、</w:t>
            </w:r>
            <w:r>
              <w:rPr>
                <w:rFonts w:hint="eastAsia" w:ascii="Times New Roman" w:hAnsi="Times New Roman"/>
                <w:color w:val="000000"/>
                <w:sz w:val="24"/>
                <w:lang w:eastAsia="zh-CN"/>
              </w:rPr>
              <w:t>“</w:t>
            </w:r>
            <w:r>
              <w:rPr>
                <w:rFonts w:ascii="Times New Roman" w:hAnsi="Times New Roman"/>
                <w:color w:val="000000"/>
                <w:sz w:val="24"/>
              </w:rPr>
              <w:t>三线一单</w:t>
            </w:r>
            <w:r>
              <w:rPr>
                <w:rFonts w:hint="eastAsia" w:ascii="Times New Roman" w:hAnsi="Times New Roman"/>
                <w:color w:val="000000"/>
                <w:sz w:val="24"/>
                <w:lang w:eastAsia="zh-CN"/>
              </w:rPr>
              <w:t>”</w:t>
            </w:r>
            <w:r>
              <w:rPr>
                <w:rFonts w:ascii="Times New Roman" w:hAnsi="Times New Roman"/>
                <w:color w:val="000000"/>
                <w:sz w:val="24"/>
              </w:rPr>
              <w:t>、项目与《云南省生态功能区》的相关要求不冲突</w:t>
            </w:r>
            <w:r>
              <w:rPr>
                <w:rFonts w:hint="eastAsia" w:ascii="Times New Roman" w:hAnsi="Times New Roman"/>
                <w:color w:val="000000"/>
                <w:sz w:val="24"/>
                <w:lang w:eastAsia="zh-CN"/>
              </w:rPr>
              <w:t>；</w:t>
            </w:r>
            <w:r>
              <w:rPr>
                <w:rFonts w:ascii="Times New Roman" w:hAnsi="Times New Roman"/>
                <w:color w:val="000000"/>
                <w:sz w:val="24"/>
              </w:rPr>
              <w:t>项目选址和平面布局合理可行；项目在实施各项污染防治和生态恢复措施后，对当地生态环境的影响较小</w:t>
            </w:r>
            <w:r>
              <w:rPr>
                <w:rFonts w:hint="eastAsia" w:ascii="Times New Roman" w:hAnsi="Times New Roman"/>
                <w:color w:val="000000"/>
                <w:sz w:val="24"/>
                <w:lang w:eastAsia="zh-CN"/>
              </w:rPr>
              <w:t>。</w:t>
            </w:r>
            <w:r>
              <w:rPr>
                <w:rFonts w:ascii="Times New Roman" w:hAnsi="Times New Roman" w:eastAsia="宋体" w:cs="Times New Roman"/>
                <w:color w:val="000000"/>
                <w:sz w:val="24"/>
                <w:szCs w:val="24"/>
              </w:rPr>
              <w:t>项目的建设符合国家产业政策，有利于推动地方经济的可持续发展</w:t>
            </w:r>
            <w:r>
              <w:rPr>
                <w:rFonts w:hint="eastAsia" w:ascii="Times New Roman" w:hAnsi="Times New Roman" w:eastAsia="宋体" w:cs="Times New Roman"/>
                <w:color w:val="000000"/>
                <w:sz w:val="24"/>
                <w:szCs w:val="24"/>
                <w:lang w:eastAsia="zh-CN"/>
              </w:rPr>
              <w:t>；</w:t>
            </w:r>
            <w:r>
              <w:rPr>
                <w:rFonts w:ascii="Times New Roman" w:hAnsi="Times New Roman" w:eastAsia="宋体" w:cs="Times New Roman"/>
                <w:color w:val="000000"/>
                <w:sz w:val="24"/>
                <w:szCs w:val="24"/>
              </w:rPr>
              <w:t>区域环境空气、声环境、地表水、环境质量现状总体较好，在严格落实</w:t>
            </w:r>
            <w:r>
              <w:rPr>
                <w:rFonts w:hint="eastAsia" w:ascii="Times New Roman" w:hAnsi="Times New Roman" w:eastAsia="宋体" w:cs="Times New Roman"/>
                <w:color w:val="000000"/>
                <w:sz w:val="24"/>
                <w:szCs w:val="24"/>
                <w:lang w:val="en-US" w:eastAsia="zh-CN"/>
              </w:rPr>
              <w:t>本环评</w:t>
            </w:r>
            <w:r>
              <w:rPr>
                <w:rFonts w:ascii="Times New Roman" w:hAnsi="Times New Roman" w:eastAsia="宋体" w:cs="Times New Roman"/>
                <w:color w:val="000000"/>
                <w:sz w:val="24"/>
                <w:szCs w:val="24"/>
              </w:rPr>
              <w:t>各项污染防治措施</w:t>
            </w:r>
            <w:r>
              <w:rPr>
                <w:rFonts w:hint="eastAsia" w:ascii="Times New Roman" w:hAnsi="Times New Roman" w:eastAsia="宋体" w:cs="Times New Roman"/>
                <w:color w:val="000000"/>
                <w:sz w:val="24"/>
                <w:szCs w:val="24"/>
                <w:lang w:val="en-US" w:eastAsia="zh-CN"/>
              </w:rPr>
              <w:t>和</w:t>
            </w:r>
            <w:r>
              <w:rPr>
                <w:rFonts w:ascii="Times New Roman" w:hAnsi="Times New Roman" w:eastAsia="宋体" w:cs="Times New Roman"/>
                <w:color w:val="000000"/>
                <w:sz w:val="24"/>
                <w:szCs w:val="24"/>
              </w:rPr>
              <w:t>生态保护措施</w:t>
            </w:r>
            <w:r>
              <w:rPr>
                <w:rFonts w:hint="eastAsia" w:ascii="Times New Roman" w:hAnsi="Times New Roman" w:eastAsia="宋体" w:cs="Times New Roman"/>
                <w:color w:val="000000"/>
                <w:sz w:val="24"/>
                <w:szCs w:val="24"/>
                <w:lang w:val="en-US" w:eastAsia="zh-CN"/>
              </w:rPr>
              <w:t>后</w:t>
            </w:r>
            <w:r>
              <w:rPr>
                <w:rFonts w:ascii="Times New Roman" w:hAnsi="Times New Roman" w:eastAsia="宋体" w:cs="Times New Roman"/>
                <w:color w:val="000000"/>
                <w:sz w:val="24"/>
                <w:szCs w:val="24"/>
              </w:rPr>
              <w:t>，可将项目对环境的影响降至最低，实现污染物达标排放，满足环境功能区要求，环境可以接受，从环境保护角度分析，项目建设可行</w:t>
            </w:r>
            <w:r>
              <w:rPr>
                <w:rFonts w:ascii="Times New Roman" w:hAnsi="Times New Roman"/>
                <w:color w:val="000000"/>
                <w:sz w:val="24"/>
              </w:rPr>
              <w:t>。</w:t>
            </w:r>
          </w:p>
          <w:p w14:paraId="4A29ADDC">
            <w:pPr>
              <w:numPr>
                <w:ilvl w:val="0"/>
                <w:numId w:val="14"/>
              </w:numPr>
              <w:spacing w:line="360" w:lineRule="auto"/>
              <w:ind w:left="930" w:leftChars="0" w:firstLineChars="0"/>
              <w:rPr>
                <w:b/>
                <w:color w:val="auto"/>
              </w:rPr>
            </w:pPr>
            <w:r>
              <w:rPr>
                <w:bCs/>
                <w:color w:val="auto"/>
                <w:sz w:val="24"/>
              </w:rPr>
              <w:t>本报告表应附以下附件、附图：</w:t>
            </w:r>
          </w:p>
          <w:p w14:paraId="49EAED91">
            <w:pPr>
              <w:pStyle w:val="20"/>
              <w:adjustRightInd w:val="0"/>
              <w:snapToGrid w:val="0"/>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附件：</w:t>
            </w:r>
          </w:p>
          <w:p w14:paraId="74DFDD68">
            <w:pPr>
              <w:pStyle w:val="20"/>
              <w:adjustRightInd w:val="0"/>
              <w:snapToGrid w:val="0"/>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 xml:space="preserve">附件1 </w:t>
            </w:r>
            <w:r>
              <w:rPr>
                <w:rFonts w:hint="eastAsia" w:ascii="Times New Roman" w:hAnsi="Times New Roman"/>
                <w:color w:val="auto"/>
              </w:rPr>
              <w:t xml:space="preserve"> </w:t>
            </w:r>
            <w:r>
              <w:rPr>
                <w:rFonts w:ascii="Times New Roman" w:hAnsi="Times New Roman"/>
                <w:color w:val="auto"/>
              </w:rPr>
              <w:t>委托书</w:t>
            </w:r>
          </w:p>
          <w:p w14:paraId="0CDBA703">
            <w:pPr>
              <w:pStyle w:val="20"/>
              <w:adjustRightInd w:val="0"/>
              <w:snapToGrid w:val="0"/>
              <w:spacing w:before="0" w:beforeAutospacing="0" w:after="0" w:afterAutospacing="0" w:line="360" w:lineRule="auto"/>
              <w:ind w:firstLine="480" w:firstLineChars="200"/>
              <w:rPr>
                <w:rFonts w:ascii="Times New Roman" w:hAnsi="Times New Roman"/>
                <w:color w:val="auto"/>
              </w:rPr>
            </w:pPr>
            <w:r>
              <w:rPr>
                <w:rFonts w:ascii="Times New Roman" w:hAnsi="Times New Roman"/>
                <w:color w:val="auto"/>
              </w:rPr>
              <w:t xml:space="preserve">附件2 </w:t>
            </w:r>
            <w:r>
              <w:rPr>
                <w:rFonts w:hint="eastAsia" w:ascii="Times New Roman" w:hAnsi="Times New Roman"/>
                <w:color w:val="auto"/>
              </w:rPr>
              <w:t xml:space="preserve"> </w:t>
            </w:r>
            <w:r>
              <w:rPr>
                <w:rFonts w:ascii="Times New Roman" w:hAnsi="Times New Roman"/>
                <w:color w:val="auto"/>
              </w:rPr>
              <w:t>项目投资备案证</w:t>
            </w:r>
          </w:p>
          <w:p w14:paraId="39E0FAFE">
            <w:pPr>
              <w:pStyle w:val="20"/>
              <w:adjustRightInd w:val="0"/>
              <w:snapToGrid w:val="0"/>
              <w:spacing w:before="0" w:beforeAutospacing="0" w:after="0" w:afterAutospacing="0" w:line="360" w:lineRule="auto"/>
              <w:ind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附件3 芒政复〔2023〕25号  关于认定芒市德天新能源有限公司光伏发电项目地类的批复</w:t>
            </w:r>
          </w:p>
          <w:p w14:paraId="7B488E6E">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val="en-US" w:eastAsia="zh-CN"/>
              </w:rPr>
            </w:pPr>
            <w:r>
              <w:rPr>
                <w:rFonts w:hint="eastAsia" w:ascii="Times New Roman" w:hAnsi="Times New Roman"/>
                <w:color w:val="auto"/>
                <w:lang w:val="en-US" w:eastAsia="zh-CN"/>
              </w:rPr>
              <w:t>附件4  芒市自然资源局关于商请协助开展芒市江东光伏发电项目资源核查工作的复函（芒发改函[2023]7号）</w:t>
            </w:r>
          </w:p>
          <w:p w14:paraId="36848C11">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val="en-US" w:eastAsia="zh-CN"/>
              </w:rPr>
            </w:pPr>
            <w:r>
              <w:rPr>
                <w:rFonts w:hint="eastAsia" w:eastAsia="宋体" w:cs="宋体"/>
                <w:b w:val="0"/>
                <w:bCs w:val="0"/>
                <w:spacing w:val="0"/>
                <w:kern w:val="2"/>
                <w:sz w:val="24"/>
                <w:szCs w:val="24"/>
                <w:lang w:val="en-US" w:eastAsia="zh-CN" w:bidi="ar-SA"/>
              </w:rPr>
              <w:t xml:space="preserve">附件5 </w:t>
            </w:r>
            <w:r>
              <w:rPr>
                <w:rFonts w:hint="eastAsia" w:ascii="宋体" w:hAnsi="宋体" w:eastAsia="宋体" w:cs="宋体"/>
                <w:b w:val="0"/>
                <w:bCs w:val="0"/>
                <w:spacing w:val="0"/>
                <w:kern w:val="2"/>
                <w:sz w:val="24"/>
                <w:szCs w:val="24"/>
                <w:lang w:val="en-US" w:eastAsia="zh-CN" w:bidi="ar-SA"/>
              </w:rPr>
              <w:t>建设项目用地预审与选址意见书</w:t>
            </w:r>
          </w:p>
          <w:p w14:paraId="61F80A69">
            <w:pPr>
              <w:pStyle w:val="20"/>
              <w:adjustRightInd w:val="0"/>
              <w:snapToGrid w:val="0"/>
              <w:spacing w:before="0" w:beforeAutospacing="0" w:after="0" w:afterAutospacing="0" w:line="360" w:lineRule="auto"/>
              <w:ind w:firstLine="480" w:firstLineChars="200"/>
              <w:rPr>
                <w:rFonts w:hint="eastAsia" w:ascii="Times New Roman" w:hAnsi="Times New Roman"/>
                <w:color w:val="auto"/>
              </w:rPr>
            </w:pPr>
            <w:r>
              <w:rPr>
                <w:rFonts w:hint="eastAsia" w:ascii="Times New Roman" w:hAnsi="Times New Roman"/>
                <w:color w:val="auto"/>
              </w:rPr>
              <w:t>附件</w:t>
            </w:r>
            <w:r>
              <w:rPr>
                <w:rFonts w:hint="eastAsia" w:ascii="Times New Roman" w:hAnsi="Times New Roman"/>
                <w:color w:val="auto"/>
                <w:lang w:val="en-US" w:eastAsia="zh-CN"/>
              </w:rPr>
              <w:t>6</w:t>
            </w:r>
            <w:r>
              <w:rPr>
                <w:rFonts w:hint="eastAsia" w:ascii="Times New Roman" w:hAnsi="Times New Roman"/>
                <w:color w:val="auto"/>
              </w:rPr>
              <w:t xml:space="preserve">  生态环境局意见</w:t>
            </w:r>
          </w:p>
          <w:p w14:paraId="026A3706">
            <w:pPr>
              <w:pStyle w:val="20"/>
              <w:adjustRightInd w:val="0"/>
              <w:snapToGrid w:val="0"/>
              <w:spacing w:before="0" w:beforeAutospacing="0" w:after="0" w:afterAutospacing="0" w:line="360" w:lineRule="auto"/>
              <w:ind w:firstLine="480" w:firstLineChars="200"/>
              <w:rPr>
                <w:rFonts w:hint="eastAsia" w:ascii="Times New Roman" w:hAnsi="Times New Roman"/>
                <w:color w:val="auto"/>
              </w:rPr>
            </w:pPr>
            <w:r>
              <w:rPr>
                <w:rFonts w:hint="eastAsia" w:ascii="Times New Roman" w:hAnsi="Times New Roman"/>
                <w:color w:val="auto"/>
              </w:rPr>
              <w:t>附件</w:t>
            </w:r>
            <w:r>
              <w:rPr>
                <w:rFonts w:hint="eastAsia" w:ascii="Times New Roman" w:hAnsi="Times New Roman"/>
                <w:color w:val="auto"/>
                <w:lang w:val="en-US" w:eastAsia="zh-CN"/>
              </w:rPr>
              <w:t>7</w:t>
            </w:r>
            <w:r>
              <w:rPr>
                <w:rFonts w:hint="eastAsia" w:ascii="Times New Roman" w:hAnsi="Times New Roman"/>
                <w:color w:val="auto"/>
              </w:rPr>
              <w:t xml:space="preserve">  水利局意见</w:t>
            </w:r>
          </w:p>
          <w:p w14:paraId="712CDEBF">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8</w:t>
            </w:r>
            <w:r>
              <w:rPr>
                <w:rFonts w:hint="eastAsia" w:ascii="Times New Roman" w:hAnsi="Times New Roman"/>
                <w:color w:val="auto"/>
                <w:lang w:eastAsia="zh-CN"/>
              </w:rPr>
              <w:t xml:space="preserve"> 文旅局意见</w:t>
            </w:r>
          </w:p>
          <w:p w14:paraId="2056A6E0">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9</w:t>
            </w:r>
            <w:r>
              <w:rPr>
                <w:rFonts w:hint="eastAsia" w:ascii="Times New Roman" w:hAnsi="Times New Roman"/>
                <w:color w:val="auto"/>
                <w:lang w:eastAsia="zh-CN"/>
              </w:rPr>
              <w:t xml:space="preserve"> 武装部复函</w:t>
            </w:r>
          </w:p>
          <w:p w14:paraId="4DEA10C7">
            <w:pPr>
              <w:pStyle w:val="20"/>
              <w:adjustRightInd w:val="0"/>
              <w:snapToGrid w:val="0"/>
              <w:spacing w:before="0" w:beforeAutospacing="0" w:after="0" w:afterAutospacing="0" w:line="360" w:lineRule="auto"/>
              <w:ind w:firstLine="480" w:firstLineChars="200"/>
              <w:rPr>
                <w:rFonts w:hint="eastAsia" w:ascii="Times New Roman" w:hAnsi="Times New Roman"/>
                <w:color w:val="auto"/>
                <w:lang w:eastAsia="zh-CN"/>
              </w:rPr>
            </w:pPr>
            <w:r>
              <w:rPr>
                <w:rFonts w:hint="eastAsia" w:ascii="Times New Roman" w:hAnsi="Times New Roman"/>
                <w:color w:val="auto"/>
                <w:lang w:eastAsia="zh-CN"/>
              </w:rPr>
              <w:t>附件</w:t>
            </w:r>
            <w:r>
              <w:rPr>
                <w:rFonts w:hint="eastAsia" w:ascii="Times New Roman" w:hAnsi="Times New Roman"/>
                <w:color w:val="auto"/>
                <w:lang w:val="en-US" w:eastAsia="zh-CN"/>
              </w:rPr>
              <w:t>10</w:t>
            </w:r>
            <w:r>
              <w:rPr>
                <w:rFonts w:hint="eastAsia" w:ascii="Times New Roman" w:hAnsi="Times New Roman"/>
                <w:color w:val="auto"/>
                <w:lang w:eastAsia="zh-CN"/>
              </w:rPr>
              <w:t xml:space="preserve"> 项目声环境现状检测报告</w:t>
            </w:r>
          </w:p>
          <w:p w14:paraId="5733410B">
            <w:pPr>
              <w:pStyle w:val="20"/>
              <w:adjustRightInd w:val="0"/>
              <w:snapToGrid w:val="0"/>
              <w:spacing w:before="0" w:beforeAutospacing="0" w:after="0" w:afterAutospacing="0" w:line="360" w:lineRule="auto"/>
              <w:ind w:firstLine="482" w:firstLineChars="200"/>
              <w:rPr>
                <w:rFonts w:hint="eastAsia" w:ascii="Times New Roman" w:hAnsi="Times New Roman" w:eastAsiaTheme="minorEastAsia"/>
                <w:b/>
                <w:color w:val="auto"/>
                <w:lang w:eastAsia="zh-CN"/>
              </w:rPr>
            </w:pPr>
          </w:p>
          <w:p w14:paraId="4C8ED2AD">
            <w:pPr>
              <w:pStyle w:val="20"/>
              <w:adjustRightInd w:val="0"/>
              <w:snapToGrid w:val="0"/>
              <w:spacing w:before="0" w:beforeAutospacing="0" w:after="0" w:afterAutospacing="0" w:line="360" w:lineRule="auto"/>
              <w:ind w:firstLine="482" w:firstLineChars="200"/>
              <w:rPr>
                <w:rFonts w:hint="eastAsia" w:ascii="Times New Roman" w:hAnsi="Times New Roman"/>
                <w:b/>
                <w:color w:val="auto"/>
              </w:rPr>
            </w:pPr>
          </w:p>
          <w:p w14:paraId="38C2B7FE">
            <w:pPr>
              <w:pStyle w:val="20"/>
              <w:adjustRightInd w:val="0"/>
              <w:snapToGrid w:val="0"/>
              <w:spacing w:before="0" w:beforeAutospacing="0" w:after="0" w:afterAutospacing="0" w:line="360" w:lineRule="auto"/>
              <w:ind w:firstLine="482" w:firstLineChars="200"/>
              <w:rPr>
                <w:rFonts w:ascii="Times New Roman" w:hAnsi="Times New Roman"/>
                <w:b/>
                <w:color w:val="auto"/>
              </w:rPr>
            </w:pPr>
            <w:r>
              <w:rPr>
                <w:rFonts w:ascii="Times New Roman" w:hAnsi="Times New Roman"/>
                <w:b/>
                <w:color w:val="auto"/>
              </w:rPr>
              <w:t>附图：</w:t>
            </w:r>
          </w:p>
          <w:p w14:paraId="2D09A4E5">
            <w:pPr>
              <w:adjustRightInd w:val="0"/>
              <w:snapToGrid w:val="0"/>
              <w:spacing w:line="360" w:lineRule="auto"/>
              <w:ind w:left="480"/>
              <w:jc w:val="left"/>
              <w:rPr>
                <w:rFonts w:hint="default" w:ascii="Times New Roman" w:hAnsi="Times New Roman" w:cs="Times New Roman"/>
                <w:color w:val="auto"/>
                <w:sz w:val="24"/>
              </w:rPr>
            </w:pPr>
            <w:r>
              <w:rPr>
                <w:rFonts w:hint="default" w:ascii="Times New Roman" w:hAnsi="Times New Roman" w:cs="Times New Roman"/>
                <w:color w:val="auto"/>
                <w:sz w:val="24"/>
              </w:rPr>
              <w:t>附图1</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项目地理位置图</w:t>
            </w:r>
          </w:p>
          <w:p w14:paraId="11687D66">
            <w:pPr>
              <w:adjustRightInd w:val="0"/>
              <w:snapToGrid w:val="0"/>
              <w:spacing w:line="360" w:lineRule="auto"/>
              <w:ind w:left="480"/>
              <w:jc w:val="left"/>
              <w:rPr>
                <w:rFonts w:hint="default" w:ascii="Times New Roman" w:hAnsi="Times New Roman" w:cs="Times New Roman"/>
                <w:color w:val="auto"/>
                <w:sz w:val="24"/>
              </w:rPr>
            </w:pPr>
            <w:r>
              <w:rPr>
                <w:rFonts w:hint="default" w:ascii="Times New Roman" w:hAnsi="Times New Roman" w:cs="Times New Roman"/>
                <w:color w:val="auto"/>
                <w:sz w:val="24"/>
              </w:rPr>
              <w:t>附图2</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rPr>
              <w:t>项目</w:t>
            </w:r>
            <w:r>
              <w:rPr>
                <w:rFonts w:hint="default" w:ascii="Times New Roman" w:hAnsi="Times New Roman" w:cs="Times New Roman"/>
                <w:color w:val="auto"/>
                <w:sz w:val="24"/>
                <w:lang w:eastAsia="zh-CN"/>
              </w:rPr>
              <w:t>升压站</w:t>
            </w:r>
            <w:r>
              <w:rPr>
                <w:rFonts w:hint="default" w:ascii="Times New Roman" w:hAnsi="Times New Roman" w:cs="Times New Roman"/>
                <w:color w:val="auto"/>
                <w:sz w:val="24"/>
              </w:rPr>
              <w:t>平面布置图</w:t>
            </w:r>
          </w:p>
          <w:p w14:paraId="3E7EF5D9">
            <w:pPr>
              <w:pStyle w:val="20"/>
              <w:adjustRightInd w:val="0"/>
              <w:snapToGrid w:val="0"/>
              <w:spacing w:before="0" w:beforeAutospacing="0" w:after="0" w:afterAutospacing="0" w:line="360" w:lineRule="auto"/>
              <w:ind w:firstLine="480" w:firstLineChars="200"/>
              <w:rPr>
                <w:rFonts w:hint="default" w:ascii="Times New Roman" w:hAnsi="Times New Roman" w:cs="Times New Roman"/>
                <w:vertAlign w:val="baseline"/>
                <w:lang w:val="en-US" w:eastAsia="zh-CN"/>
              </w:rPr>
            </w:pPr>
            <w:r>
              <w:rPr>
                <w:rFonts w:hint="default" w:ascii="Times New Roman" w:hAnsi="Times New Roman" w:cs="Times New Roman"/>
                <w:vertAlign w:val="baseline"/>
                <w:lang w:eastAsia="zh-CN"/>
              </w:rPr>
              <w:t>附图</w:t>
            </w:r>
            <w:r>
              <w:rPr>
                <w:rFonts w:hint="default" w:ascii="Times New Roman" w:hAnsi="Times New Roman" w:cs="Times New Roman"/>
                <w:vertAlign w:val="baseline"/>
                <w:lang w:val="en-US" w:eastAsia="zh-CN"/>
              </w:rPr>
              <w:t>3 项目周围关系图</w:t>
            </w:r>
          </w:p>
          <w:p w14:paraId="3486D344">
            <w:pPr>
              <w:adjustRightInd w:val="0"/>
              <w:snapToGrid w:val="0"/>
              <w:spacing w:line="360" w:lineRule="auto"/>
              <w:ind w:left="48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 xml:space="preserve"> </w:t>
            </w:r>
            <w:r>
              <w:rPr>
                <w:rFonts w:hint="default" w:ascii="Times New Roman" w:hAnsi="Times New Roman" w:cs="Times New Roman"/>
                <w:lang w:eastAsia="zh-CN"/>
              </w:rPr>
              <w:t>光伏阵列的总平面布置</w:t>
            </w:r>
          </w:p>
          <w:p w14:paraId="4E067866">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附图5 项目箱变及塔基分布图</w:t>
            </w:r>
          </w:p>
          <w:p w14:paraId="5DFB35A8">
            <w:pPr>
              <w:adjustRightInd w:val="0"/>
              <w:snapToGrid w:val="0"/>
              <w:spacing w:line="360" w:lineRule="auto"/>
              <w:ind w:left="480"/>
              <w:jc w:val="left"/>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附图</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lang w:eastAsia="zh-CN"/>
              </w:rPr>
              <w:t xml:space="preserve"> 项目监测点位布置图</w:t>
            </w:r>
          </w:p>
          <w:p w14:paraId="5E9B2A3C">
            <w:pPr>
              <w:adjustRightInd w:val="0"/>
              <w:snapToGrid w:val="0"/>
              <w:spacing w:line="360" w:lineRule="auto"/>
              <w:ind w:left="480"/>
              <w:jc w:val="left"/>
              <w:rPr>
                <w:rFonts w:hint="default" w:ascii="Times New Roman" w:hAnsi="Times New Roman" w:cs="Times New Roman"/>
                <w:color w:val="auto"/>
                <w:sz w:val="24"/>
                <w:lang w:val="zh-CN" w:eastAsia="zh-CN"/>
              </w:rPr>
            </w:pPr>
            <w:r>
              <w:rPr>
                <w:rFonts w:hint="default" w:ascii="Times New Roman" w:hAnsi="Times New Roman" w:cs="Times New Roman"/>
                <w:color w:val="auto"/>
                <w:sz w:val="24"/>
                <w:lang w:val="zh-CN" w:eastAsia="zh-CN"/>
              </w:rPr>
              <w:t>附图</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lang w:val="zh-CN" w:eastAsia="zh-CN"/>
              </w:rPr>
              <w:t xml:space="preserve"> 项目与《云南省生态功能区划》位置关系图</w:t>
            </w:r>
          </w:p>
          <w:p w14:paraId="0220EC35">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zh-CN" w:eastAsia="zh-CN"/>
              </w:rPr>
              <w:t>附图</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lang w:val="zh-CN" w:eastAsia="zh-CN"/>
              </w:rPr>
              <w:t xml:space="preserve"> 项目与《云南省主体功能区规划》位置关系图</w:t>
            </w:r>
          </w:p>
          <w:p w14:paraId="74A923B0">
            <w:pPr>
              <w:adjustRightInd w:val="0"/>
              <w:snapToGrid w:val="0"/>
              <w:spacing w:line="360" w:lineRule="auto"/>
              <w:ind w:left="48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附图9  项目土地利用现状图</w:t>
            </w:r>
          </w:p>
          <w:p w14:paraId="4E8D0BE5">
            <w:pPr>
              <w:pStyle w:val="20"/>
              <w:adjustRightInd w:val="0"/>
              <w:snapToGrid w:val="0"/>
              <w:spacing w:before="0" w:beforeAutospacing="0" w:after="0" w:afterAutospacing="0" w:line="360" w:lineRule="auto"/>
              <w:rPr>
                <w:rFonts w:hint="eastAsia"/>
                <w:vertAlign w:val="baseline"/>
                <w:lang w:eastAsia="zh-CN"/>
              </w:rPr>
            </w:pPr>
          </w:p>
        </w:tc>
      </w:tr>
    </w:tbl>
    <w:p w14:paraId="3C8F6C26">
      <w:pPr>
        <w:rPr>
          <w:rFonts w:hint="eastAsia" w:ascii="宋体" w:hAnsi="宋体" w:eastAsia="宋体" w:cs="宋体"/>
          <w:b w:val="0"/>
          <w:bCs w:val="0"/>
          <w:sz w:val="28"/>
          <w:szCs w:val="28"/>
          <w:vertAlign w:val="baseline"/>
          <w:lang w:eastAsia="zh-CN"/>
        </w:rPr>
      </w:pPr>
    </w:p>
    <w:p w14:paraId="67DE89CC">
      <w:pPr>
        <w:pStyle w:val="2"/>
        <w:rPr>
          <w:rFonts w:hint="eastAsia" w:ascii="宋体" w:hAnsi="宋体" w:eastAsia="宋体" w:cs="宋体"/>
          <w:b w:val="0"/>
          <w:bCs w:val="0"/>
          <w:sz w:val="28"/>
          <w:szCs w:val="28"/>
          <w:vertAlign w:val="baseline"/>
          <w:lang w:eastAsia="zh-CN"/>
        </w:rPr>
      </w:pPr>
    </w:p>
    <w:p w14:paraId="502ADA32">
      <w:pPr>
        <w:pStyle w:val="2"/>
        <w:rPr>
          <w:rFonts w:hint="eastAsia" w:ascii="宋体" w:hAnsi="宋体" w:eastAsia="宋体" w:cs="宋体"/>
          <w:b w:val="0"/>
          <w:bCs w:val="0"/>
          <w:sz w:val="28"/>
          <w:szCs w:val="28"/>
          <w:vertAlign w:val="baseline"/>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41143">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21F04">
                          <w:pPr>
                            <w:pStyle w:val="1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921F04">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C8AE7"/>
    <w:multiLevelType w:val="singleLevel"/>
    <w:tmpl w:val="839C8AE7"/>
    <w:lvl w:ilvl="0" w:tentative="0">
      <w:start w:val="1"/>
      <w:numFmt w:val="decimal"/>
      <w:suff w:val="nothing"/>
      <w:lvlText w:val="%1、"/>
      <w:lvlJc w:val="left"/>
    </w:lvl>
  </w:abstractNum>
  <w:abstractNum w:abstractNumId="1">
    <w:nsid w:val="D18DF814"/>
    <w:multiLevelType w:val="singleLevel"/>
    <w:tmpl w:val="D18DF814"/>
    <w:lvl w:ilvl="0" w:tentative="0">
      <w:start w:val="4"/>
      <w:numFmt w:val="decimal"/>
      <w:suff w:val="nothing"/>
      <w:lvlText w:val="%1、"/>
      <w:lvlJc w:val="left"/>
      <w:pPr>
        <w:ind w:left="240"/>
      </w:pPr>
    </w:lvl>
  </w:abstractNum>
  <w:abstractNum w:abstractNumId="2">
    <w:nsid w:val="DAA4A2FF"/>
    <w:multiLevelType w:val="singleLevel"/>
    <w:tmpl w:val="DAA4A2FF"/>
    <w:lvl w:ilvl="0" w:tentative="0">
      <w:start w:val="5"/>
      <w:numFmt w:val="decimal"/>
      <w:suff w:val="nothing"/>
      <w:lvlText w:val="%1）"/>
      <w:lvlJc w:val="left"/>
    </w:lvl>
  </w:abstractNum>
  <w:abstractNum w:abstractNumId="3">
    <w:nsid w:val="DE3E1C5B"/>
    <w:multiLevelType w:val="singleLevel"/>
    <w:tmpl w:val="DE3E1C5B"/>
    <w:lvl w:ilvl="0" w:tentative="0">
      <w:start w:val="5"/>
      <w:numFmt w:val="decimal"/>
      <w:suff w:val="nothing"/>
      <w:lvlText w:val="%1、"/>
      <w:lvlJc w:val="left"/>
      <w:pPr>
        <w:ind w:left="480" w:leftChars="0" w:firstLine="0" w:firstLineChars="0"/>
      </w:pPr>
    </w:lvl>
  </w:abstractNum>
  <w:abstractNum w:abstractNumId="4">
    <w:nsid w:val="EE18564E"/>
    <w:multiLevelType w:val="singleLevel"/>
    <w:tmpl w:val="EE18564E"/>
    <w:lvl w:ilvl="0" w:tentative="0">
      <w:start w:val="5"/>
      <w:numFmt w:val="chineseCounting"/>
      <w:suff w:val="nothing"/>
      <w:lvlText w:val="%1、"/>
      <w:lvlJc w:val="left"/>
      <w:rPr>
        <w:rFonts w:hint="eastAsia"/>
      </w:rPr>
    </w:lvl>
  </w:abstractNum>
  <w:abstractNum w:abstractNumId="5">
    <w:nsid w:val="FC2FB3F1"/>
    <w:multiLevelType w:val="singleLevel"/>
    <w:tmpl w:val="FC2FB3F1"/>
    <w:lvl w:ilvl="0" w:tentative="0">
      <w:start w:val="2"/>
      <w:numFmt w:val="decimal"/>
      <w:suff w:val="nothing"/>
      <w:lvlText w:val="%1、"/>
      <w:lvlJc w:val="left"/>
    </w:lvl>
  </w:abstractNum>
  <w:abstractNum w:abstractNumId="6">
    <w:nsid w:val="0D5FE7B8"/>
    <w:multiLevelType w:val="singleLevel"/>
    <w:tmpl w:val="0D5FE7B8"/>
    <w:lvl w:ilvl="0" w:tentative="0">
      <w:start w:val="1"/>
      <w:numFmt w:val="chineseCounting"/>
      <w:suff w:val="nothing"/>
      <w:lvlText w:val="%1、"/>
      <w:lvlJc w:val="left"/>
      <w:rPr>
        <w:rFonts w:hint="eastAsia"/>
      </w:rPr>
    </w:lvl>
  </w:abstractNum>
  <w:abstractNum w:abstractNumId="7">
    <w:nsid w:val="211620BC"/>
    <w:multiLevelType w:val="singleLevel"/>
    <w:tmpl w:val="211620BC"/>
    <w:lvl w:ilvl="0" w:tentative="0">
      <w:start w:val="2"/>
      <w:numFmt w:val="upperLetter"/>
      <w:suff w:val="nothing"/>
      <w:lvlText w:val="%1、"/>
      <w:lvlJc w:val="left"/>
    </w:lvl>
  </w:abstractNum>
  <w:abstractNum w:abstractNumId="8">
    <w:nsid w:val="29D0B82B"/>
    <w:multiLevelType w:val="singleLevel"/>
    <w:tmpl w:val="29D0B82B"/>
    <w:lvl w:ilvl="0" w:tentative="0">
      <w:start w:val="1"/>
      <w:numFmt w:val="chineseCounting"/>
      <w:suff w:val="nothing"/>
      <w:lvlText w:val="%1、"/>
      <w:lvlJc w:val="left"/>
      <w:pPr>
        <w:ind w:left="-240"/>
      </w:pPr>
      <w:rPr>
        <w:rFonts w:hint="eastAsia"/>
      </w:rPr>
    </w:lvl>
  </w:abstractNum>
  <w:abstractNum w:abstractNumId="9">
    <w:nsid w:val="4633821B"/>
    <w:multiLevelType w:val="singleLevel"/>
    <w:tmpl w:val="4633821B"/>
    <w:lvl w:ilvl="0" w:tentative="0">
      <w:start w:val="2"/>
      <w:numFmt w:val="decimal"/>
      <w:suff w:val="nothing"/>
      <w:lvlText w:val="（%1）"/>
      <w:lvlJc w:val="left"/>
    </w:lvl>
  </w:abstractNum>
  <w:abstractNum w:abstractNumId="10">
    <w:nsid w:val="4B52365B"/>
    <w:multiLevelType w:val="singleLevel"/>
    <w:tmpl w:val="4B52365B"/>
    <w:lvl w:ilvl="0" w:tentative="0">
      <w:start w:val="3"/>
      <w:numFmt w:val="decimal"/>
      <w:suff w:val="nothing"/>
      <w:lvlText w:val="%1、"/>
      <w:lvlJc w:val="left"/>
      <w:pPr>
        <w:ind w:left="360" w:leftChars="0" w:firstLine="0" w:firstLineChars="0"/>
      </w:pPr>
    </w:lvl>
  </w:abstractNum>
  <w:abstractNum w:abstractNumId="11">
    <w:nsid w:val="5A3E5BFF"/>
    <w:multiLevelType w:val="singleLevel"/>
    <w:tmpl w:val="5A3E5BFF"/>
    <w:lvl w:ilvl="0" w:tentative="0">
      <w:start w:val="1"/>
      <w:numFmt w:val="chineseCounting"/>
      <w:suff w:val="nothing"/>
      <w:lvlText w:val="%1、"/>
      <w:lvlJc w:val="left"/>
      <w:rPr>
        <w:rFonts w:hint="eastAsia"/>
      </w:rPr>
    </w:lvl>
  </w:abstractNum>
  <w:abstractNum w:abstractNumId="12">
    <w:nsid w:val="5FA92DE7"/>
    <w:multiLevelType w:val="multilevel"/>
    <w:tmpl w:val="5FA92DE7"/>
    <w:lvl w:ilvl="0" w:tentative="0">
      <w:start w:val="1"/>
      <w:numFmt w:val="decimal"/>
      <w:pStyle w:val="3"/>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3">
    <w:nsid w:val="74E40E5D"/>
    <w:multiLevelType w:val="multilevel"/>
    <w:tmpl w:val="74E40E5D"/>
    <w:lvl w:ilvl="0" w:tentative="0">
      <w:start w:val="1"/>
      <w:numFmt w:val="none"/>
      <w:lvlText w:val="一、"/>
      <w:lvlJc w:val="left"/>
      <w:pPr>
        <w:ind w:left="930" w:hanging="51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2"/>
  </w:num>
  <w:num w:numId="2">
    <w:abstractNumId w:val="6"/>
  </w:num>
  <w:num w:numId="3">
    <w:abstractNumId w:val="9"/>
  </w:num>
  <w:num w:numId="4">
    <w:abstractNumId w:val="3"/>
  </w:num>
  <w:num w:numId="5">
    <w:abstractNumId w:val="1"/>
  </w:num>
  <w:num w:numId="6">
    <w:abstractNumId w:val="11"/>
  </w:num>
  <w:num w:numId="7">
    <w:abstractNumId w:val="10"/>
  </w:num>
  <w:num w:numId="8">
    <w:abstractNumId w:val="8"/>
  </w:num>
  <w:num w:numId="9">
    <w:abstractNumId w:val="5"/>
  </w:num>
  <w:num w:numId="10">
    <w:abstractNumId w:val="0"/>
  </w:num>
  <w:num w:numId="11">
    <w:abstractNumId w:val="7"/>
  </w:num>
  <w:num w:numId="12">
    <w:abstractNumId w:val="2"/>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16515A7C"/>
    <w:rsid w:val="00203085"/>
    <w:rsid w:val="017F0AD9"/>
    <w:rsid w:val="018C3579"/>
    <w:rsid w:val="034477B2"/>
    <w:rsid w:val="05450730"/>
    <w:rsid w:val="05E5571E"/>
    <w:rsid w:val="064E2DE0"/>
    <w:rsid w:val="069864CC"/>
    <w:rsid w:val="09121193"/>
    <w:rsid w:val="09542202"/>
    <w:rsid w:val="09B73016"/>
    <w:rsid w:val="0B460196"/>
    <w:rsid w:val="0BF04550"/>
    <w:rsid w:val="0C792657"/>
    <w:rsid w:val="0D6E2633"/>
    <w:rsid w:val="0F5B48AA"/>
    <w:rsid w:val="10830846"/>
    <w:rsid w:val="10FE0692"/>
    <w:rsid w:val="1362259B"/>
    <w:rsid w:val="137A6709"/>
    <w:rsid w:val="144271AC"/>
    <w:rsid w:val="15D201B1"/>
    <w:rsid w:val="16515A7C"/>
    <w:rsid w:val="16C136E5"/>
    <w:rsid w:val="16E77C3A"/>
    <w:rsid w:val="17212101"/>
    <w:rsid w:val="17804F89"/>
    <w:rsid w:val="185D2363"/>
    <w:rsid w:val="1A2634FB"/>
    <w:rsid w:val="1BB05AD7"/>
    <w:rsid w:val="1BCE3EBF"/>
    <w:rsid w:val="1BE12964"/>
    <w:rsid w:val="1BEB3EED"/>
    <w:rsid w:val="22BA232B"/>
    <w:rsid w:val="22D757E3"/>
    <w:rsid w:val="23E27229"/>
    <w:rsid w:val="24981AA9"/>
    <w:rsid w:val="285F1228"/>
    <w:rsid w:val="2899783C"/>
    <w:rsid w:val="2A8B411D"/>
    <w:rsid w:val="2AC46C53"/>
    <w:rsid w:val="2B043E08"/>
    <w:rsid w:val="2CBE2A9D"/>
    <w:rsid w:val="2D1D10AB"/>
    <w:rsid w:val="2D7632AA"/>
    <w:rsid w:val="2D880C44"/>
    <w:rsid w:val="2E094504"/>
    <w:rsid w:val="305111DE"/>
    <w:rsid w:val="32191805"/>
    <w:rsid w:val="328C3D98"/>
    <w:rsid w:val="32A0278A"/>
    <w:rsid w:val="33020954"/>
    <w:rsid w:val="333764C7"/>
    <w:rsid w:val="33B22313"/>
    <w:rsid w:val="3684230E"/>
    <w:rsid w:val="36883247"/>
    <w:rsid w:val="36CE3589"/>
    <w:rsid w:val="37936364"/>
    <w:rsid w:val="38387547"/>
    <w:rsid w:val="3A8B3807"/>
    <w:rsid w:val="3AF14526"/>
    <w:rsid w:val="3F1C2B5A"/>
    <w:rsid w:val="3F246520"/>
    <w:rsid w:val="41341983"/>
    <w:rsid w:val="41407B60"/>
    <w:rsid w:val="42644693"/>
    <w:rsid w:val="43C64174"/>
    <w:rsid w:val="448F34CC"/>
    <w:rsid w:val="449924D3"/>
    <w:rsid w:val="44CC0FCE"/>
    <w:rsid w:val="469170C8"/>
    <w:rsid w:val="470A4A09"/>
    <w:rsid w:val="48BD62AF"/>
    <w:rsid w:val="4D723BCA"/>
    <w:rsid w:val="4DF558BF"/>
    <w:rsid w:val="4E4A36A7"/>
    <w:rsid w:val="4E6255D1"/>
    <w:rsid w:val="50826A36"/>
    <w:rsid w:val="51715969"/>
    <w:rsid w:val="52B511BF"/>
    <w:rsid w:val="52CE7DB0"/>
    <w:rsid w:val="53AD160D"/>
    <w:rsid w:val="544473E3"/>
    <w:rsid w:val="545F0481"/>
    <w:rsid w:val="55014097"/>
    <w:rsid w:val="557E59A7"/>
    <w:rsid w:val="55EC3FD4"/>
    <w:rsid w:val="56453F2D"/>
    <w:rsid w:val="56F20776"/>
    <w:rsid w:val="573D5673"/>
    <w:rsid w:val="574E78B0"/>
    <w:rsid w:val="57AF48B9"/>
    <w:rsid w:val="57E06B2A"/>
    <w:rsid w:val="58045023"/>
    <w:rsid w:val="587D0513"/>
    <w:rsid w:val="590A14DD"/>
    <w:rsid w:val="5A5F4B0F"/>
    <w:rsid w:val="5AEB1C09"/>
    <w:rsid w:val="5BCB7ABA"/>
    <w:rsid w:val="5BE12E76"/>
    <w:rsid w:val="5BFF0196"/>
    <w:rsid w:val="5CEA4D6F"/>
    <w:rsid w:val="5D905A15"/>
    <w:rsid w:val="5F6B37BB"/>
    <w:rsid w:val="60CE7608"/>
    <w:rsid w:val="610059FC"/>
    <w:rsid w:val="640D3093"/>
    <w:rsid w:val="65C151B4"/>
    <w:rsid w:val="661B4FAF"/>
    <w:rsid w:val="66821699"/>
    <w:rsid w:val="6713646E"/>
    <w:rsid w:val="68CE0535"/>
    <w:rsid w:val="69F85C3D"/>
    <w:rsid w:val="6A4D41E9"/>
    <w:rsid w:val="6A716AFD"/>
    <w:rsid w:val="6EC21972"/>
    <w:rsid w:val="6F3B2E98"/>
    <w:rsid w:val="709E152D"/>
    <w:rsid w:val="70AC219C"/>
    <w:rsid w:val="71165B25"/>
    <w:rsid w:val="719F0F02"/>
    <w:rsid w:val="727F33AE"/>
    <w:rsid w:val="735D5E8B"/>
    <w:rsid w:val="73685BB1"/>
    <w:rsid w:val="742557F6"/>
    <w:rsid w:val="75FE45C2"/>
    <w:rsid w:val="770E19A9"/>
    <w:rsid w:val="798E6585"/>
    <w:rsid w:val="7A3F06C0"/>
    <w:rsid w:val="7B2A6614"/>
    <w:rsid w:val="7B430F82"/>
    <w:rsid w:val="7B8C1AF2"/>
    <w:rsid w:val="7B8D0F9F"/>
    <w:rsid w:val="7D070AD6"/>
    <w:rsid w:val="7D322BB3"/>
    <w:rsid w:val="7D3B5D32"/>
    <w:rsid w:val="7DFA01F3"/>
    <w:rsid w:val="7E15505C"/>
    <w:rsid w:val="7E4800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Ascii" w:hAnsiTheme="minorAscii" w:eastAsiaTheme="minorEastAsia" w:cstheme="minorBidi"/>
      <w:kern w:val="2"/>
      <w:sz w:val="24"/>
      <w:szCs w:val="24"/>
      <w:lang w:val="en-US" w:eastAsia="zh-CN" w:bidi="ar-SA"/>
    </w:rPr>
  </w:style>
  <w:style w:type="paragraph" w:styleId="3">
    <w:name w:val="heading 1"/>
    <w:basedOn w:val="4"/>
    <w:next w:val="1"/>
    <w:qFormat/>
    <w:uiPriority w:val="0"/>
    <w:pPr>
      <w:numPr>
        <w:ilvl w:val="0"/>
        <w:numId w:val="1"/>
      </w:numPr>
      <w:adjustRightInd w:val="0"/>
      <w:snapToGrid w:val="0"/>
      <w:spacing w:beforeLines="50" w:afterLines="50" w:line="240" w:lineRule="auto"/>
      <w:outlineLvl w:val="0"/>
    </w:pPr>
    <w:rPr>
      <w:rFonts w:ascii="Times New Roman" w:hAnsi="Times New Roman"/>
      <w:kern w:val="44"/>
      <w:sz w:val="30"/>
      <w:szCs w:val="30"/>
    </w:rPr>
  </w:style>
  <w:style w:type="paragraph" w:styleId="4">
    <w:name w:val="heading 2"/>
    <w:basedOn w:val="1"/>
    <w:next w:val="1"/>
    <w:semiHidden/>
    <w:unhideWhenUsed/>
    <w:qFormat/>
    <w:uiPriority w:val="0"/>
    <w:pPr>
      <w:keepNext/>
      <w:keepLines/>
      <w:spacing w:before="260" w:beforeLines="0" w:after="260" w:afterLines="0" w:line="415" w:lineRule="auto"/>
      <w:outlineLvl w:val="1"/>
    </w:pPr>
    <w:rPr>
      <w:rFonts w:ascii="Arial" w:hAnsi="Arial" w:eastAsia="黑体"/>
      <w:b/>
      <w:bCs/>
      <w:sz w:val="32"/>
      <w:szCs w:val="32"/>
    </w:rPr>
  </w:style>
  <w:style w:type="paragraph" w:styleId="5">
    <w:name w:val="heading 3"/>
    <w:basedOn w:val="1"/>
    <w:next w:val="1"/>
    <w:semiHidden/>
    <w:unhideWhenUsed/>
    <w:qFormat/>
    <w:uiPriority w:val="0"/>
    <w:pPr>
      <w:keepNext/>
      <w:keepLines/>
      <w:spacing w:before="30" w:beforeLines="30" w:after="30" w:afterLines="30" w:line="360" w:lineRule="auto"/>
      <w:ind w:firstLine="0" w:firstLineChars="0"/>
      <w:outlineLvl w:val="2"/>
    </w:pPr>
    <w:rPr>
      <w:rFonts w:ascii="Times New Roman" w:hAnsi="Times New Roman" w:eastAsia="宋体"/>
      <w:b/>
      <w:bCs/>
      <w:snapToGrid w:val="0"/>
      <w:color w:val="000000"/>
      <w:kern w:val="0"/>
      <w:sz w:val="24"/>
      <w:szCs w:val="20"/>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customStyle="1" w:styleId="2">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rmal Indent"/>
    <w:basedOn w:val="1"/>
    <w:next w:val="1"/>
    <w:qFormat/>
    <w:uiPriority w:val="0"/>
    <w:pPr>
      <w:spacing w:line="560" w:lineRule="exact"/>
      <w:ind w:firstLine="200" w:firstLineChars="200"/>
    </w:pPr>
    <w:rPr>
      <w:kern w:val="0"/>
    </w:rPr>
  </w:style>
  <w:style w:type="paragraph" w:styleId="7">
    <w:name w:val="caption"/>
    <w:basedOn w:val="1"/>
    <w:next w:val="1"/>
    <w:semiHidden/>
    <w:unhideWhenUsed/>
    <w:qFormat/>
    <w:uiPriority w:val="0"/>
    <w:rPr>
      <w:rFonts w:eastAsia="黑体"/>
      <w:kern w:val="0"/>
      <w:sz w:val="21"/>
      <w:szCs w:val="20"/>
    </w:rPr>
  </w:style>
  <w:style w:type="paragraph" w:styleId="8">
    <w:name w:val="annotation text"/>
    <w:basedOn w:val="1"/>
    <w:qFormat/>
    <w:uiPriority w:val="0"/>
    <w:pPr>
      <w:jc w:val="left"/>
    </w:pPr>
  </w:style>
  <w:style w:type="paragraph" w:styleId="9">
    <w:name w:val="Salutation"/>
    <w:basedOn w:val="1"/>
    <w:next w:val="1"/>
    <w:qFormat/>
    <w:uiPriority w:val="0"/>
  </w:style>
  <w:style w:type="paragraph" w:styleId="10">
    <w:name w:val="Body Text"/>
    <w:basedOn w:val="1"/>
    <w:next w:val="1"/>
    <w:qFormat/>
    <w:uiPriority w:val="0"/>
    <w:pPr>
      <w:widowControl/>
      <w:snapToGrid w:val="0"/>
      <w:spacing w:before="60" w:after="160" w:line="259" w:lineRule="auto"/>
      <w:ind w:right="113"/>
    </w:pPr>
    <w:rPr>
      <w:kern w:val="0"/>
      <w:sz w:val="18"/>
      <w:szCs w:val="20"/>
    </w:rPr>
  </w:style>
  <w:style w:type="paragraph" w:styleId="11">
    <w:name w:val="Body Text Indent"/>
    <w:basedOn w:val="1"/>
    <w:next w:val="12"/>
    <w:qFormat/>
    <w:uiPriority w:val="0"/>
    <w:pPr>
      <w:spacing w:after="120"/>
      <w:ind w:left="420" w:leftChars="200"/>
    </w:pPr>
  </w:style>
  <w:style w:type="paragraph" w:styleId="12">
    <w:name w:val="Body Text First Indent 2"/>
    <w:basedOn w:val="1"/>
    <w:next w:val="13"/>
    <w:qFormat/>
    <w:uiPriority w:val="0"/>
    <w:pPr>
      <w:ind w:firstLine="420" w:firstLineChars="200"/>
    </w:pPr>
  </w:style>
  <w:style w:type="paragraph" w:styleId="13">
    <w:name w:val="Body Text First Indent"/>
    <w:basedOn w:val="10"/>
    <w:next w:val="1"/>
    <w:qFormat/>
    <w:uiPriority w:val="0"/>
    <w:pPr>
      <w:adjustRightInd/>
      <w:spacing w:line="240" w:lineRule="auto"/>
      <w:ind w:left="0" w:firstLine="420" w:firstLineChars="100"/>
      <w:textAlignment w:val="auto"/>
    </w:pPr>
    <w:rPr>
      <w:spacing w:val="0"/>
      <w:kern w:val="2"/>
      <w:sz w:val="21"/>
      <w:szCs w:val="24"/>
    </w:rPr>
  </w:style>
  <w:style w:type="paragraph" w:styleId="14">
    <w:name w:val="Plain Text"/>
    <w:basedOn w:val="1"/>
    <w:next w:val="9"/>
    <w:qFormat/>
    <w:uiPriority w:val="0"/>
    <w:rPr>
      <w:rFonts w:ascii="宋体" w:hAnsi="Courier New"/>
      <w:kern w:val="0"/>
      <w:szCs w:val="21"/>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7">
    <w:name w:val="index heading"/>
    <w:basedOn w:val="1"/>
    <w:next w:val="18"/>
    <w:qFormat/>
    <w:uiPriority w:val="0"/>
    <w:rPr>
      <w:rFonts w:ascii="Arial" w:hAnsi="Arial"/>
      <w:b/>
    </w:rPr>
  </w:style>
  <w:style w:type="paragraph" w:styleId="18">
    <w:name w:val="index 1"/>
    <w:basedOn w:val="1"/>
    <w:next w:val="1"/>
    <w:qFormat/>
    <w:uiPriority w:val="0"/>
    <w:pPr>
      <w:jc w:val="left"/>
    </w:pPr>
    <w:rPr>
      <w:sz w:val="20"/>
      <w:szCs w:val="20"/>
    </w:rPr>
  </w:style>
  <w:style w:type="paragraph" w:styleId="19">
    <w:name w:val="Body Text 2"/>
    <w:basedOn w:val="1"/>
    <w:qFormat/>
    <w:uiPriority w:val="0"/>
    <w:pPr>
      <w:spacing w:after="120" w:line="480" w:lineRule="auto"/>
    </w:pPr>
    <w:rPr>
      <w:rFonts w:eastAsia="宋体"/>
      <w:kern w:val="0"/>
      <w:sz w:val="20"/>
    </w:rPr>
  </w:style>
  <w:style w:type="paragraph" w:styleId="20">
    <w:name w:val="Normal (Web)"/>
    <w:basedOn w:val="1"/>
    <w:uiPriority w:val="0"/>
    <w:pPr>
      <w:widowControl/>
      <w:spacing w:before="100" w:beforeAutospacing="1" w:after="100" w:afterAutospacing="1"/>
      <w:jc w:val="left"/>
    </w:pPr>
    <w:rPr>
      <w:rFonts w:ascii="宋体" w:hAnsi="宋体"/>
      <w:kern w:val="0"/>
      <w:sz w:val="24"/>
      <w:szCs w:val="20"/>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annotation reference"/>
    <w:qFormat/>
    <w:uiPriority w:val="0"/>
    <w:rPr>
      <w:sz w:val="21"/>
    </w:rPr>
  </w:style>
  <w:style w:type="paragraph" w:customStyle="1" w:styleId="25">
    <w:name w:val="xl27"/>
    <w:basedOn w:val="1"/>
    <w:qFormat/>
    <w:uiPriority w:val="0"/>
    <w:pPr>
      <w:widowControl/>
      <w:spacing w:before="100" w:after="100"/>
      <w:jc w:val="center"/>
      <w:textAlignment w:val="center"/>
    </w:pPr>
    <w:rPr>
      <w:rFonts w:ascii="宋体" w:hAnsi="宋体"/>
      <w:kern w:val="0"/>
      <w:sz w:val="24"/>
      <w:szCs w:val="20"/>
    </w:rPr>
  </w:style>
  <w:style w:type="paragraph" w:customStyle="1" w:styleId="26">
    <w:name w:val="Default"/>
    <w:next w:val="12"/>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7">
    <w:name w:val="正文+2"/>
    <w:basedOn w:val="1"/>
    <w:qFormat/>
    <w:uiPriority w:val="0"/>
    <w:rPr>
      <w:szCs w:val="24"/>
    </w:rPr>
  </w:style>
  <w:style w:type="paragraph" w:customStyle="1" w:styleId="28">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29">
    <w:name w:val="样式 样式 宋体 小四 黑色 行距: 1.5 倍行距 + Times New Roman"/>
    <w:basedOn w:val="1"/>
    <w:qFormat/>
    <w:uiPriority w:val="0"/>
    <w:pPr>
      <w:keepNext/>
      <w:spacing w:line="360" w:lineRule="auto"/>
      <w:ind w:firstLine="200" w:firstLineChars="200"/>
    </w:pPr>
    <w:rPr>
      <w:rFonts w:ascii="宋体" w:hAnsi="宋体" w:cs="宋体"/>
      <w:color w:val="000000"/>
      <w:sz w:val="24"/>
      <w:szCs w:val="20"/>
    </w:rPr>
  </w:style>
  <w:style w:type="paragraph" w:customStyle="1" w:styleId="30">
    <w:name w:val="Table Paragraph"/>
    <w:basedOn w:val="1"/>
    <w:qFormat/>
    <w:uiPriority w:val="1"/>
    <w:rPr>
      <w:rFonts w:ascii="宋体" w:hAnsi="宋体" w:cs="宋体"/>
      <w:lang w:val="zh-CN" w:bidi="zh-CN"/>
    </w:rPr>
  </w:style>
  <w:style w:type="paragraph" w:customStyle="1" w:styleId="31">
    <w:name w:val="_Style 4"/>
    <w:basedOn w:val="1"/>
    <w:next w:val="1"/>
    <w:qFormat/>
    <w:uiPriority w:val="0"/>
    <w:pPr>
      <w:tabs>
        <w:tab w:val="left" w:pos="4665"/>
        <w:tab w:val="left" w:pos="8970"/>
      </w:tabs>
      <w:ind w:firstLine="400"/>
    </w:pPr>
    <w:rPr>
      <w:rFonts w:ascii="宋体" w:hAnsi="宋体"/>
      <w:sz w:val="30"/>
      <w:szCs w:val="30"/>
    </w:rPr>
  </w:style>
  <w:style w:type="paragraph" w:customStyle="1" w:styleId="32">
    <w:name w:val="!正文(alt+c)"/>
    <w:qFormat/>
    <w:uiPriority w:val="99"/>
    <w:pPr>
      <w:spacing w:line="360" w:lineRule="auto"/>
      <w:ind w:firstLine="480" w:firstLineChars="200"/>
      <w:jc w:val="both"/>
    </w:pPr>
    <w:rPr>
      <w:rFonts w:ascii="Times New Roman" w:hAnsi="Times New Roman" w:eastAsia="仿宋_GB2312" w:cs="Times New Roman"/>
      <w:color w:val="000000"/>
      <w:kern w:val="2"/>
      <w:sz w:val="24"/>
      <w:szCs w:val="24"/>
      <w:lang w:val="en-US" w:eastAsia="zh-CN" w:bidi="ar-SA"/>
    </w:rPr>
  </w:style>
  <w:style w:type="table" w:customStyle="1" w:styleId="33">
    <w:name w:val="Table Normal"/>
    <w:unhideWhenUsed/>
    <w:qFormat/>
    <w:uiPriority w:val="0"/>
    <w:tblPr>
      <w:tblCellMar>
        <w:top w:w="0" w:type="dxa"/>
        <w:left w:w="0" w:type="dxa"/>
        <w:bottom w:w="0" w:type="dxa"/>
        <w:right w:w="0" w:type="dxa"/>
      </w:tblCellMar>
    </w:tblPr>
  </w:style>
  <w:style w:type="paragraph" w:customStyle="1" w:styleId="34">
    <w:name w:val="zw"/>
    <w:basedOn w:val="14"/>
    <w:link w:val="38"/>
    <w:qFormat/>
    <w:uiPriority w:val="0"/>
    <w:pPr>
      <w:shd w:val="clear" w:color="auto" w:fill="FFFFFF"/>
      <w:adjustRightInd w:val="0"/>
      <w:snapToGrid w:val="0"/>
      <w:spacing w:line="360" w:lineRule="auto"/>
      <w:ind w:firstLine="480" w:firstLineChars="200"/>
    </w:pPr>
    <w:rPr>
      <w:rFonts w:eastAsia="宋体"/>
      <w:snapToGrid w:val="0"/>
      <w:sz w:val="24"/>
      <w:shd w:val="clear" w:color="auto" w:fill="FFFFFF"/>
    </w:rPr>
  </w:style>
  <w:style w:type="paragraph" w:customStyle="1" w:styleId="35">
    <w:name w:val="List Paragraph"/>
    <w:basedOn w:val="1"/>
    <w:qFormat/>
    <w:uiPriority w:val="34"/>
    <w:pPr>
      <w:ind w:firstLine="420" w:firstLineChars="200"/>
    </w:pPr>
  </w:style>
  <w:style w:type="paragraph" w:customStyle="1" w:styleId="36">
    <w:name w:val="zw居中"/>
    <w:basedOn w:val="1"/>
    <w:qFormat/>
    <w:uiPriority w:val="0"/>
    <w:pPr>
      <w:adjustRightInd w:val="0"/>
      <w:snapToGrid w:val="0"/>
      <w:spacing w:line="360" w:lineRule="auto"/>
      <w:jc w:val="center"/>
    </w:pPr>
    <w:rPr>
      <w:rFonts w:ascii="Calibri" w:hAnsi="Calibri" w:eastAsia="宋体"/>
      <w:sz w:val="21"/>
      <w:szCs w:val="21"/>
    </w:rPr>
  </w:style>
  <w:style w:type="paragraph" w:customStyle="1" w:styleId="37">
    <w:name w:val="表格文字"/>
    <w:basedOn w:val="10"/>
    <w:next w:val="1"/>
    <w:qFormat/>
    <w:uiPriority w:val="0"/>
    <w:pPr>
      <w:tabs>
        <w:tab w:val="left" w:pos="3720"/>
      </w:tabs>
      <w:autoSpaceDE w:val="0"/>
      <w:autoSpaceDN w:val="0"/>
      <w:adjustRightInd w:val="0"/>
      <w:spacing w:line="315" w:lineRule="exact"/>
      <w:jc w:val="center"/>
      <w:textAlignment w:val="bottom"/>
    </w:pPr>
    <w:rPr>
      <w:rFonts w:ascii="宋体" w:hAnsi="宋体" w:eastAsia="宋体"/>
      <w:sz w:val="20"/>
      <w:szCs w:val="20"/>
    </w:rPr>
  </w:style>
  <w:style w:type="character" w:customStyle="1" w:styleId="38">
    <w:name w:val="zw Char Char"/>
    <w:link w:val="34"/>
    <w:qFormat/>
    <w:uiPriority w:val="0"/>
    <w:rPr>
      <w:rFonts w:eastAsia="宋体"/>
      <w:snapToGrid w:val="0"/>
      <w:sz w:val="24"/>
      <w:shd w:val="clear" w:color="auto" w:fill="FFFFFF"/>
    </w:rPr>
  </w:style>
  <w:style w:type="paragraph" w:customStyle="1" w:styleId="39">
    <w:name w:val="表格文字（小五）"/>
    <w:basedOn w:val="37"/>
    <w:next w:val="6"/>
    <w:qFormat/>
    <w:uiPriority w:val="0"/>
    <w:pPr>
      <w:tabs>
        <w:tab w:val="left" w:pos="746"/>
      </w:tabs>
      <w:autoSpaceDE/>
      <w:autoSpaceDN/>
      <w:adjustRightInd/>
      <w:spacing w:line="360" w:lineRule="exact"/>
      <w:textAlignment w:val="center"/>
    </w:pPr>
    <w:rPr>
      <w:rFonts w:ascii="Arial" w:hAnsi="Arial" w:cs="Arial"/>
      <w:kern w:val="2"/>
    </w:rPr>
  </w:style>
  <w:style w:type="paragraph" w:customStyle="1" w:styleId="40">
    <w:name w:val="表格"/>
    <w:basedOn w:val="6"/>
    <w:next w:val="1"/>
    <w:qFormat/>
    <w:uiPriority w:val="0"/>
    <w:pPr>
      <w:adjustRightInd w:val="0"/>
      <w:snapToGrid w:val="0"/>
      <w:spacing w:before="100" w:beforeAutospacing="1" w:after="100" w:afterAutospacing="1" w:line="360" w:lineRule="auto"/>
      <w:jc w:val="center"/>
    </w:pPr>
    <w:rPr>
      <w:rFonts w:eastAsia="宋体"/>
      <w:snapToGrid w:val="0"/>
      <w:szCs w:val="21"/>
    </w:rPr>
  </w:style>
  <w:style w:type="paragraph" w:customStyle="1" w:styleId="41">
    <w:name w:val="列表段落1"/>
    <w:basedOn w:val="1"/>
    <w:qFormat/>
    <w:uiPriority w:val="34"/>
    <w:pPr>
      <w:ind w:firstLine="420" w:firstLineChars="200"/>
    </w:pPr>
  </w:style>
  <w:style w:type="paragraph" w:customStyle="1" w:styleId="42">
    <w:name w:val="表中文字"/>
    <w:next w:val="1"/>
    <w:qFormat/>
    <w:uiPriority w:val="99"/>
    <w:pPr>
      <w:widowControl w:val="0"/>
      <w:ind w:left="-23" w:leftChars="-11" w:firstLine="23" w:firstLineChars="11"/>
      <w:jc w:val="center"/>
    </w:pPr>
    <w:rPr>
      <w:rFonts w:ascii="Times New Roman" w:hAnsi="Times New Roman" w:eastAsia="仿宋" w:cs="Times New Roman"/>
      <w:sz w:val="24"/>
      <w:szCs w:val="22"/>
      <w:lang w:val="en-US" w:eastAsia="zh-CN" w:bidi="ar-SA"/>
    </w:rPr>
  </w:style>
  <w:style w:type="paragraph" w:customStyle="1" w:styleId="43">
    <w:name w:val="标题411"/>
    <w:basedOn w:val="5"/>
    <w:qFormat/>
    <w:uiPriority w:val="99"/>
    <w:pPr>
      <w:tabs>
        <w:tab w:val="left" w:pos="425"/>
        <w:tab w:val="left" w:pos="780"/>
        <w:tab w:val="left" w:pos="1135"/>
      </w:tabs>
      <w:outlineLvl w:val="3"/>
    </w:pPr>
  </w:style>
  <w:style w:type="paragraph" w:customStyle="1" w:styleId="44">
    <w:name w:val="表格内容"/>
    <w:basedOn w:val="1"/>
    <w:qFormat/>
    <w:uiPriority w:val="0"/>
    <w:pPr>
      <w:adjustRightInd w:val="0"/>
      <w:snapToGrid w:val="0"/>
      <w:spacing w:line="240" w:lineRule="auto"/>
      <w:ind w:firstLine="0" w:firstLineChars="0"/>
      <w:jc w:val="center"/>
    </w:pPr>
    <w:rPr>
      <w:sz w:val="21"/>
    </w:rPr>
  </w:style>
  <w:style w:type="paragraph" w:customStyle="1" w:styleId="45">
    <w:name w:val="样式8"/>
    <w:basedOn w:val="1"/>
    <w:qFormat/>
    <w:uiPriority w:val="0"/>
    <w:pPr>
      <w:ind w:firstLine="480" w:firstLineChars="200"/>
      <w:jc w:val="center"/>
    </w:pPr>
    <w:rPr>
      <w:szCs w:val="21"/>
    </w:rPr>
  </w:style>
  <w:style w:type="paragraph" w:customStyle="1" w:styleId="46">
    <w:name w:val="表内容1"/>
    <w:basedOn w:val="1"/>
    <w:qFormat/>
    <w:uiPriority w:val="0"/>
    <w:pPr>
      <w:spacing w:line="360" w:lineRule="auto"/>
      <w:ind w:firstLine="200" w:firstLineChars="200"/>
      <w:jc w:val="center"/>
      <w:textAlignment w:val="center"/>
    </w:pPr>
    <w:rPr>
      <w:szCs w:val="21"/>
    </w:rPr>
  </w:style>
  <w:style w:type="paragraph" w:customStyle="1" w:styleId="47">
    <w:name w:val="正文文字缩进"/>
    <w:basedOn w:val="1"/>
    <w:qFormat/>
    <w:uiPriority w:val="99"/>
    <w:pPr>
      <w:ind w:firstLine="482"/>
    </w:pPr>
    <w:rPr>
      <w:rFonts w:ascii="Wingdings" w:hAnsi="Wingdings" w:cs="Wingdings"/>
      <w:szCs w:val="24"/>
    </w:rPr>
  </w:style>
  <w:style w:type="paragraph" w:customStyle="1" w:styleId="48">
    <w:name w:val="大风丫口正文"/>
    <w:basedOn w:val="1"/>
    <w:qFormat/>
    <w:uiPriority w:val="0"/>
    <w:pPr>
      <w:spacing w:line="360" w:lineRule="auto"/>
      <w:ind w:firstLine="200" w:firstLineChars="200"/>
    </w:pPr>
    <w:rPr>
      <w:spacing w:val="10"/>
      <w:sz w:val="24"/>
      <w:szCs w:val="24"/>
    </w:rPr>
  </w:style>
  <w:style w:type="paragraph" w:customStyle="1" w:styleId="49">
    <w:name w:val="1-表中文字"/>
    <w:basedOn w:val="1"/>
    <w:next w:val="1"/>
    <w:qFormat/>
    <w:uiPriority w:val="0"/>
    <w:pPr>
      <w:spacing w:line="240" w:lineRule="auto"/>
      <w:ind w:firstLine="0" w:firstLineChars="0"/>
      <w:jc w:val="center"/>
    </w:pPr>
    <w:rPr>
      <w:rFonts w:ascii="Times New Roman" w:hAnsi="Times New Roman" w:cs="Arial"/>
      <w:color w:val="auto"/>
      <w:szCs w:val="24"/>
    </w:rPr>
  </w:style>
  <w:style w:type="paragraph" w:customStyle="1" w:styleId="50">
    <w:name w:val="环评正文"/>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51">
    <w:name w:val="王勇"/>
    <w:basedOn w:val="1"/>
    <w:qFormat/>
    <w:locked/>
    <w:uiPriority w:val="0"/>
    <w:pPr>
      <w:spacing w:line="360" w:lineRule="auto"/>
      <w:ind w:firstLine="200" w:firstLineChars="200"/>
    </w:pPr>
    <w:rPr>
      <w:rFonts w:eastAsia="宋体" w:asciiTheme="minorHAnsi" w:hAnsiTheme="minorHAnsi"/>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emf"/><Relationship Id="rId3" Type="http://schemas.openxmlformats.org/officeDocument/2006/relationships/footer" Target="footer1.xml"/><Relationship Id="rId29" Type="http://schemas.openxmlformats.org/officeDocument/2006/relationships/oleObject" Target="embeddings/oleObject5.bin"/><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emf"/><Relationship Id="rId25" Type="http://schemas.openxmlformats.org/officeDocument/2006/relationships/oleObject" Target="embeddings/oleObject4.bin"/><Relationship Id="rId24" Type="http://schemas.openxmlformats.org/officeDocument/2006/relationships/image" Target="media/image17.emf"/><Relationship Id="rId23" Type="http://schemas.openxmlformats.org/officeDocument/2006/relationships/oleObject" Target="embeddings/oleObject3.bin"/><Relationship Id="rId22" Type="http://schemas.openxmlformats.org/officeDocument/2006/relationships/image" Target="media/image16.emf"/><Relationship Id="rId21" Type="http://schemas.openxmlformats.org/officeDocument/2006/relationships/oleObject" Target="embeddings/oleObject2.bin"/><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大理州直属党政机关单位</Company>
  <Pages>120</Pages>
  <Words>15295</Words>
  <Characters>16148</Characters>
  <Lines>0</Lines>
  <Paragraphs>0</Paragraphs>
  <TotalTime>5</TotalTime>
  <ScaleCrop>false</ScaleCrop>
  <LinksUpToDate>false</LinksUpToDate>
  <CharactersWithSpaces>16210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2021-11-15T05:59:00Z</dcterms:created>
  <dc:creator>酸溜溜</dc:creator>
  <cp:lastModifiedBy>刘变香</cp:lastModifiedBy>
  <dcterms:modified xsi:type="dcterms:W3CDTF">2025-04-15T09:35:59Z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72B8109BB0644CD1BBA2566F5F133B5D</vt:lpwstr>
  </property>
</Properties>
</file>