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9FBFA"/>
  <w:body>
    <w:p w14:paraId="3FCA22B6">
      <w:pPr>
        <w:rPr>
          <w:rFonts w:hint="eastAsia"/>
        </w:rPr>
      </w:pPr>
    </w:p>
    <w:p w14:paraId="1F91DD72">
      <w:pPr>
        <w:spacing w:line="300" w:lineRule="auto"/>
        <w:jc w:val="center"/>
        <w:rPr>
          <w:rFonts w:ascii="Times New Roman" w:hAnsi="Times New Roman" w:eastAsia="仿宋_GB2312" w:cs="Times New Roman"/>
          <w:color w:val="auto"/>
          <w:kern w:val="2"/>
          <w:sz w:val="24"/>
          <w:szCs w:val="24"/>
          <w:lang w:val="en-US" w:eastAsia="zh-CN" w:bidi="ar-SA"/>
        </w:rPr>
      </w:pPr>
      <w:r>
        <w:rPr>
          <w:rFonts w:hint="eastAsia" w:ascii="宋体" w:hAnsi="宋体" w:eastAsia="宋体" w:cs="Times New Roman"/>
          <w:b/>
          <w:color w:val="auto"/>
          <w:sz w:val="36"/>
          <w:szCs w:val="36"/>
        </w:rPr>
        <w:t>目</w:t>
      </w:r>
      <w:r>
        <w:rPr>
          <w:rFonts w:ascii="宋体" w:hAnsi="宋体" w:eastAsia="宋体" w:cs="Times New Roman"/>
          <w:b/>
          <w:color w:val="auto"/>
          <w:sz w:val="36"/>
          <w:szCs w:val="36"/>
        </w:rPr>
        <w:t xml:space="preserve"> </w:t>
      </w:r>
      <w:r>
        <w:rPr>
          <w:rFonts w:hint="eastAsia" w:ascii="宋体" w:hAnsi="宋体" w:eastAsia="宋体" w:cs="Times New Roman"/>
          <w:b/>
          <w:color w:val="auto"/>
          <w:sz w:val="36"/>
          <w:szCs w:val="36"/>
        </w:rPr>
        <w:t>录</w:t>
      </w:r>
      <w:r>
        <w:rPr>
          <w:rFonts w:ascii="Times New Roman" w:hAnsi="Times New Roman" w:eastAsia="仿宋_GB2312" w:cs="Times New Roman"/>
          <w:color w:val="auto"/>
          <w:sz w:val="24"/>
          <w:szCs w:val="24"/>
        </w:rPr>
        <w:fldChar w:fldCharType="begin"/>
      </w:r>
      <w:r>
        <w:rPr>
          <w:rFonts w:ascii="Times New Roman" w:hAnsi="Times New Roman" w:eastAsia="仿宋_GB2312" w:cs="Times New Roman"/>
          <w:color w:val="auto"/>
          <w:sz w:val="24"/>
          <w:szCs w:val="24"/>
        </w:rPr>
        <w:instrText xml:space="preserve"> TOC \o "1-1" \h \z \u </w:instrText>
      </w:r>
      <w:r>
        <w:rPr>
          <w:rFonts w:ascii="Times New Roman" w:hAnsi="Times New Roman" w:eastAsia="仿宋_GB2312" w:cs="Times New Roman"/>
          <w:color w:val="auto"/>
          <w:sz w:val="24"/>
          <w:szCs w:val="24"/>
        </w:rPr>
        <w:fldChar w:fldCharType="separate"/>
      </w:r>
    </w:p>
    <w:p w14:paraId="2075F9F9">
      <w:pPr>
        <w:pStyle w:val="19"/>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_Toc20499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snapToGrid w:val="0"/>
          <w:color w:val="auto"/>
          <w:sz w:val="24"/>
          <w:szCs w:val="24"/>
        </w:rPr>
        <w:t>一、建设项目基本情况</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_Toc20499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end"/>
      </w:r>
    </w:p>
    <w:p w14:paraId="1106C9FA">
      <w:pPr>
        <w:pStyle w:val="19"/>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_Toc22875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snapToGrid w:val="0"/>
          <w:color w:val="auto"/>
          <w:sz w:val="24"/>
          <w:szCs w:val="24"/>
        </w:rPr>
        <w:t>二、建设</w:t>
      </w:r>
      <w:r>
        <w:rPr>
          <w:rFonts w:hint="default" w:ascii="Times New Roman" w:hAnsi="Times New Roman" w:eastAsia="宋体" w:cs="Times New Roman"/>
          <w:b/>
          <w:bCs/>
          <w:snapToGrid w:val="0"/>
          <w:color w:val="auto"/>
          <w:sz w:val="24"/>
          <w:szCs w:val="24"/>
          <w:lang w:val="en-US" w:eastAsia="zh-CN"/>
        </w:rPr>
        <w:t>内容</w:t>
      </w:r>
      <w:r>
        <w:rPr>
          <w:rFonts w:hint="default" w:ascii="Times New Roman" w:hAnsi="Times New Roman" w:eastAsia="宋体" w:cs="Times New Roman"/>
          <w:b/>
          <w:bCs/>
          <w:color w:val="auto"/>
          <w:sz w:val="24"/>
          <w:szCs w:val="24"/>
        </w:rPr>
        <w:tab/>
      </w:r>
      <w:r>
        <w:rPr>
          <w:rFonts w:hint="eastAsia" w:ascii="Times New Roman" w:hAnsi="Times New Roman" w:eastAsia="宋体" w:cs="Times New Roman"/>
          <w:b/>
          <w:bCs/>
          <w:color w:val="auto"/>
          <w:sz w:val="24"/>
          <w:szCs w:val="24"/>
          <w:lang w:val="en-US" w:eastAsia="zh-CN"/>
        </w:rPr>
        <w:t>9</w:t>
      </w:r>
      <w:r>
        <w:rPr>
          <w:rFonts w:hint="default" w:ascii="Times New Roman" w:hAnsi="Times New Roman" w:eastAsia="宋体" w:cs="Times New Roman"/>
          <w:b/>
          <w:bCs/>
          <w:color w:val="auto"/>
          <w:sz w:val="24"/>
          <w:szCs w:val="24"/>
        </w:rPr>
        <w:fldChar w:fldCharType="end"/>
      </w:r>
    </w:p>
    <w:p w14:paraId="7770210F">
      <w:pPr>
        <w:pStyle w:val="19"/>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_Toc10845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snapToGrid w:val="0"/>
          <w:color w:val="auto"/>
          <w:sz w:val="24"/>
          <w:szCs w:val="24"/>
          <w:lang w:val="en-US" w:eastAsia="zh-CN"/>
        </w:rPr>
        <w:t>三、生态环境现状</w:t>
      </w:r>
      <w:r>
        <w:rPr>
          <w:rFonts w:hint="default" w:ascii="Times New Roman" w:hAnsi="Times New Roman" w:eastAsia="宋体" w:cs="Times New Roman"/>
          <w:b/>
          <w:bCs/>
          <w:snapToGrid w:val="0"/>
          <w:color w:val="auto"/>
          <w:sz w:val="24"/>
          <w:szCs w:val="24"/>
          <w:lang w:eastAsia="zh-CN"/>
        </w:rPr>
        <w:t>、</w:t>
      </w:r>
      <w:r>
        <w:rPr>
          <w:rFonts w:hint="default" w:ascii="Times New Roman" w:hAnsi="Times New Roman" w:eastAsia="宋体" w:cs="Times New Roman"/>
          <w:b/>
          <w:bCs/>
          <w:snapToGrid w:val="0"/>
          <w:color w:val="auto"/>
          <w:sz w:val="24"/>
          <w:szCs w:val="24"/>
        </w:rPr>
        <w:t>环境保护目标及评价标准</w:t>
      </w:r>
      <w:r>
        <w:rPr>
          <w:rFonts w:hint="default" w:ascii="Times New Roman" w:hAnsi="Times New Roman" w:eastAsia="宋体" w:cs="Times New Roman"/>
          <w:b/>
          <w:bCs/>
          <w:color w:val="auto"/>
          <w:sz w:val="24"/>
          <w:szCs w:val="24"/>
        </w:rPr>
        <w:tab/>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fldChar w:fldCharType="end"/>
      </w:r>
      <w:r>
        <w:rPr>
          <w:rFonts w:hint="eastAsia" w:ascii="Times New Roman" w:hAnsi="Times New Roman" w:eastAsia="宋体" w:cs="Times New Roman"/>
          <w:b/>
          <w:bCs/>
          <w:color w:val="auto"/>
          <w:sz w:val="24"/>
          <w:szCs w:val="24"/>
          <w:lang w:val="en-US" w:eastAsia="zh-CN"/>
        </w:rPr>
        <w:t>6</w:t>
      </w:r>
    </w:p>
    <w:p w14:paraId="2405106A">
      <w:pPr>
        <w:pStyle w:val="19"/>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_Toc2679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snapToGrid w:val="0"/>
          <w:color w:val="auto"/>
          <w:sz w:val="24"/>
          <w:szCs w:val="24"/>
          <w:highlight w:val="none"/>
        </w:rPr>
        <w:t>四、</w:t>
      </w:r>
      <w:r>
        <w:rPr>
          <w:rFonts w:hint="default" w:ascii="Times New Roman" w:hAnsi="Times New Roman" w:eastAsia="宋体" w:cs="Times New Roman"/>
          <w:b/>
          <w:bCs/>
          <w:color w:val="auto"/>
          <w:sz w:val="24"/>
          <w:szCs w:val="24"/>
          <w:highlight w:val="none"/>
        </w:rPr>
        <w:t>生态环境影响分析</w:t>
      </w:r>
      <w:r>
        <w:rPr>
          <w:rFonts w:hint="default" w:ascii="Times New Roman" w:hAnsi="Times New Roman" w:eastAsia="宋体" w:cs="Times New Roman"/>
          <w:b/>
          <w:bCs/>
          <w:color w:val="auto"/>
          <w:sz w:val="24"/>
          <w:szCs w:val="24"/>
        </w:rPr>
        <w:tab/>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fldChar w:fldCharType="end"/>
      </w:r>
      <w:r>
        <w:rPr>
          <w:rFonts w:hint="eastAsia" w:ascii="Times New Roman" w:hAnsi="Times New Roman" w:eastAsia="宋体" w:cs="Times New Roman"/>
          <w:b/>
          <w:bCs/>
          <w:color w:val="auto"/>
          <w:sz w:val="24"/>
          <w:szCs w:val="24"/>
          <w:lang w:val="en-US" w:eastAsia="zh-CN"/>
        </w:rPr>
        <w:t>8</w:t>
      </w:r>
    </w:p>
    <w:p w14:paraId="10F7D590">
      <w:pPr>
        <w:pStyle w:val="19"/>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_Toc25529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highlight w:val="none"/>
        </w:rPr>
        <w:t>五、主要生态环境保护措施</w:t>
      </w:r>
      <w:r>
        <w:rPr>
          <w:rFonts w:hint="default" w:ascii="Times New Roman" w:hAnsi="Times New Roman" w:eastAsia="宋体" w:cs="Times New Roman"/>
          <w:b/>
          <w:bCs/>
          <w:color w:val="auto"/>
          <w:sz w:val="24"/>
          <w:szCs w:val="24"/>
        </w:rPr>
        <w:tab/>
      </w:r>
      <w:r>
        <w:rPr>
          <w:rFonts w:hint="eastAsia" w:ascii="Times New Roman" w:hAnsi="Times New Roman" w:eastAsia="宋体" w:cs="Times New Roman"/>
          <w:b/>
          <w:bCs/>
          <w:color w:val="auto"/>
          <w:sz w:val="24"/>
          <w:szCs w:val="24"/>
          <w:lang w:val="en-US" w:eastAsia="zh-CN"/>
        </w:rPr>
        <w:t>56</w:t>
      </w:r>
      <w:r>
        <w:rPr>
          <w:rFonts w:hint="default" w:ascii="Times New Roman" w:hAnsi="Times New Roman" w:eastAsia="宋体" w:cs="Times New Roman"/>
          <w:b/>
          <w:bCs/>
          <w:color w:val="auto"/>
          <w:sz w:val="24"/>
          <w:szCs w:val="24"/>
        </w:rPr>
        <w:fldChar w:fldCharType="end"/>
      </w:r>
    </w:p>
    <w:p w14:paraId="56283204">
      <w:pPr>
        <w:pStyle w:val="19"/>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_Toc21108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snapToGrid w:val="0"/>
          <w:color w:val="auto"/>
          <w:sz w:val="24"/>
          <w:szCs w:val="24"/>
          <w:highlight w:val="none"/>
        </w:rPr>
        <w:t>六、</w:t>
      </w:r>
      <w:r>
        <w:rPr>
          <w:rFonts w:hint="default" w:ascii="Times New Roman" w:hAnsi="Times New Roman" w:eastAsia="宋体" w:cs="Times New Roman"/>
          <w:b/>
          <w:bCs/>
          <w:color w:val="auto"/>
          <w:sz w:val="24"/>
          <w:szCs w:val="24"/>
          <w:highlight w:val="none"/>
        </w:rPr>
        <w:t>生态环境保护措施监督检查清单</w:t>
      </w:r>
      <w:r>
        <w:rPr>
          <w:rFonts w:hint="default" w:ascii="Times New Roman" w:hAnsi="Times New Roman" w:eastAsia="宋体" w:cs="Times New Roman"/>
          <w:b/>
          <w:bCs/>
          <w:color w:val="auto"/>
          <w:sz w:val="24"/>
          <w:szCs w:val="24"/>
        </w:rPr>
        <w:tab/>
      </w:r>
      <w:r>
        <w:rPr>
          <w:rFonts w:hint="eastAsia"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rPr>
        <w:fldChar w:fldCharType="end"/>
      </w:r>
      <w:r>
        <w:rPr>
          <w:rFonts w:hint="eastAsia" w:ascii="Times New Roman" w:hAnsi="Times New Roman" w:eastAsia="宋体" w:cs="Times New Roman"/>
          <w:b/>
          <w:bCs/>
          <w:color w:val="auto"/>
          <w:sz w:val="24"/>
          <w:szCs w:val="24"/>
          <w:lang w:val="en-US" w:eastAsia="zh-CN"/>
        </w:rPr>
        <w:t>1</w:t>
      </w:r>
    </w:p>
    <w:p w14:paraId="003C0E85">
      <w:pPr>
        <w:pStyle w:val="19"/>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_Toc19266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highlight w:val="none"/>
        </w:rPr>
        <w:t>七、结论</w:t>
      </w:r>
      <w:r>
        <w:rPr>
          <w:rFonts w:hint="default" w:ascii="Times New Roman" w:hAnsi="Times New Roman" w:eastAsia="宋体" w:cs="Times New Roman"/>
          <w:b/>
          <w:bCs/>
          <w:color w:val="auto"/>
          <w:sz w:val="24"/>
          <w:szCs w:val="24"/>
        </w:rPr>
        <w:tab/>
      </w:r>
      <w:r>
        <w:rPr>
          <w:rFonts w:hint="eastAsia"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rPr>
        <w:fldChar w:fldCharType="end"/>
      </w:r>
      <w:r>
        <w:rPr>
          <w:rFonts w:hint="eastAsia" w:ascii="Times New Roman" w:hAnsi="Times New Roman" w:eastAsia="宋体" w:cs="Times New Roman"/>
          <w:b/>
          <w:bCs/>
          <w:color w:val="auto"/>
          <w:sz w:val="24"/>
          <w:szCs w:val="24"/>
          <w:lang w:val="en-US" w:eastAsia="zh-CN"/>
        </w:rPr>
        <w:t>4</w:t>
      </w:r>
    </w:p>
    <w:p w14:paraId="36A0668B">
      <w:pPr>
        <w:spacing w:line="30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fldChar w:fldCharType="end"/>
      </w:r>
    </w:p>
    <w:p w14:paraId="13E016E1">
      <w:pPr>
        <w:keepNext w:val="0"/>
        <w:keepLines w:val="0"/>
        <w:pageBreakBefore w:val="0"/>
        <w:widowControl w:val="0"/>
        <w:kinsoku/>
        <w:wordWrap/>
        <w:overflowPunct/>
        <w:topLinePunct w:val="0"/>
        <w:autoSpaceDE/>
        <w:autoSpaceDN/>
        <w:bidi w:val="0"/>
        <w:spacing w:line="360" w:lineRule="auto"/>
        <w:jc w:val="left"/>
        <w:textAlignment w:val="auto"/>
        <w:rPr>
          <w:rFonts w:hint="default" w:ascii="Times New Roman" w:hAnsi="Times New Roman" w:eastAsia="宋体" w:cs="Times New Roman"/>
          <w:b w:val="0"/>
          <w:bCs/>
          <w:color w:val="auto"/>
          <w:sz w:val="15"/>
          <w:szCs w:val="15"/>
          <w:lang w:val="en-US" w:eastAsia="zh-CN"/>
        </w:rPr>
      </w:pPr>
      <w:r>
        <w:rPr>
          <w:rFonts w:hint="default" w:ascii="Times New Roman" w:hAnsi="Times New Roman" w:eastAsia="宋体" w:cs="Times New Roman"/>
          <w:b/>
          <w:color w:val="auto"/>
          <w:sz w:val="24"/>
        </w:rPr>
        <w:t>附表：</w:t>
      </w:r>
      <w:r>
        <w:rPr>
          <w:rFonts w:hint="default" w:ascii="Times New Roman" w:hAnsi="Times New Roman" w:eastAsia="宋体" w:cs="Times New Roman"/>
          <w:b w:val="0"/>
          <w:bCs/>
          <w:color w:val="auto"/>
          <w:sz w:val="24"/>
        </w:rPr>
        <w:t>建设项目污染物排放量汇总表</w:t>
      </w:r>
      <w:r>
        <w:rPr>
          <w:rFonts w:hint="default" w:ascii="Times New Roman" w:hAnsi="Times New Roman" w:eastAsia="宋体" w:cs="Times New Roman"/>
          <w:b w:val="0"/>
          <w:bCs/>
          <w:color w:val="auto"/>
          <w:sz w:val="24"/>
          <w:lang w:val="en-US" w:eastAsia="zh-CN"/>
        </w:rPr>
        <w:t xml:space="preserve"> </w:t>
      </w:r>
    </w:p>
    <w:p w14:paraId="3B80F5EB">
      <w:pPr>
        <w:keepNext w:val="0"/>
        <w:keepLines w:val="0"/>
        <w:pageBreakBefore w:val="0"/>
        <w:widowControl w:val="0"/>
        <w:kinsoku/>
        <w:wordWrap/>
        <w:overflowPunct/>
        <w:topLinePunct w:val="0"/>
        <w:autoSpaceDE/>
        <w:autoSpaceDN/>
        <w:bidi w:val="0"/>
        <w:spacing w:line="360" w:lineRule="auto"/>
        <w:ind w:left="853" w:hanging="853" w:hangingChars="354"/>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b/>
          <w:iCs/>
          <w:color w:val="auto"/>
          <w:sz w:val="24"/>
        </w:rPr>
        <w:t>附图：</w:t>
      </w:r>
      <w:r>
        <w:rPr>
          <w:rFonts w:hint="default" w:ascii="Times New Roman" w:hAnsi="Times New Roman" w:eastAsia="宋体" w:cs="Times New Roman"/>
          <w:color w:val="auto"/>
          <w:sz w:val="24"/>
        </w:rPr>
        <w:t xml:space="preserve"> </w:t>
      </w:r>
    </w:p>
    <w:p w14:paraId="548D060B">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iCs/>
          <w:color w:val="auto"/>
          <w:sz w:val="24"/>
        </w:rPr>
      </w:pPr>
      <w:r>
        <w:rPr>
          <w:rFonts w:hint="default" w:ascii="Times New Roman" w:hAnsi="Times New Roman" w:eastAsia="宋体" w:cs="Times New Roman"/>
          <w:iCs/>
          <w:color w:val="auto"/>
          <w:sz w:val="24"/>
        </w:rPr>
        <w:t>附图1：</w:t>
      </w:r>
      <w:r>
        <w:rPr>
          <w:rFonts w:hint="default" w:ascii="Times New Roman" w:hAnsi="Times New Roman" w:eastAsia="宋体" w:cs="Times New Roman"/>
          <w:color w:val="auto"/>
          <w:sz w:val="24"/>
        </w:rPr>
        <w:t>项目</w:t>
      </w:r>
      <w:r>
        <w:rPr>
          <w:rFonts w:hint="default" w:ascii="Times New Roman" w:hAnsi="Times New Roman" w:eastAsia="宋体" w:cs="Times New Roman"/>
          <w:iCs/>
          <w:color w:val="auto"/>
          <w:sz w:val="24"/>
        </w:rPr>
        <w:t>地理位置图；</w:t>
      </w:r>
    </w:p>
    <w:p w14:paraId="3E97306B">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iCs/>
          <w:color w:val="auto"/>
          <w:sz w:val="24"/>
        </w:rPr>
      </w:pPr>
      <w:r>
        <w:rPr>
          <w:rFonts w:hint="default" w:ascii="Times New Roman" w:hAnsi="Times New Roman" w:eastAsia="宋体" w:cs="Times New Roman"/>
          <w:iCs/>
          <w:color w:val="auto"/>
          <w:sz w:val="24"/>
        </w:rPr>
        <w:t>附图</w:t>
      </w:r>
      <w:r>
        <w:rPr>
          <w:rFonts w:hint="default" w:ascii="Times New Roman" w:hAnsi="Times New Roman" w:eastAsia="宋体" w:cs="Times New Roman"/>
          <w:iCs/>
          <w:color w:val="auto"/>
          <w:sz w:val="24"/>
          <w:lang w:val="en-US" w:eastAsia="zh-CN"/>
        </w:rPr>
        <w:t>2</w:t>
      </w:r>
      <w:r>
        <w:rPr>
          <w:rFonts w:hint="default" w:ascii="Times New Roman" w:hAnsi="Times New Roman" w:eastAsia="宋体" w:cs="Times New Roman"/>
          <w:iCs/>
          <w:color w:val="auto"/>
          <w:sz w:val="24"/>
        </w:rPr>
        <w:t>：</w:t>
      </w:r>
      <w:r>
        <w:rPr>
          <w:rFonts w:hint="eastAsia" w:ascii="Times New Roman" w:hAnsi="Times New Roman" w:eastAsia="宋体" w:cs="Times New Roman"/>
          <w:iCs/>
          <w:color w:val="auto"/>
          <w:sz w:val="24"/>
          <w:lang w:val="en-US" w:eastAsia="zh-CN"/>
        </w:rPr>
        <w:t>项目</w:t>
      </w:r>
      <w:r>
        <w:rPr>
          <w:rFonts w:hint="default" w:ascii="Times New Roman" w:hAnsi="Times New Roman" w:eastAsia="宋体" w:cs="Times New Roman"/>
          <w:iCs/>
          <w:color w:val="auto"/>
          <w:sz w:val="24"/>
          <w:lang w:val="en-US" w:eastAsia="zh-CN"/>
        </w:rPr>
        <w:t>总平面</w:t>
      </w:r>
      <w:r>
        <w:rPr>
          <w:rFonts w:hint="eastAsia" w:ascii="Times New Roman" w:hAnsi="Times New Roman" w:eastAsia="宋体" w:cs="Times New Roman"/>
          <w:iCs/>
          <w:color w:val="auto"/>
          <w:sz w:val="24"/>
          <w:lang w:val="en-US" w:eastAsia="zh-CN"/>
        </w:rPr>
        <w:t>布置</w:t>
      </w:r>
      <w:r>
        <w:rPr>
          <w:rFonts w:hint="default" w:ascii="Times New Roman" w:hAnsi="Times New Roman" w:eastAsia="宋体" w:cs="Times New Roman"/>
          <w:iCs/>
          <w:color w:val="auto"/>
          <w:sz w:val="24"/>
          <w:lang w:val="en-US" w:eastAsia="zh-CN"/>
        </w:rPr>
        <w:t>图</w:t>
      </w:r>
      <w:r>
        <w:rPr>
          <w:rFonts w:hint="default" w:ascii="Times New Roman" w:hAnsi="Times New Roman" w:eastAsia="宋体" w:cs="Times New Roman"/>
          <w:iCs/>
          <w:color w:val="auto"/>
          <w:sz w:val="24"/>
        </w:rPr>
        <w:t>；</w:t>
      </w:r>
    </w:p>
    <w:p w14:paraId="471F83FE">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eastAsia" w:ascii="Times New Roman" w:hAnsi="Times New Roman" w:eastAsia="宋体" w:cs="Times New Roman"/>
          <w:iCs/>
          <w:color w:val="auto"/>
          <w:sz w:val="24"/>
          <w:lang w:val="en-US" w:eastAsia="zh-CN"/>
        </w:rPr>
      </w:pPr>
      <w:r>
        <w:rPr>
          <w:rFonts w:hint="default" w:ascii="Times New Roman" w:hAnsi="Times New Roman" w:eastAsia="宋体" w:cs="Times New Roman"/>
          <w:iCs/>
          <w:color w:val="auto"/>
          <w:sz w:val="24"/>
          <w:lang w:val="en-US" w:eastAsia="zh-CN"/>
        </w:rPr>
        <w:t>附图3：</w:t>
      </w:r>
      <w:r>
        <w:rPr>
          <w:rFonts w:hint="eastAsia" w:ascii="Times New Roman" w:hAnsi="Times New Roman" w:eastAsia="宋体" w:cs="Times New Roman"/>
          <w:iCs/>
          <w:color w:val="auto"/>
          <w:sz w:val="24"/>
          <w:lang w:val="en-US" w:eastAsia="zh-CN"/>
        </w:rPr>
        <w:t>项目区水系图；</w:t>
      </w:r>
    </w:p>
    <w:p w14:paraId="0CCBA60F">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eastAsia" w:ascii="Times New Roman" w:hAnsi="Times New Roman" w:eastAsia="宋体" w:cs="Times New Roman"/>
          <w:iCs/>
          <w:color w:val="auto"/>
          <w:sz w:val="24"/>
          <w:lang w:val="en-US" w:eastAsia="zh-CN"/>
        </w:rPr>
      </w:pPr>
      <w:r>
        <w:rPr>
          <w:rFonts w:hint="eastAsia" w:ascii="Times New Roman" w:hAnsi="Times New Roman" w:eastAsia="宋体" w:cs="Times New Roman"/>
          <w:iCs/>
          <w:color w:val="auto"/>
          <w:sz w:val="24"/>
          <w:lang w:val="en-US" w:eastAsia="zh-CN"/>
        </w:rPr>
        <w:t>附图4：项目生态环境保护目标分布及位置关系图；</w:t>
      </w:r>
    </w:p>
    <w:p w14:paraId="6A436F48">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附图</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项目土地利用现状图；</w:t>
      </w:r>
    </w:p>
    <w:p w14:paraId="6AD213BF">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附图6：项目植被分布图；</w:t>
      </w:r>
    </w:p>
    <w:p w14:paraId="4CE0FCA2">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 w:val="24"/>
          <w:lang w:val="en-US" w:eastAsia="zh-CN"/>
        </w:rPr>
        <w:t>附图7：项目生态环境保护措施设计图。</w:t>
      </w:r>
    </w:p>
    <w:p w14:paraId="6B695DE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附件：</w:t>
      </w:r>
    </w:p>
    <w:p w14:paraId="3020021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iCs/>
          <w:color w:val="auto"/>
          <w:sz w:val="24"/>
          <w:szCs w:val="22"/>
        </w:rPr>
      </w:pPr>
      <w:r>
        <w:rPr>
          <w:rFonts w:hint="default" w:ascii="Times New Roman" w:hAnsi="Times New Roman" w:eastAsia="宋体" w:cs="Times New Roman"/>
          <w:iCs/>
          <w:color w:val="auto"/>
          <w:sz w:val="24"/>
          <w:szCs w:val="22"/>
        </w:rPr>
        <w:t>附件1：委托书；</w:t>
      </w:r>
    </w:p>
    <w:p w14:paraId="165E9B3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iCs/>
          <w:color w:val="auto"/>
          <w:sz w:val="24"/>
          <w:szCs w:val="22"/>
          <w:highlight w:val="none"/>
          <w:lang w:val="en-US" w:eastAsia="zh-CN"/>
        </w:rPr>
      </w:pPr>
      <w:r>
        <w:rPr>
          <w:rFonts w:hint="default" w:ascii="Times New Roman" w:hAnsi="Times New Roman" w:eastAsia="宋体" w:cs="Times New Roman"/>
          <w:iCs/>
          <w:color w:val="auto"/>
          <w:sz w:val="24"/>
          <w:szCs w:val="22"/>
          <w:highlight w:val="none"/>
          <w:lang w:val="en-US" w:eastAsia="zh-CN"/>
        </w:rPr>
        <w:t>附件2：</w:t>
      </w:r>
      <w:r>
        <w:rPr>
          <w:rFonts w:hint="eastAsia" w:ascii="Times New Roman" w:hAnsi="Times New Roman" w:eastAsia="宋体" w:cs="Times New Roman"/>
          <w:iCs/>
          <w:color w:val="auto"/>
          <w:sz w:val="24"/>
          <w:szCs w:val="22"/>
          <w:highlight w:val="none"/>
          <w:lang w:val="en-US" w:eastAsia="zh-CN"/>
        </w:rPr>
        <w:t>企业营业执照；</w:t>
      </w:r>
    </w:p>
    <w:p w14:paraId="4813729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iCs/>
          <w:color w:val="auto"/>
          <w:sz w:val="24"/>
          <w:szCs w:val="22"/>
          <w:highlight w:val="none"/>
          <w:lang w:val="en-US" w:eastAsia="zh-CN"/>
        </w:rPr>
      </w:pPr>
      <w:r>
        <w:rPr>
          <w:rFonts w:hint="eastAsia" w:ascii="Times New Roman" w:hAnsi="Times New Roman" w:eastAsia="宋体" w:cs="Times New Roman"/>
          <w:iCs/>
          <w:color w:val="auto"/>
          <w:sz w:val="24"/>
          <w:szCs w:val="22"/>
          <w:highlight w:val="none"/>
          <w:lang w:val="en-US" w:eastAsia="zh-CN"/>
        </w:rPr>
        <w:t>附件3：采矿许可证；</w:t>
      </w:r>
    </w:p>
    <w:p w14:paraId="45AA625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iCs/>
          <w:color w:val="auto"/>
          <w:sz w:val="24"/>
          <w:szCs w:val="22"/>
          <w:highlight w:val="none"/>
          <w:lang w:val="en-US" w:eastAsia="zh-CN"/>
        </w:rPr>
      </w:pPr>
      <w:r>
        <w:rPr>
          <w:rFonts w:hint="eastAsia" w:ascii="Times New Roman" w:hAnsi="Times New Roman" w:eastAsia="宋体" w:cs="Times New Roman"/>
          <w:iCs/>
          <w:color w:val="auto"/>
          <w:sz w:val="24"/>
          <w:szCs w:val="22"/>
          <w:highlight w:val="none"/>
          <w:lang w:val="en-US" w:eastAsia="zh-CN"/>
        </w:rPr>
        <w:t>附件4：云南省固定资产投资项目备案证</w:t>
      </w:r>
      <w:r>
        <w:rPr>
          <w:rFonts w:hint="default" w:ascii="Times New Roman" w:hAnsi="Times New Roman" w:eastAsia="宋体" w:cs="Times New Roman"/>
          <w:iCs/>
          <w:color w:val="auto"/>
          <w:sz w:val="24"/>
          <w:szCs w:val="22"/>
          <w:highlight w:val="none"/>
          <w:lang w:val="en-US" w:eastAsia="zh-CN"/>
        </w:rPr>
        <w:t>；</w:t>
      </w:r>
    </w:p>
    <w:p w14:paraId="6EF9C44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iCs/>
          <w:color w:val="auto"/>
          <w:sz w:val="24"/>
          <w:szCs w:val="22"/>
          <w:highlight w:val="none"/>
          <w:lang w:val="en-US" w:eastAsia="zh-CN"/>
        </w:rPr>
      </w:pPr>
      <w:r>
        <w:rPr>
          <w:rFonts w:hint="default" w:ascii="Times New Roman" w:hAnsi="Times New Roman" w:eastAsia="宋体" w:cs="Times New Roman"/>
          <w:iCs/>
          <w:color w:val="auto"/>
          <w:sz w:val="24"/>
          <w:szCs w:val="22"/>
          <w:highlight w:val="none"/>
          <w:lang w:val="en-US" w:eastAsia="zh-CN"/>
        </w:rPr>
        <w:t>附件</w:t>
      </w:r>
      <w:r>
        <w:rPr>
          <w:rFonts w:hint="eastAsia" w:ascii="Times New Roman" w:hAnsi="Times New Roman" w:eastAsia="宋体" w:cs="Times New Roman"/>
          <w:iCs/>
          <w:color w:val="auto"/>
          <w:sz w:val="24"/>
          <w:szCs w:val="22"/>
          <w:highlight w:val="none"/>
          <w:lang w:val="en-US" w:eastAsia="zh-CN"/>
        </w:rPr>
        <w:t>5：芒市林业和草原局的证明；</w:t>
      </w:r>
    </w:p>
    <w:p w14:paraId="6E12301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iCs/>
          <w:color w:val="auto"/>
          <w:sz w:val="24"/>
          <w:szCs w:val="22"/>
          <w:highlight w:val="none"/>
          <w:lang w:val="en-US" w:eastAsia="zh-CN"/>
        </w:rPr>
      </w:pPr>
      <w:r>
        <w:rPr>
          <w:rFonts w:hint="eastAsia" w:ascii="Times New Roman" w:hAnsi="Times New Roman" w:eastAsia="宋体" w:cs="Times New Roman"/>
          <w:iCs/>
          <w:color w:val="auto"/>
          <w:sz w:val="24"/>
          <w:szCs w:val="22"/>
          <w:highlight w:val="none"/>
          <w:lang w:val="en-US" w:eastAsia="zh-CN"/>
        </w:rPr>
        <w:t>附件6：芒市自然资源局的证明</w:t>
      </w:r>
      <w:r>
        <w:rPr>
          <w:rFonts w:hint="default" w:ascii="Times New Roman" w:hAnsi="Times New Roman" w:eastAsia="宋体" w:cs="Times New Roman"/>
          <w:iCs/>
          <w:color w:val="auto"/>
          <w:sz w:val="24"/>
          <w:szCs w:val="22"/>
          <w:highlight w:val="none"/>
          <w:lang w:val="en-US" w:eastAsia="zh-CN"/>
        </w:rPr>
        <w:t>；</w:t>
      </w:r>
    </w:p>
    <w:p w14:paraId="73ACBFE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Times New Roman" w:hAnsi="Times New Roman" w:eastAsia="宋体" w:cs="Times New Roman"/>
          <w:iCs/>
          <w:color w:val="auto"/>
          <w:sz w:val="24"/>
          <w:szCs w:val="22"/>
          <w:highlight w:val="none"/>
          <w:lang w:val="en-US" w:eastAsia="zh-CN"/>
        </w:rPr>
      </w:pPr>
      <w:r>
        <w:rPr>
          <w:rFonts w:hint="eastAsia" w:ascii="Times New Roman" w:hAnsi="Times New Roman" w:eastAsia="宋体" w:cs="Times New Roman"/>
          <w:iCs/>
          <w:color w:val="auto"/>
          <w:sz w:val="24"/>
          <w:szCs w:val="22"/>
          <w:highlight w:val="none"/>
          <w:lang w:val="en-US" w:eastAsia="zh-CN"/>
        </w:rPr>
        <w:t>附件7：项目环评质量管理流程表及校审记录表；</w:t>
      </w:r>
    </w:p>
    <w:p w14:paraId="079A3D1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iCs/>
          <w:color w:val="auto"/>
          <w:sz w:val="24"/>
          <w:szCs w:val="22"/>
          <w:highlight w:val="none"/>
          <w:lang w:val="en-US" w:eastAsia="zh-CN"/>
        </w:rPr>
      </w:pPr>
      <w:r>
        <w:rPr>
          <w:rFonts w:hint="eastAsia" w:ascii="Times New Roman" w:hAnsi="Times New Roman" w:eastAsia="宋体" w:cs="Times New Roman"/>
          <w:iCs/>
          <w:color w:val="auto"/>
          <w:sz w:val="24"/>
          <w:szCs w:val="22"/>
          <w:highlight w:val="none"/>
          <w:lang w:val="en-US" w:eastAsia="zh-CN"/>
        </w:rPr>
        <w:t>附件8：报告表评审会会议纪要；</w:t>
      </w:r>
    </w:p>
    <w:p w14:paraId="264AD9B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iCs/>
          <w:color w:val="auto"/>
          <w:sz w:val="24"/>
          <w:szCs w:val="22"/>
          <w:highlight w:val="none"/>
          <w:lang w:val="en-US" w:eastAsia="zh-CN"/>
        </w:rPr>
      </w:pPr>
      <w:r>
        <w:rPr>
          <w:rFonts w:hint="eastAsia" w:ascii="Times New Roman" w:hAnsi="Times New Roman" w:eastAsia="宋体" w:cs="Times New Roman"/>
          <w:iCs/>
          <w:color w:val="auto"/>
          <w:sz w:val="24"/>
          <w:szCs w:val="22"/>
          <w:highlight w:val="none"/>
          <w:lang w:val="en-US" w:eastAsia="zh-CN"/>
        </w:rPr>
        <w:t>附件9：修改说明。</w:t>
      </w:r>
    </w:p>
    <w:p w14:paraId="78A43DE1">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eastAsia" w:ascii="黑体" w:hAnsi="黑体" w:eastAsia="黑体" w:cs="Times New Roman"/>
          <w:snapToGrid w:val="0"/>
          <w:color w:val="auto"/>
          <w:sz w:val="30"/>
          <w:szCs w:val="30"/>
        </w:rPr>
      </w:pPr>
      <w:bookmarkStart w:id="0" w:name="_Toc20499"/>
      <w:r>
        <w:rPr>
          <w:rFonts w:hint="eastAsia" w:ascii="黑体" w:hAnsi="黑体" w:eastAsia="黑体" w:cs="Times New Roman"/>
          <w:snapToGrid w:val="0"/>
          <w:color w:val="auto"/>
          <w:sz w:val="30"/>
          <w:szCs w:val="30"/>
        </w:rPr>
        <w:t>一、建设项目基本情况</w:t>
      </w:r>
      <w:bookmarkEnd w:id="0"/>
    </w:p>
    <w:tbl>
      <w:tblPr>
        <w:tblStyle w:val="31"/>
        <w:tblW w:w="899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56"/>
        <w:gridCol w:w="2402"/>
        <w:gridCol w:w="1648"/>
        <w:gridCol w:w="3085"/>
      </w:tblGrid>
      <w:tr w14:paraId="0B617E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noWrap w:val="0"/>
            <w:tcMar>
              <w:top w:w="16" w:type="dxa"/>
              <w:left w:w="16" w:type="dxa"/>
              <w:right w:w="16" w:type="dxa"/>
            </w:tcMar>
            <w:vAlign w:val="center"/>
          </w:tcPr>
          <w:p w14:paraId="2901F8D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建设项目名称</w:t>
            </w:r>
          </w:p>
        </w:tc>
        <w:tc>
          <w:tcPr>
            <w:tcW w:w="7135" w:type="dxa"/>
            <w:gridSpan w:val="3"/>
            <w:noWrap w:val="0"/>
            <w:vAlign w:val="center"/>
          </w:tcPr>
          <w:p w14:paraId="48BC0EB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eastAsia="zh-CN"/>
              </w:rPr>
              <w:t>芒市华盛金矿开发有限公司生产勘探项目</w:t>
            </w:r>
          </w:p>
        </w:tc>
      </w:tr>
      <w:tr w14:paraId="007908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noWrap w:val="0"/>
            <w:tcMar>
              <w:top w:w="16" w:type="dxa"/>
              <w:left w:w="16" w:type="dxa"/>
              <w:right w:w="16" w:type="dxa"/>
            </w:tcMar>
            <w:vAlign w:val="center"/>
          </w:tcPr>
          <w:p w14:paraId="7A55B59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项目代码</w:t>
            </w:r>
          </w:p>
        </w:tc>
        <w:tc>
          <w:tcPr>
            <w:tcW w:w="7135" w:type="dxa"/>
            <w:gridSpan w:val="3"/>
            <w:noWrap w:val="0"/>
            <w:vAlign w:val="center"/>
          </w:tcPr>
          <w:p w14:paraId="388C82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eastAsia="zh-CN"/>
              </w:rPr>
              <w:t>2</w:t>
            </w:r>
            <w:r>
              <w:rPr>
                <w:rFonts w:hint="eastAsia" w:ascii="Times New Roman" w:hAnsi="Times New Roman" w:cs="Times New Roman"/>
                <w:color w:val="auto"/>
                <w:sz w:val="24"/>
                <w:lang w:val="en-US" w:eastAsia="zh-CN"/>
              </w:rPr>
              <w:t>203</w:t>
            </w:r>
            <w:r>
              <w:rPr>
                <w:rFonts w:hint="eastAsia" w:ascii="Times New Roman" w:hAnsi="Times New Roman" w:cs="Times New Roman"/>
                <w:color w:val="auto"/>
                <w:sz w:val="24"/>
                <w:lang w:eastAsia="zh-CN"/>
              </w:rPr>
              <w:t>-533103-04-0</w:t>
            </w:r>
            <w:r>
              <w:rPr>
                <w:rFonts w:hint="eastAsia" w:ascii="Times New Roman" w:hAnsi="Times New Roman" w:cs="Times New Roman"/>
                <w:color w:val="auto"/>
                <w:sz w:val="24"/>
                <w:lang w:val="en-US" w:eastAsia="zh-CN"/>
              </w:rPr>
              <w:t>1</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673533</w:t>
            </w:r>
          </w:p>
        </w:tc>
      </w:tr>
      <w:tr w14:paraId="10F115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noWrap w:val="0"/>
            <w:tcMar>
              <w:top w:w="16" w:type="dxa"/>
              <w:left w:w="16" w:type="dxa"/>
              <w:right w:w="16" w:type="dxa"/>
            </w:tcMar>
            <w:vAlign w:val="center"/>
          </w:tcPr>
          <w:p w14:paraId="68BFA1C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建设单位联系人</w:t>
            </w:r>
          </w:p>
        </w:tc>
        <w:tc>
          <w:tcPr>
            <w:tcW w:w="2402" w:type="dxa"/>
            <w:noWrap w:val="0"/>
            <w:vAlign w:val="center"/>
          </w:tcPr>
          <w:p w14:paraId="6F114E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唐莉</w:t>
            </w:r>
          </w:p>
        </w:tc>
        <w:tc>
          <w:tcPr>
            <w:tcW w:w="1648" w:type="dxa"/>
            <w:noWrap w:val="0"/>
            <w:vAlign w:val="center"/>
          </w:tcPr>
          <w:p w14:paraId="0425967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联系方式</w:t>
            </w:r>
          </w:p>
        </w:tc>
        <w:tc>
          <w:tcPr>
            <w:tcW w:w="3085" w:type="dxa"/>
            <w:noWrap w:val="0"/>
            <w:vAlign w:val="center"/>
          </w:tcPr>
          <w:p w14:paraId="1BA2EAA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lang w:val="en-US"/>
              </w:rPr>
            </w:pPr>
            <w:r>
              <w:rPr>
                <w:rFonts w:hint="eastAsia" w:ascii="Times New Roman" w:hAnsi="Times New Roman" w:eastAsia="宋体" w:cs="Times New Roman"/>
                <w:color w:val="auto"/>
                <w:sz w:val="24"/>
                <w:szCs w:val="24"/>
                <w:lang w:val="en-US" w:eastAsia="zh-CN"/>
              </w:rPr>
              <w:t>159*****829</w:t>
            </w:r>
          </w:p>
        </w:tc>
      </w:tr>
      <w:tr w14:paraId="4EF5DB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noWrap w:val="0"/>
            <w:tcMar>
              <w:top w:w="16" w:type="dxa"/>
              <w:left w:w="16" w:type="dxa"/>
              <w:right w:w="16" w:type="dxa"/>
            </w:tcMar>
            <w:vAlign w:val="center"/>
          </w:tcPr>
          <w:p w14:paraId="0947FAE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建设地点</w:t>
            </w:r>
          </w:p>
        </w:tc>
        <w:tc>
          <w:tcPr>
            <w:tcW w:w="7135" w:type="dxa"/>
            <w:gridSpan w:val="3"/>
            <w:noWrap w:val="0"/>
            <w:vAlign w:val="center"/>
          </w:tcPr>
          <w:p w14:paraId="5843A549">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4"/>
              </w:rPr>
            </w:pPr>
            <w:r>
              <w:rPr>
                <w:rFonts w:hint="default" w:ascii="Times New Roman" w:hAnsi="Times New Roman" w:cs="Times New Roman"/>
                <w:b w:val="0"/>
                <w:bCs w:val="0"/>
                <w:color w:val="auto"/>
                <w:sz w:val="24"/>
                <w:szCs w:val="24"/>
                <w:u w:val="single"/>
                <w:lang w:eastAsia="zh-CN"/>
              </w:rPr>
              <w:t>云南</w:t>
            </w:r>
            <w:r>
              <w:rPr>
                <w:rFonts w:hint="default" w:ascii="Times New Roman" w:hAnsi="Times New Roman" w:cs="Times New Roman"/>
                <w:b w:val="0"/>
                <w:bCs w:val="0"/>
                <w:color w:val="auto"/>
                <w:sz w:val="24"/>
                <w:szCs w:val="24"/>
              </w:rPr>
              <w:t>省（自治区）</w:t>
            </w:r>
            <w:r>
              <w:rPr>
                <w:rFonts w:hint="eastAsia" w:ascii="Times New Roman" w:hAnsi="Times New Roman" w:cs="Times New Roman"/>
                <w:b w:val="0"/>
                <w:bCs w:val="0"/>
                <w:color w:val="auto"/>
                <w:sz w:val="24"/>
                <w:szCs w:val="24"/>
                <w:u w:val="single"/>
                <w:lang w:val="en-US" w:eastAsia="zh-CN"/>
              </w:rPr>
              <w:t xml:space="preserve"> 芒 </w:t>
            </w:r>
            <w:r>
              <w:rPr>
                <w:rFonts w:hint="eastAsia" w:ascii="Times New Roman" w:hAnsi="Times New Roman" w:cs="Times New Roman"/>
                <w:b w:val="0"/>
                <w:bCs w:val="0"/>
                <w:color w:val="auto"/>
                <w:sz w:val="24"/>
                <w:szCs w:val="24"/>
                <w:u w:val="none"/>
                <w:lang w:val="en-US" w:eastAsia="zh-CN"/>
              </w:rPr>
              <w:t xml:space="preserve"> </w:t>
            </w:r>
            <w:r>
              <w:rPr>
                <w:rFonts w:hint="default" w:ascii="Times New Roman" w:hAnsi="Times New Roman" w:cs="Times New Roman"/>
                <w:b w:val="0"/>
                <w:bCs w:val="0"/>
                <w:color w:val="auto"/>
                <w:sz w:val="24"/>
                <w:szCs w:val="24"/>
              </w:rPr>
              <w:t>市</w:t>
            </w:r>
            <w:r>
              <w:rPr>
                <w:rFonts w:hint="default" w:ascii="Times New Roman" w:hAnsi="Times New Roman" w:cs="Times New Roman"/>
                <w:b w:val="0"/>
                <w:bCs w:val="0"/>
                <w:color w:val="auto"/>
                <w:sz w:val="24"/>
                <w:szCs w:val="24"/>
                <w:u w:val="single"/>
                <w:lang w:val="en-US" w:eastAsia="zh-CN"/>
              </w:rPr>
              <w:t xml:space="preserve"> </w:t>
            </w:r>
            <w:r>
              <w:rPr>
                <w:rFonts w:hint="eastAsia" w:ascii="Times New Roman" w:hAnsi="Times New Roman" w:cs="Times New Roman"/>
                <w:b w:val="0"/>
                <w:bCs w:val="0"/>
                <w:color w:val="auto"/>
                <w:sz w:val="24"/>
                <w:szCs w:val="24"/>
                <w:u w:val="single"/>
                <w:lang w:val="en-US" w:eastAsia="zh-CN"/>
              </w:rPr>
              <w:t>/</w:t>
            </w:r>
            <w:r>
              <w:rPr>
                <w:rFonts w:hint="default" w:ascii="Times New Roman" w:hAnsi="Times New Roman" w:cs="Times New Roman"/>
                <w:b w:val="0"/>
                <w:bCs w:val="0"/>
                <w:color w:val="auto"/>
                <w:sz w:val="24"/>
                <w:szCs w:val="24"/>
                <w:u w:val="single"/>
                <w:lang w:val="en-US" w:eastAsia="zh-CN"/>
              </w:rPr>
              <w:t xml:space="preserve"> </w:t>
            </w:r>
            <w:r>
              <w:rPr>
                <w:rFonts w:hint="default" w:ascii="Times New Roman" w:hAnsi="Times New Roman" w:cs="Times New Roman"/>
                <w:b w:val="0"/>
                <w:bCs w:val="0"/>
                <w:color w:val="auto"/>
                <w:sz w:val="24"/>
                <w:szCs w:val="24"/>
              </w:rPr>
              <w:t>县（区）</w:t>
            </w:r>
            <w:r>
              <w:rPr>
                <w:rFonts w:hint="default" w:ascii="Times New Roman" w:hAnsi="Times New Roman" w:cs="Times New Roman"/>
                <w:b w:val="0"/>
                <w:bCs w:val="0"/>
                <w:color w:val="auto"/>
                <w:sz w:val="24"/>
                <w:szCs w:val="24"/>
                <w:u w:val="single"/>
                <w:lang w:val="en-US" w:eastAsia="zh-CN"/>
              </w:rPr>
              <w:t xml:space="preserve"> / </w:t>
            </w:r>
            <w:r>
              <w:rPr>
                <w:rFonts w:hint="default" w:ascii="Times New Roman" w:hAnsi="Times New Roman" w:cs="Times New Roman"/>
                <w:b w:val="0"/>
                <w:bCs w:val="0"/>
                <w:color w:val="auto"/>
                <w:sz w:val="24"/>
                <w:szCs w:val="24"/>
              </w:rPr>
              <w:t>乡（街道）</w:t>
            </w:r>
            <w:r>
              <w:rPr>
                <w:rFonts w:hint="eastAsia" w:ascii="Times New Roman" w:hAnsi="Times New Roman" w:eastAsia="宋体" w:cs="Times New Roman"/>
                <w:color w:val="auto"/>
                <w:sz w:val="24"/>
                <w:szCs w:val="24"/>
                <w:u w:val="single"/>
                <w:lang w:val="en-US" w:eastAsia="zh-CN"/>
              </w:rPr>
              <w:t>三台山乡上芒岗麦窝坝</w:t>
            </w:r>
          </w:p>
        </w:tc>
      </w:tr>
      <w:tr w14:paraId="5DE115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noWrap w:val="0"/>
            <w:tcMar>
              <w:top w:w="16" w:type="dxa"/>
              <w:left w:w="16" w:type="dxa"/>
              <w:right w:w="16" w:type="dxa"/>
            </w:tcMar>
            <w:vAlign w:val="center"/>
          </w:tcPr>
          <w:p w14:paraId="2EDA56B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地理坐标</w:t>
            </w:r>
          </w:p>
        </w:tc>
        <w:tc>
          <w:tcPr>
            <w:tcW w:w="7135" w:type="dxa"/>
            <w:gridSpan w:val="3"/>
            <w:noWrap w:val="0"/>
            <w:vAlign w:val="center"/>
          </w:tcPr>
          <w:p w14:paraId="5E51938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98</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度</w:t>
            </w:r>
            <w:r>
              <w:rPr>
                <w:rFonts w:hint="default"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21</w:t>
            </w:r>
            <w:r>
              <w:rPr>
                <w:rFonts w:hint="default" w:ascii="Times New Roman" w:hAnsi="Times New Roman" w:eastAsia="宋体" w:cs="Times New Roman"/>
                <w:color w:val="auto"/>
                <w:sz w:val="24"/>
                <w:szCs w:val="24"/>
              </w:rPr>
              <w:t>分</w:t>
            </w:r>
            <w:r>
              <w:rPr>
                <w:rFonts w:hint="default"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50.131</w:t>
            </w:r>
            <w:r>
              <w:rPr>
                <w:rFonts w:hint="default" w:ascii="Times New Roman" w:hAnsi="Times New Roman" w:eastAsia="宋体" w:cs="Times New Roman"/>
                <w:color w:val="auto"/>
                <w:sz w:val="24"/>
                <w:szCs w:val="24"/>
              </w:rPr>
              <w:t>秒，</w:t>
            </w:r>
            <w:r>
              <w:rPr>
                <w:rFonts w:hint="default"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24</w:t>
            </w:r>
            <w:r>
              <w:rPr>
                <w:rFonts w:hint="default" w:ascii="Times New Roman" w:hAnsi="Times New Roman" w:eastAsia="宋体" w:cs="Times New Roman"/>
                <w:color w:val="auto"/>
                <w:sz w:val="24"/>
                <w:szCs w:val="24"/>
                <w:u w:val="single"/>
                <w:lang w:val="en-US" w:eastAsia="zh-CN"/>
              </w:rPr>
              <w:t xml:space="preserve"> </w:t>
            </w:r>
            <w:r>
              <w:rPr>
                <w:rFonts w:hint="default" w:ascii="Times New Roman" w:hAnsi="Times New Roman" w:eastAsia="宋体" w:cs="Times New Roman"/>
                <w:color w:val="auto"/>
                <w:sz w:val="24"/>
                <w:szCs w:val="24"/>
              </w:rPr>
              <w:t>度</w:t>
            </w:r>
            <w:r>
              <w:rPr>
                <w:rFonts w:hint="default"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18</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分</w:t>
            </w:r>
            <w:r>
              <w:rPr>
                <w:rFonts w:hint="default"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28.489</w:t>
            </w:r>
            <w:r>
              <w:rPr>
                <w:rFonts w:hint="default" w:ascii="Times New Roman" w:hAnsi="Times New Roman" w:eastAsia="宋体" w:cs="Times New Roman"/>
                <w:color w:val="auto"/>
                <w:sz w:val="24"/>
                <w:szCs w:val="24"/>
              </w:rPr>
              <w:t>秒）</w:t>
            </w:r>
          </w:p>
        </w:tc>
      </w:tr>
      <w:tr w14:paraId="0DA40D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56" w:type="dxa"/>
            <w:noWrap w:val="0"/>
            <w:tcMar>
              <w:top w:w="16" w:type="dxa"/>
              <w:left w:w="16" w:type="dxa"/>
              <w:right w:w="16" w:type="dxa"/>
            </w:tcMar>
            <w:vAlign w:val="center"/>
          </w:tcPr>
          <w:p w14:paraId="19E8EC0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建设项目行业类别</w:t>
            </w:r>
          </w:p>
        </w:tc>
        <w:tc>
          <w:tcPr>
            <w:tcW w:w="2402" w:type="dxa"/>
            <w:noWrap w:val="0"/>
            <w:vAlign w:val="center"/>
          </w:tcPr>
          <w:p w14:paraId="46F3567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四十</w:t>
            </w:r>
            <w:r>
              <w:rPr>
                <w:rFonts w:hint="eastAsia" w:ascii="Times New Roman" w:hAnsi="Times New Roman" w:eastAsia="宋体" w:cs="Times New Roman"/>
                <w:color w:val="auto"/>
                <w:sz w:val="24"/>
                <w:lang w:val="en-US" w:eastAsia="zh-CN"/>
              </w:rPr>
              <w:t>六、专业技术服务业9</w:t>
            </w:r>
            <w:r>
              <w:rPr>
                <w:rFonts w:hint="default" w:ascii="Times New Roman" w:hAnsi="Times New Roman" w:eastAsia="宋体" w:cs="Times New Roman"/>
                <w:color w:val="auto"/>
                <w:sz w:val="24"/>
                <w:lang w:val="en-US" w:eastAsia="zh-CN"/>
              </w:rPr>
              <w:t>9.陆地矿产资源地质勘查（含油气资源勘探）；二氧化碳地质封存</w:t>
            </w:r>
          </w:p>
        </w:tc>
        <w:tc>
          <w:tcPr>
            <w:tcW w:w="1648" w:type="dxa"/>
            <w:noWrap w:val="0"/>
            <w:vAlign w:val="center"/>
          </w:tcPr>
          <w:p w14:paraId="75BD56E9">
            <w:pPr>
              <w:keepNext w:val="0"/>
              <w:keepLines w:val="0"/>
              <w:suppressLineNumbers w:val="0"/>
              <w:spacing w:before="0" w:beforeAutospacing="0" w:after="0" w:afterAutospacing="0"/>
              <w:ind w:left="0" w:right="0" w:firstLine="114" w:firstLineChars="50"/>
              <w:jc w:val="center"/>
              <w:rPr>
                <w:rFonts w:hint="default" w:ascii="Times New Roman" w:hAnsi="Times New Roman" w:cs="Times New Roman"/>
                <w:color w:val="auto"/>
                <w:spacing w:val="-6"/>
                <w:sz w:val="24"/>
              </w:rPr>
            </w:pPr>
            <w:r>
              <w:rPr>
                <w:rFonts w:hint="default" w:ascii="Times New Roman" w:hAnsi="Times New Roman" w:cs="Times New Roman"/>
                <w:color w:val="auto"/>
                <w:spacing w:val="-6"/>
                <w:sz w:val="24"/>
              </w:rPr>
              <w:t>用地（用海）</w:t>
            </w:r>
          </w:p>
          <w:p w14:paraId="42DD0A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pacing w:val="-6"/>
                <w:sz w:val="24"/>
              </w:rPr>
              <w:t>面积（m</w:t>
            </w:r>
            <w:r>
              <w:rPr>
                <w:rFonts w:hint="default" w:ascii="Times New Roman" w:hAnsi="Times New Roman" w:cs="Times New Roman"/>
                <w:color w:val="auto"/>
                <w:spacing w:val="-6"/>
                <w:sz w:val="24"/>
                <w:vertAlign w:val="superscript"/>
              </w:rPr>
              <w:t>2</w:t>
            </w:r>
            <w:r>
              <w:rPr>
                <w:rFonts w:hint="default" w:ascii="Times New Roman" w:hAnsi="Times New Roman" w:cs="Times New Roman"/>
                <w:color w:val="auto"/>
                <w:spacing w:val="-6"/>
                <w:sz w:val="24"/>
              </w:rPr>
              <w:t>）</w:t>
            </w:r>
            <w:r>
              <w:rPr>
                <w:rFonts w:hint="eastAsia" w:ascii="Times New Roman" w:hAnsi="Times New Roman" w:cs="Times New Roman"/>
                <w:color w:val="auto"/>
                <w:spacing w:val="-6"/>
                <w:sz w:val="24"/>
                <w:lang w:val="en-US" w:eastAsia="zh-CN"/>
              </w:rPr>
              <w:t>/ 长度（km）</w:t>
            </w:r>
          </w:p>
        </w:tc>
        <w:tc>
          <w:tcPr>
            <w:tcW w:w="3085" w:type="dxa"/>
            <w:noWrap w:val="0"/>
            <w:vAlign w:val="center"/>
          </w:tcPr>
          <w:p w14:paraId="60BFC97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4"/>
                <w:lang w:val="en-US"/>
              </w:rPr>
            </w:pPr>
            <w:r>
              <w:rPr>
                <w:rFonts w:hint="eastAsia" w:ascii="Times New Roman" w:hAnsi="Times New Roman" w:eastAsia="宋体" w:cs="Times New Roman"/>
                <w:color w:val="auto"/>
                <w:sz w:val="24"/>
                <w:szCs w:val="24"/>
                <w:lang w:val="en-US" w:eastAsia="zh-CN"/>
              </w:rPr>
              <w:t>820</w:t>
            </w:r>
          </w:p>
        </w:tc>
      </w:tr>
      <w:tr w14:paraId="5DFF39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4" w:hRule="atLeast"/>
          <w:jc w:val="center"/>
        </w:trPr>
        <w:tc>
          <w:tcPr>
            <w:tcW w:w="1856" w:type="dxa"/>
            <w:noWrap w:val="0"/>
            <w:tcMar>
              <w:top w:w="16" w:type="dxa"/>
              <w:left w:w="16" w:type="dxa"/>
              <w:right w:w="16" w:type="dxa"/>
            </w:tcMar>
            <w:vAlign w:val="center"/>
          </w:tcPr>
          <w:p w14:paraId="186E23F7">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建设性质</w:t>
            </w:r>
          </w:p>
        </w:tc>
        <w:tc>
          <w:tcPr>
            <w:tcW w:w="2402" w:type="dxa"/>
            <w:noWrap w:val="0"/>
            <w:vAlign w:val="center"/>
          </w:tcPr>
          <w:p w14:paraId="5C137DAF">
            <w:pPr>
              <w:keepNext w:val="0"/>
              <w:keepLines w:val="0"/>
              <w:suppressLineNumbers w:val="0"/>
              <w:autoSpaceDE w:val="0"/>
              <w:autoSpaceDN w:val="0"/>
              <w:spacing w:before="0" w:beforeAutospacing="0" w:after="0" w:afterAutospacing="0"/>
              <w:ind w:left="0" w:right="0" w:firstLine="120" w:firstLineChars="5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sym w:font="Wingdings 2" w:char="0052"/>
            </w:r>
            <w:r>
              <w:rPr>
                <w:rFonts w:hint="default" w:ascii="Times New Roman" w:hAnsi="Times New Roman" w:cs="Times New Roman"/>
                <w:color w:val="auto"/>
                <w:kern w:val="0"/>
                <w:sz w:val="24"/>
              </w:rPr>
              <w:t>新建（迁建）</w:t>
            </w:r>
          </w:p>
          <w:p w14:paraId="78FFC188">
            <w:pPr>
              <w:keepNext w:val="0"/>
              <w:keepLines w:val="0"/>
              <w:suppressLineNumbers w:val="0"/>
              <w:autoSpaceDE w:val="0"/>
              <w:autoSpaceDN w:val="0"/>
              <w:spacing w:before="0" w:beforeAutospacing="0" w:after="0" w:afterAutospacing="0"/>
              <w:ind w:left="0" w:right="0" w:firstLine="120" w:firstLineChars="5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sym w:font="Wingdings 2" w:char="00A3"/>
            </w:r>
            <w:r>
              <w:rPr>
                <w:rFonts w:hint="default" w:ascii="Times New Roman" w:hAnsi="Times New Roman" w:cs="Times New Roman"/>
                <w:color w:val="auto"/>
                <w:kern w:val="0"/>
                <w:sz w:val="24"/>
              </w:rPr>
              <w:t>改建</w:t>
            </w:r>
          </w:p>
          <w:p w14:paraId="6548B883">
            <w:pPr>
              <w:keepNext w:val="0"/>
              <w:keepLines w:val="0"/>
              <w:suppressLineNumbers w:val="0"/>
              <w:autoSpaceDE w:val="0"/>
              <w:autoSpaceDN w:val="0"/>
              <w:spacing w:before="0" w:beforeAutospacing="0" w:after="0" w:afterAutospacing="0"/>
              <w:ind w:left="0" w:right="0" w:firstLine="120" w:firstLineChars="5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sym w:font="Wingdings 2" w:char="00A3"/>
            </w:r>
            <w:r>
              <w:rPr>
                <w:rFonts w:hint="default" w:ascii="Times New Roman" w:hAnsi="Times New Roman" w:cs="Times New Roman"/>
                <w:color w:val="auto"/>
                <w:kern w:val="0"/>
                <w:sz w:val="24"/>
              </w:rPr>
              <w:t>扩建</w:t>
            </w:r>
          </w:p>
          <w:p w14:paraId="6E7A793E">
            <w:pPr>
              <w:keepNext w:val="0"/>
              <w:keepLines w:val="0"/>
              <w:suppressLineNumbers w:val="0"/>
              <w:autoSpaceDE w:val="0"/>
              <w:autoSpaceDN w:val="0"/>
              <w:spacing w:before="0" w:beforeAutospacing="0" w:after="0" w:afterAutospacing="0"/>
              <w:ind w:left="0" w:right="0" w:firstLine="120" w:firstLineChars="5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sym w:font="Wingdings 2" w:char="00A3"/>
            </w:r>
            <w:r>
              <w:rPr>
                <w:rFonts w:hint="default" w:ascii="Times New Roman" w:hAnsi="Times New Roman" w:cs="Times New Roman"/>
                <w:color w:val="auto"/>
                <w:kern w:val="0"/>
                <w:sz w:val="24"/>
              </w:rPr>
              <w:t>技术改造</w:t>
            </w:r>
          </w:p>
        </w:tc>
        <w:tc>
          <w:tcPr>
            <w:tcW w:w="1648" w:type="dxa"/>
            <w:noWrap w:val="0"/>
            <w:vAlign w:val="center"/>
          </w:tcPr>
          <w:p w14:paraId="4488912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w:t>
            </w:r>
          </w:p>
          <w:p w14:paraId="0192A7A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申报情形</w:t>
            </w:r>
          </w:p>
        </w:tc>
        <w:tc>
          <w:tcPr>
            <w:tcW w:w="3085" w:type="dxa"/>
            <w:noWrap w:val="0"/>
            <w:vAlign w:val="center"/>
          </w:tcPr>
          <w:p w14:paraId="682B5F75">
            <w:pPr>
              <w:keepNext w:val="0"/>
              <w:keepLines w:val="0"/>
              <w:suppressLineNumbers w:val="0"/>
              <w:spacing w:before="0" w:beforeAutospacing="0" w:after="0" w:afterAutospacing="0"/>
              <w:ind w:left="0" w:right="0" w:firstLine="120" w:firstLineChars="5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 xml:space="preserve">首次申报项目             </w:t>
            </w:r>
          </w:p>
          <w:p w14:paraId="69F6E891">
            <w:pPr>
              <w:keepNext w:val="0"/>
              <w:keepLines w:val="0"/>
              <w:suppressLineNumbers w:val="0"/>
              <w:spacing w:before="0" w:beforeAutospacing="0" w:after="0" w:afterAutospacing="0"/>
              <w:ind w:left="0" w:right="0" w:firstLine="120" w:firstLineChars="5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不予批准后再次申报项目</w:t>
            </w:r>
          </w:p>
          <w:p w14:paraId="6D2C7BE7">
            <w:pPr>
              <w:keepNext w:val="0"/>
              <w:keepLines w:val="0"/>
              <w:suppressLineNumbers w:val="0"/>
              <w:spacing w:before="0" w:beforeAutospacing="0" w:after="0" w:afterAutospacing="0"/>
              <w:ind w:left="0" w:right="0" w:firstLine="120" w:firstLineChars="5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 xml:space="preserve">超五年重新审核项目     </w:t>
            </w:r>
          </w:p>
          <w:p w14:paraId="7D116649">
            <w:pPr>
              <w:keepNext w:val="0"/>
              <w:keepLines w:val="0"/>
              <w:suppressLineNumbers w:val="0"/>
              <w:spacing w:before="0" w:beforeAutospacing="0" w:after="0" w:afterAutospacing="0"/>
              <w:ind w:left="0" w:right="0" w:firstLine="120" w:firstLineChars="5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重大变动重新报批项目</w:t>
            </w:r>
          </w:p>
        </w:tc>
      </w:tr>
      <w:tr w14:paraId="07E974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56" w:type="dxa"/>
            <w:noWrap w:val="0"/>
            <w:tcMar>
              <w:top w:w="16" w:type="dxa"/>
              <w:left w:w="16" w:type="dxa"/>
              <w:right w:w="16" w:type="dxa"/>
            </w:tcMar>
            <w:vAlign w:val="center"/>
          </w:tcPr>
          <w:p w14:paraId="04B9A821">
            <w:pPr>
              <w:keepNext w:val="0"/>
              <w:keepLines w:val="0"/>
              <w:suppressLineNumbers w:val="0"/>
              <w:spacing w:before="0" w:beforeAutospacing="0" w:after="0" w:afterAutospacing="0"/>
              <w:ind w:left="0" w:right="0" w:firstLine="120" w:firstLineChars="5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项目审批（核准/备案）部门（选填）</w:t>
            </w:r>
          </w:p>
        </w:tc>
        <w:tc>
          <w:tcPr>
            <w:tcW w:w="2402" w:type="dxa"/>
            <w:noWrap w:val="0"/>
            <w:vAlign w:val="center"/>
          </w:tcPr>
          <w:p w14:paraId="37C67774">
            <w:pPr>
              <w:keepNext w:val="0"/>
              <w:keepLines w:val="0"/>
              <w:suppressLineNumbers w:val="0"/>
              <w:spacing w:before="0" w:beforeAutospacing="0" w:after="0" w:afterAutospacing="0"/>
              <w:ind w:left="0" w:right="0" w:firstLine="120" w:firstLineChars="50"/>
              <w:jc w:val="center"/>
              <w:rPr>
                <w:rFonts w:hint="eastAsia" w:ascii="Times New Roman" w:hAnsi="Times New Roman" w:eastAsia="宋体" w:cs="Times New Roman"/>
                <w:color w:val="auto"/>
                <w:sz w:val="24"/>
                <w:lang w:eastAsia="zh-CN"/>
              </w:rPr>
            </w:pPr>
            <w:r>
              <w:rPr>
                <w:rFonts w:hint="eastAsia" w:ascii="Times New Roman" w:hAnsi="Times New Roman" w:cs="Times New Roman"/>
                <w:color w:val="auto"/>
                <w:sz w:val="24"/>
                <w:lang w:eastAsia="zh-CN"/>
              </w:rPr>
              <w:t>芒市发展和改革局</w:t>
            </w:r>
          </w:p>
        </w:tc>
        <w:tc>
          <w:tcPr>
            <w:tcW w:w="1648" w:type="dxa"/>
            <w:noWrap w:val="0"/>
            <w:vAlign w:val="center"/>
          </w:tcPr>
          <w:p w14:paraId="1957245F">
            <w:pPr>
              <w:keepNext w:val="0"/>
              <w:keepLines w:val="0"/>
              <w:suppressLineNumbers w:val="0"/>
              <w:spacing w:before="0" w:beforeAutospacing="0" w:after="0" w:afterAutospacing="0"/>
              <w:ind w:left="0" w:right="0" w:firstLine="120" w:firstLineChars="5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项目审批（核准/备案）文号（选填）</w:t>
            </w:r>
          </w:p>
        </w:tc>
        <w:tc>
          <w:tcPr>
            <w:tcW w:w="3085" w:type="dxa"/>
            <w:noWrap w:val="0"/>
            <w:vAlign w:val="center"/>
          </w:tcPr>
          <w:p w14:paraId="6C7D2361">
            <w:pPr>
              <w:keepNext w:val="0"/>
              <w:keepLines w:val="0"/>
              <w:suppressLineNumbers w:val="0"/>
              <w:spacing w:before="0" w:beforeAutospacing="0" w:after="0" w:afterAutospacing="0"/>
              <w:ind w:left="0" w:right="0" w:firstLine="120" w:firstLineChars="50"/>
              <w:jc w:val="center"/>
              <w:rPr>
                <w:rFonts w:hint="eastAsia" w:ascii="Times New Roman" w:hAnsi="Times New Roman" w:eastAsia="宋体" w:cs="Times New Roman"/>
                <w:color w:val="auto"/>
                <w:sz w:val="24"/>
                <w:lang w:eastAsia="zh-CN"/>
              </w:rPr>
            </w:pPr>
            <w:r>
              <w:rPr>
                <w:rFonts w:hint="eastAsia" w:ascii="Times New Roman" w:hAnsi="Times New Roman" w:cs="Times New Roman"/>
                <w:color w:val="auto"/>
                <w:sz w:val="24"/>
                <w:lang w:eastAsia="zh-CN"/>
              </w:rPr>
              <w:t>2</w:t>
            </w:r>
            <w:r>
              <w:rPr>
                <w:rFonts w:hint="eastAsia" w:ascii="Times New Roman" w:hAnsi="Times New Roman" w:cs="Times New Roman"/>
                <w:color w:val="auto"/>
                <w:sz w:val="24"/>
                <w:lang w:val="en-US" w:eastAsia="zh-CN"/>
              </w:rPr>
              <w:t>203</w:t>
            </w:r>
            <w:r>
              <w:rPr>
                <w:rFonts w:hint="eastAsia" w:ascii="Times New Roman" w:hAnsi="Times New Roman" w:cs="Times New Roman"/>
                <w:color w:val="auto"/>
                <w:sz w:val="24"/>
                <w:lang w:eastAsia="zh-CN"/>
              </w:rPr>
              <w:t>-533103-04-0</w:t>
            </w:r>
            <w:r>
              <w:rPr>
                <w:rFonts w:hint="eastAsia" w:ascii="Times New Roman" w:hAnsi="Times New Roman" w:cs="Times New Roman"/>
                <w:color w:val="auto"/>
                <w:sz w:val="24"/>
                <w:lang w:val="en-US" w:eastAsia="zh-CN"/>
              </w:rPr>
              <w:t>1</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673533</w:t>
            </w:r>
          </w:p>
        </w:tc>
      </w:tr>
      <w:tr w14:paraId="583469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1856" w:type="dxa"/>
            <w:noWrap w:val="0"/>
            <w:tcMar>
              <w:top w:w="16" w:type="dxa"/>
              <w:left w:w="16" w:type="dxa"/>
              <w:right w:w="16" w:type="dxa"/>
            </w:tcMar>
            <w:vAlign w:val="center"/>
          </w:tcPr>
          <w:p w14:paraId="0BEEADCB">
            <w:pPr>
              <w:keepNext w:val="0"/>
              <w:keepLines w:val="0"/>
              <w:suppressLineNumbers w:val="0"/>
              <w:spacing w:before="0" w:beforeAutospacing="0" w:after="0" w:afterAutospacing="0"/>
              <w:ind w:left="0" w:right="0" w:firstLine="120" w:firstLineChars="50"/>
              <w:jc w:val="center"/>
              <w:rPr>
                <w:rFonts w:hint="default" w:ascii="Times New Roman" w:hAnsi="Times New Roman" w:cs="Times New Roman"/>
                <w:color w:val="auto"/>
                <w:sz w:val="24"/>
              </w:rPr>
            </w:pPr>
            <w:r>
              <w:rPr>
                <w:rFonts w:hint="default" w:ascii="Times New Roman" w:hAnsi="Times New Roman" w:cs="Times New Roman"/>
                <w:color w:val="auto"/>
                <w:sz w:val="24"/>
              </w:rPr>
              <w:t>总投资（万元）</w:t>
            </w:r>
          </w:p>
        </w:tc>
        <w:tc>
          <w:tcPr>
            <w:tcW w:w="2402" w:type="dxa"/>
            <w:noWrap w:val="0"/>
            <w:vAlign w:val="center"/>
          </w:tcPr>
          <w:p w14:paraId="6FC38542">
            <w:pPr>
              <w:keepNext w:val="0"/>
              <w:keepLines w:val="0"/>
              <w:suppressLineNumbers w:val="0"/>
              <w:spacing w:before="0" w:beforeAutospacing="0" w:after="0" w:afterAutospacing="0"/>
              <w:ind w:left="0" w:right="0" w:firstLine="120" w:firstLineChars="50"/>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szCs w:val="24"/>
                <w:highlight w:val="none"/>
                <w:lang w:val="en-US" w:eastAsia="zh-CN"/>
              </w:rPr>
              <w:t>1000</w:t>
            </w:r>
          </w:p>
        </w:tc>
        <w:tc>
          <w:tcPr>
            <w:tcW w:w="1648" w:type="dxa"/>
            <w:noWrap w:val="0"/>
            <w:tcMar>
              <w:top w:w="16" w:type="dxa"/>
              <w:left w:w="16" w:type="dxa"/>
              <w:right w:w="16" w:type="dxa"/>
            </w:tcMar>
            <w:vAlign w:val="center"/>
          </w:tcPr>
          <w:p w14:paraId="120CB75F">
            <w:pPr>
              <w:keepNext w:val="0"/>
              <w:keepLines w:val="0"/>
              <w:suppressLineNumbers w:val="0"/>
              <w:spacing w:before="0" w:beforeAutospacing="0" w:after="0" w:afterAutospacing="0"/>
              <w:ind w:left="0" w:right="0" w:firstLine="120" w:firstLineChars="5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环保投资（万元）</w:t>
            </w:r>
          </w:p>
        </w:tc>
        <w:tc>
          <w:tcPr>
            <w:tcW w:w="3085" w:type="dxa"/>
            <w:noWrap w:val="0"/>
            <w:vAlign w:val="center"/>
          </w:tcPr>
          <w:p w14:paraId="3500F5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27.0</w:t>
            </w:r>
          </w:p>
        </w:tc>
      </w:tr>
      <w:tr w14:paraId="40A42B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noWrap w:val="0"/>
            <w:tcMar>
              <w:top w:w="16" w:type="dxa"/>
              <w:left w:w="16" w:type="dxa"/>
              <w:right w:w="16" w:type="dxa"/>
            </w:tcMar>
            <w:vAlign w:val="center"/>
          </w:tcPr>
          <w:p w14:paraId="3E56F757">
            <w:pPr>
              <w:keepNext w:val="0"/>
              <w:keepLines w:val="0"/>
              <w:suppressLineNumbers w:val="0"/>
              <w:spacing w:before="0" w:beforeAutospacing="0" w:after="0" w:afterAutospacing="0"/>
              <w:ind w:left="0" w:right="0" w:firstLine="120" w:firstLineChars="5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环保投资占比（%）</w:t>
            </w:r>
          </w:p>
        </w:tc>
        <w:tc>
          <w:tcPr>
            <w:tcW w:w="2402" w:type="dxa"/>
            <w:noWrap w:val="0"/>
            <w:vAlign w:val="center"/>
          </w:tcPr>
          <w:p w14:paraId="1EB70EBA">
            <w:pPr>
              <w:keepNext w:val="0"/>
              <w:keepLines w:val="0"/>
              <w:suppressLineNumbers w:val="0"/>
              <w:spacing w:before="0" w:beforeAutospacing="0" w:after="0" w:afterAutospacing="0"/>
              <w:ind w:left="0" w:right="0" w:firstLine="120" w:firstLineChars="50"/>
              <w:jc w:val="center"/>
              <w:rPr>
                <w:rFonts w:hint="default" w:ascii="Times New Roman" w:hAnsi="Times New Roman" w:cs="Times New Roman"/>
                <w:color w:val="auto"/>
                <w:sz w:val="24"/>
                <w:lang w:val="en-US"/>
              </w:rPr>
            </w:pPr>
            <w:r>
              <w:rPr>
                <w:rFonts w:hint="eastAsia" w:ascii="Times New Roman" w:hAnsi="Times New Roman" w:cs="Times New Roman"/>
                <w:color w:val="auto"/>
                <w:sz w:val="24"/>
                <w:lang w:val="en-US" w:eastAsia="zh-CN"/>
              </w:rPr>
              <w:t>2.7</w:t>
            </w:r>
          </w:p>
        </w:tc>
        <w:tc>
          <w:tcPr>
            <w:tcW w:w="1648" w:type="dxa"/>
            <w:noWrap w:val="0"/>
            <w:tcMar>
              <w:top w:w="16" w:type="dxa"/>
              <w:left w:w="16" w:type="dxa"/>
              <w:right w:w="16" w:type="dxa"/>
            </w:tcMar>
            <w:vAlign w:val="center"/>
          </w:tcPr>
          <w:p w14:paraId="71ADD541">
            <w:pPr>
              <w:keepNext w:val="0"/>
              <w:keepLines w:val="0"/>
              <w:suppressLineNumbers w:val="0"/>
              <w:spacing w:before="0" w:beforeAutospacing="0" w:after="0" w:afterAutospacing="0"/>
              <w:ind w:left="0" w:right="0" w:firstLine="120" w:firstLineChars="50"/>
              <w:jc w:val="center"/>
              <w:rPr>
                <w:rFonts w:hint="default" w:ascii="Times New Roman" w:hAnsi="Times New Roman" w:cs="Times New Roman"/>
                <w:color w:val="auto"/>
                <w:sz w:val="24"/>
              </w:rPr>
            </w:pPr>
            <w:r>
              <w:rPr>
                <w:rFonts w:hint="default" w:ascii="Times New Roman" w:hAnsi="Times New Roman" w:cs="Times New Roman"/>
                <w:color w:val="auto"/>
                <w:sz w:val="24"/>
              </w:rPr>
              <w:t>施工工期</w:t>
            </w:r>
          </w:p>
        </w:tc>
        <w:tc>
          <w:tcPr>
            <w:tcW w:w="3085" w:type="dxa"/>
            <w:noWrap w:val="0"/>
            <w:vAlign w:val="center"/>
          </w:tcPr>
          <w:p w14:paraId="56E1F145">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4"/>
              </w:rPr>
            </w:pPr>
            <w:r>
              <w:rPr>
                <w:rFonts w:hint="eastAsia" w:ascii="Times New Roman" w:hAnsi="Times New Roman" w:eastAsia="宋体" w:cs="Times New Roman"/>
                <w:color w:val="auto"/>
                <w:sz w:val="24"/>
                <w:szCs w:val="24"/>
                <w:lang w:val="en-US" w:eastAsia="zh-CN"/>
              </w:rPr>
              <w:t>2个月（2022年4月-2022年5月）</w:t>
            </w:r>
          </w:p>
        </w:tc>
      </w:tr>
      <w:tr w14:paraId="557464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noWrap w:val="0"/>
            <w:tcMar>
              <w:top w:w="16" w:type="dxa"/>
              <w:left w:w="16" w:type="dxa"/>
              <w:right w:w="16" w:type="dxa"/>
            </w:tcMar>
            <w:vAlign w:val="center"/>
          </w:tcPr>
          <w:p w14:paraId="4AFF541D">
            <w:pPr>
              <w:keepNext w:val="0"/>
              <w:keepLines w:val="0"/>
              <w:suppressLineNumbers w:val="0"/>
              <w:spacing w:before="0" w:beforeAutospacing="0" w:after="0" w:afterAutospacing="0"/>
              <w:ind w:left="0" w:right="0" w:firstLine="120" w:firstLineChars="50"/>
              <w:jc w:val="center"/>
              <w:rPr>
                <w:rFonts w:hint="default" w:ascii="Times New Roman" w:hAnsi="Times New Roman" w:cs="Times New Roman"/>
                <w:color w:val="auto"/>
                <w:sz w:val="24"/>
              </w:rPr>
            </w:pPr>
            <w:r>
              <w:rPr>
                <w:rFonts w:hint="default" w:ascii="Times New Roman" w:hAnsi="Times New Roman" w:cs="Times New Roman"/>
                <w:color w:val="auto"/>
                <w:sz w:val="24"/>
              </w:rPr>
              <w:t>是否开工建设</w:t>
            </w:r>
          </w:p>
        </w:tc>
        <w:tc>
          <w:tcPr>
            <w:tcW w:w="7135" w:type="dxa"/>
            <w:gridSpan w:val="3"/>
            <w:noWrap w:val="0"/>
            <w:vAlign w:val="center"/>
          </w:tcPr>
          <w:p w14:paraId="4127C85A">
            <w:pPr>
              <w:keepNext w:val="0"/>
              <w:keepLines w:val="0"/>
              <w:suppressLineNumbers w:val="0"/>
              <w:spacing w:before="0" w:beforeAutospacing="0" w:after="0" w:afterAutospacing="0"/>
              <w:ind w:left="0" w:right="0" w:firstLine="120" w:firstLineChars="50"/>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否</w:t>
            </w:r>
          </w:p>
          <w:p w14:paraId="59AB93AC">
            <w:pPr>
              <w:keepNext w:val="0"/>
              <w:keepLines w:val="0"/>
              <w:suppressLineNumbers w:val="0"/>
              <w:spacing w:before="0" w:beforeAutospacing="0" w:after="0" w:afterAutospacing="0"/>
              <w:ind w:left="0" w:right="0" w:firstLine="120" w:firstLineChars="50"/>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eastAsia" w:ascii="Times New Roman" w:hAnsi="Times New Roman" w:cs="Times New Roman"/>
                <w:color w:val="auto"/>
                <w:sz w:val="24"/>
              </w:rPr>
              <w:t xml:space="preserve"> </w:t>
            </w:r>
            <w:r>
              <w:rPr>
                <w:rFonts w:hint="default" w:ascii="Times New Roman" w:hAnsi="Times New Roman" w:cs="Times New Roman"/>
                <w:color w:val="auto"/>
                <w:sz w:val="24"/>
              </w:rPr>
              <w:t>是：</w:t>
            </w:r>
            <w:r>
              <w:rPr>
                <w:rFonts w:hint="default" w:ascii="Times New Roman" w:hAnsi="Times New Roman" w:cs="Times New Roman"/>
                <w:color w:val="auto"/>
                <w:sz w:val="24"/>
                <w:u w:val="single"/>
              </w:rPr>
              <w:t xml:space="preserve">             </w:t>
            </w:r>
          </w:p>
        </w:tc>
      </w:tr>
      <w:tr w14:paraId="6EC146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856" w:type="dxa"/>
            <w:noWrap w:val="0"/>
            <w:vAlign w:val="center"/>
          </w:tcPr>
          <w:p w14:paraId="42268D29">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专项评价设置情况</w:t>
            </w:r>
          </w:p>
        </w:tc>
        <w:tc>
          <w:tcPr>
            <w:tcW w:w="7135" w:type="dxa"/>
            <w:gridSpan w:val="3"/>
            <w:noWrap w:val="0"/>
            <w:vAlign w:val="center"/>
          </w:tcPr>
          <w:p w14:paraId="173FB2A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left"/>
              <w:textAlignment w:val="auto"/>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 xml:space="preserve">    </w:t>
            </w:r>
            <w:r>
              <w:rPr>
                <w:rFonts w:hint="eastAsia" w:ascii="Times New Roman" w:hAnsi="Times New Roman" w:cs="Times New Roman"/>
                <w:color w:val="auto"/>
                <w:sz w:val="24"/>
                <w:szCs w:val="24"/>
              </w:rPr>
              <w:t>根据《建设项目环境影响报告表编制技术指南（</w:t>
            </w:r>
            <w:r>
              <w:rPr>
                <w:rFonts w:hint="eastAsia" w:ascii="Times New Roman" w:hAnsi="Times New Roman" w:cs="Times New Roman"/>
                <w:color w:val="auto"/>
                <w:sz w:val="24"/>
                <w:szCs w:val="24"/>
                <w:lang w:val="en-US" w:eastAsia="zh-CN"/>
              </w:rPr>
              <w:t>生态</w:t>
            </w:r>
            <w:r>
              <w:rPr>
                <w:rFonts w:hint="eastAsia" w:ascii="Times New Roman" w:hAnsi="Times New Roman" w:cs="Times New Roman"/>
                <w:color w:val="auto"/>
                <w:sz w:val="24"/>
                <w:szCs w:val="24"/>
              </w:rPr>
              <w:t>影响类）（试行）》，本项目不设置专项评价</w:t>
            </w:r>
            <w:r>
              <w:rPr>
                <w:rFonts w:hint="eastAsia" w:ascii="Times New Roman" w:hAnsi="Times New Roman" w:cs="Times New Roman"/>
                <w:color w:val="auto"/>
                <w:sz w:val="24"/>
                <w:szCs w:val="24"/>
                <w:lang w:eastAsia="zh-CN"/>
              </w:rPr>
              <w:t>。具体专项评价设置原则及本项目判定情况见下表。</w:t>
            </w:r>
          </w:p>
          <w:p w14:paraId="2A84D5D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eastAsia="zh-CN"/>
              </w:rPr>
              <w:t>表 1-1 专项评价设置原则与本项目判定情况对照表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2586"/>
              <w:gridCol w:w="2450"/>
              <w:gridCol w:w="1007"/>
            </w:tblGrid>
            <w:tr w14:paraId="527FB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noWrap w:val="0"/>
                  <w:vAlign w:val="center"/>
                </w:tcPr>
                <w:p w14:paraId="645FE909">
                  <w:pPr>
                    <w:pStyle w:val="2"/>
                    <w:keepNext w:val="0"/>
                    <w:keepLines w:val="0"/>
                    <w:suppressLineNumbers w:val="0"/>
                    <w:spacing w:before="0" w:beforeAutospacing="0" w:after="0" w:afterAutospacing="0"/>
                    <w:ind w:left="0" w:right="0"/>
                    <w:jc w:val="center"/>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专项评价的类别</w:t>
                  </w:r>
                </w:p>
              </w:tc>
              <w:tc>
                <w:tcPr>
                  <w:tcW w:w="2586" w:type="dxa"/>
                  <w:noWrap w:val="0"/>
                  <w:vAlign w:val="center"/>
                </w:tcPr>
                <w:p w14:paraId="75DD0AE5">
                  <w:pPr>
                    <w:pStyle w:val="2"/>
                    <w:keepNext w:val="0"/>
                    <w:keepLines w:val="0"/>
                    <w:suppressLineNumbers w:val="0"/>
                    <w:spacing w:before="0" w:beforeAutospacing="0" w:after="0" w:afterAutospacing="0"/>
                    <w:ind w:left="0" w:right="0"/>
                    <w:jc w:val="center"/>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设置原则</w:t>
                  </w:r>
                </w:p>
              </w:tc>
              <w:tc>
                <w:tcPr>
                  <w:tcW w:w="2450" w:type="dxa"/>
                  <w:noWrap w:val="0"/>
                  <w:vAlign w:val="center"/>
                </w:tcPr>
                <w:p w14:paraId="37000272">
                  <w:pPr>
                    <w:pStyle w:val="2"/>
                    <w:keepNext w:val="0"/>
                    <w:keepLines w:val="0"/>
                    <w:suppressLineNumbers w:val="0"/>
                    <w:spacing w:before="0" w:beforeAutospacing="0" w:after="0" w:afterAutospacing="0"/>
                    <w:ind w:left="0" w:right="0"/>
                    <w:jc w:val="center"/>
                    <w:rPr>
                      <w:rFonts w:hint="eastAsia" w:cs="Times New Roman"/>
                      <w:color w:val="auto"/>
                      <w:sz w:val="24"/>
                      <w:szCs w:val="24"/>
                      <w:vertAlign w:val="baseline"/>
                      <w:lang w:eastAsia="zh-CN"/>
                    </w:rPr>
                  </w:pPr>
                  <w:r>
                    <w:rPr>
                      <w:rFonts w:hint="eastAsia" w:cs="Times New Roman"/>
                      <w:color w:val="auto"/>
                      <w:sz w:val="24"/>
                      <w:szCs w:val="24"/>
                      <w:vertAlign w:val="baseline"/>
                      <w:lang w:eastAsia="zh-CN"/>
                    </w:rPr>
                    <w:t>项目判定情况</w:t>
                  </w:r>
                </w:p>
              </w:tc>
              <w:tc>
                <w:tcPr>
                  <w:tcW w:w="1007" w:type="dxa"/>
                  <w:noWrap w:val="0"/>
                  <w:vAlign w:val="center"/>
                </w:tcPr>
                <w:p w14:paraId="6CF0D75E">
                  <w:pPr>
                    <w:pStyle w:val="2"/>
                    <w:keepNext w:val="0"/>
                    <w:keepLines w:val="0"/>
                    <w:suppressLineNumbers w:val="0"/>
                    <w:spacing w:before="0" w:beforeAutospacing="0" w:after="0" w:afterAutospacing="0"/>
                    <w:ind w:left="0" w:right="0"/>
                    <w:jc w:val="center"/>
                    <w:rPr>
                      <w:rFonts w:hint="eastAsia" w:cs="Times New Roman"/>
                      <w:color w:val="auto"/>
                      <w:sz w:val="24"/>
                      <w:szCs w:val="24"/>
                      <w:vertAlign w:val="baseline"/>
                      <w:lang w:eastAsia="zh-CN"/>
                    </w:rPr>
                  </w:pPr>
                  <w:r>
                    <w:rPr>
                      <w:rFonts w:hint="eastAsia" w:cs="Times New Roman"/>
                      <w:color w:val="auto"/>
                      <w:sz w:val="24"/>
                      <w:szCs w:val="24"/>
                      <w:vertAlign w:val="baseline"/>
                      <w:lang w:eastAsia="zh-CN"/>
                    </w:rPr>
                    <w:t>是否设</w:t>
                  </w:r>
                </w:p>
                <w:p w14:paraId="570405A8">
                  <w:pPr>
                    <w:pStyle w:val="2"/>
                    <w:keepNext w:val="0"/>
                    <w:keepLines w:val="0"/>
                    <w:suppressLineNumbers w:val="0"/>
                    <w:spacing w:before="0" w:beforeAutospacing="0" w:after="0" w:afterAutospacing="0"/>
                    <w:ind w:left="0" w:right="0"/>
                    <w:jc w:val="center"/>
                    <w:rPr>
                      <w:rFonts w:hint="eastAsia" w:cs="Times New Roman"/>
                      <w:color w:val="auto"/>
                      <w:sz w:val="24"/>
                      <w:szCs w:val="24"/>
                      <w:vertAlign w:val="baseline"/>
                      <w:lang w:eastAsia="zh-CN"/>
                    </w:rPr>
                  </w:pPr>
                  <w:r>
                    <w:rPr>
                      <w:rFonts w:hint="eastAsia" w:cs="Times New Roman"/>
                      <w:color w:val="auto"/>
                      <w:sz w:val="24"/>
                      <w:szCs w:val="24"/>
                      <w:vertAlign w:val="baseline"/>
                      <w:lang w:eastAsia="zh-CN"/>
                    </w:rPr>
                    <w:t>置专题</w:t>
                  </w:r>
                </w:p>
              </w:tc>
            </w:tr>
            <w:tr w14:paraId="10A5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noWrap w:val="0"/>
                  <w:vAlign w:val="center"/>
                </w:tcPr>
                <w:p w14:paraId="3A2D2A80">
                  <w:pPr>
                    <w:pStyle w:val="2"/>
                    <w:keepNext w:val="0"/>
                    <w:keepLines w:val="0"/>
                    <w:suppressLineNumbers w:val="0"/>
                    <w:spacing w:before="0" w:beforeAutospacing="0" w:after="0" w:afterAutospacing="0"/>
                    <w:ind w:left="0" w:right="0"/>
                    <w:jc w:val="center"/>
                    <w:rPr>
                      <w:rFonts w:hint="default" w:cs="Times New Roman"/>
                      <w:color w:val="auto"/>
                      <w:vertAlign w:val="baseline"/>
                      <w:lang w:val="en-US" w:eastAsia="zh-CN"/>
                    </w:rPr>
                  </w:pPr>
                  <w:r>
                    <w:rPr>
                      <w:rFonts w:hint="eastAsia" w:cs="Times New Roman"/>
                      <w:color w:val="auto"/>
                      <w:sz w:val="21"/>
                      <w:szCs w:val="21"/>
                      <w:vertAlign w:val="baseline"/>
                      <w:lang w:val="en-US" w:eastAsia="zh-CN"/>
                    </w:rPr>
                    <w:t>地表水</w:t>
                  </w:r>
                </w:p>
              </w:tc>
              <w:tc>
                <w:tcPr>
                  <w:tcW w:w="2586" w:type="dxa"/>
                  <w:noWrap w:val="0"/>
                  <w:vAlign w:val="center"/>
                </w:tcPr>
                <w:p w14:paraId="70211155">
                  <w:pPr>
                    <w:pStyle w:val="2"/>
                    <w:keepNext w:val="0"/>
                    <w:keepLines w:val="0"/>
                    <w:suppressLineNumbers w:val="0"/>
                    <w:spacing w:before="0" w:beforeAutospacing="0" w:after="0" w:afterAutospacing="0"/>
                    <w:ind w:left="0" w:right="0"/>
                    <w:jc w:val="center"/>
                    <w:rPr>
                      <w:rFonts w:hint="eastAsia" w:cs="Times New Roman"/>
                      <w:color w:val="auto"/>
                      <w:vertAlign w:val="baseline"/>
                      <w:lang w:eastAsia="zh-CN"/>
                    </w:rPr>
                  </w:pPr>
                  <w:r>
                    <w:rPr>
                      <w:rFonts w:hint="eastAsia" w:cs="Times New Roman"/>
                      <w:color w:val="auto"/>
                      <w:sz w:val="21"/>
                      <w:szCs w:val="21"/>
                      <w:vertAlign w:val="baseline"/>
                      <w:lang w:eastAsia="zh-CN"/>
                    </w:rPr>
                    <w:t>水力发电：引水式发电、涉及调峰发电的项目；人工湖、人工湿地：全部；水库：全部；引水工程：全部（配套的管线工程等除外）；防洪除涝工程：包含水库的项目；河湖整治：涉及清淤且底泥存在重金属污染的项目</w:t>
                  </w:r>
                </w:p>
              </w:tc>
              <w:tc>
                <w:tcPr>
                  <w:tcW w:w="2450" w:type="dxa"/>
                  <w:noWrap w:val="0"/>
                  <w:vAlign w:val="center"/>
                </w:tcPr>
                <w:p w14:paraId="69A4A930">
                  <w:pPr>
                    <w:pStyle w:val="2"/>
                    <w:keepNext w:val="0"/>
                    <w:keepLines w:val="0"/>
                    <w:suppressLineNumbers w:val="0"/>
                    <w:spacing w:before="0" w:beforeAutospacing="0" w:after="0" w:afterAutospacing="0"/>
                    <w:ind w:left="0" w:right="0"/>
                    <w:jc w:val="center"/>
                    <w:rPr>
                      <w:rFonts w:hint="eastAsia" w:cs="Times New Roman"/>
                      <w:color w:val="auto"/>
                      <w:vertAlign w:val="baseline"/>
                      <w:lang w:eastAsia="zh-CN"/>
                    </w:rPr>
                  </w:pPr>
                  <w:r>
                    <w:rPr>
                      <w:rFonts w:hint="eastAsia" w:cs="Times New Roman"/>
                      <w:color w:val="auto"/>
                      <w:sz w:val="21"/>
                      <w:szCs w:val="21"/>
                      <w:vertAlign w:val="baseline"/>
                      <w:lang w:val="en-US" w:eastAsia="zh-CN"/>
                    </w:rPr>
                    <w:t>本项目不属于</w:t>
                  </w:r>
                  <w:r>
                    <w:rPr>
                      <w:rFonts w:hint="eastAsia" w:cs="Times New Roman"/>
                      <w:color w:val="auto"/>
                      <w:sz w:val="21"/>
                      <w:szCs w:val="21"/>
                      <w:vertAlign w:val="baseline"/>
                      <w:lang w:eastAsia="zh-CN"/>
                    </w:rPr>
                    <w:t>水力发电：引水式发电、涉及调峰发电的项目；人工湖、人工湿地：全部；水库：全部；引水工程：全部（配套的管线工程等除外）；防洪除涝工程：包含水库的项目；河湖整治：涉及清淤且底泥存在重金属污染的项目</w:t>
                  </w:r>
                </w:p>
              </w:tc>
              <w:tc>
                <w:tcPr>
                  <w:tcW w:w="1007" w:type="dxa"/>
                  <w:noWrap w:val="0"/>
                  <w:vAlign w:val="center"/>
                </w:tcPr>
                <w:p w14:paraId="3CCAE7DB">
                  <w:pPr>
                    <w:pStyle w:val="2"/>
                    <w:keepNext w:val="0"/>
                    <w:keepLines w:val="0"/>
                    <w:suppressLineNumbers w:val="0"/>
                    <w:spacing w:before="0" w:beforeAutospacing="0" w:after="0" w:afterAutospacing="0"/>
                    <w:ind w:left="0" w:right="0"/>
                    <w:jc w:val="center"/>
                    <w:rPr>
                      <w:rFonts w:hint="default" w:cs="Times New Roman"/>
                      <w:color w:val="auto"/>
                      <w:vertAlign w:val="baseline"/>
                      <w:lang w:val="en-US" w:eastAsia="zh-CN"/>
                    </w:rPr>
                  </w:pPr>
                  <w:r>
                    <w:rPr>
                      <w:rFonts w:hint="eastAsia" w:cs="Times New Roman"/>
                      <w:color w:val="auto"/>
                      <w:sz w:val="21"/>
                      <w:szCs w:val="21"/>
                      <w:vertAlign w:val="baseline"/>
                      <w:lang w:val="en-US" w:eastAsia="zh-CN"/>
                    </w:rPr>
                    <w:t>否</w:t>
                  </w:r>
                </w:p>
              </w:tc>
            </w:tr>
            <w:tr w14:paraId="22F7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noWrap w:val="0"/>
                  <w:vAlign w:val="center"/>
                </w:tcPr>
                <w:p w14:paraId="07174AF5">
                  <w:pPr>
                    <w:pStyle w:val="2"/>
                    <w:keepNext w:val="0"/>
                    <w:keepLines w:val="0"/>
                    <w:suppressLineNumbers w:val="0"/>
                    <w:spacing w:before="0" w:beforeAutospacing="0" w:after="0" w:afterAutospacing="0"/>
                    <w:ind w:left="0" w:right="0"/>
                    <w:jc w:val="center"/>
                    <w:rPr>
                      <w:rFonts w:hint="default" w:cs="Times New Roman"/>
                      <w:color w:val="auto"/>
                      <w:vertAlign w:val="baseline"/>
                      <w:lang w:val="en-US" w:eastAsia="zh-CN"/>
                    </w:rPr>
                  </w:pPr>
                  <w:r>
                    <w:rPr>
                      <w:rFonts w:hint="eastAsia" w:cs="Times New Roman"/>
                      <w:color w:val="auto"/>
                      <w:sz w:val="21"/>
                      <w:szCs w:val="21"/>
                      <w:vertAlign w:val="baseline"/>
                      <w:lang w:val="en-US" w:eastAsia="zh-CN"/>
                    </w:rPr>
                    <w:t>地下水</w:t>
                  </w:r>
                </w:p>
              </w:tc>
              <w:tc>
                <w:tcPr>
                  <w:tcW w:w="2586" w:type="dxa"/>
                  <w:noWrap w:val="0"/>
                  <w:vAlign w:val="center"/>
                </w:tcPr>
                <w:p w14:paraId="7467610D">
                  <w:pPr>
                    <w:pStyle w:val="2"/>
                    <w:keepNext w:val="0"/>
                    <w:keepLines w:val="0"/>
                    <w:suppressLineNumbers w:val="0"/>
                    <w:spacing w:before="0" w:beforeAutospacing="0" w:after="0" w:afterAutospacing="0"/>
                    <w:ind w:left="0" w:right="0"/>
                    <w:jc w:val="center"/>
                    <w:rPr>
                      <w:rFonts w:hint="eastAsia" w:ascii="Times New Roman" w:hAnsi="Times New Roman" w:cs="Times New Roman"/>
                      <w:color w:val="auto"/>
                      <w:vertAlign w:val="baseline"/>
                      <w:lang w:eastAsia="zh-CN"/>
                    </w:rPr>
                  </w:pPr>
                  <w:r>
                    <w:rPr>
                      <w:rFonts w:hint="eastAsia" w:ascii="Times New Roman" w:hAnsi="Times New Roman" w:cs="Times New Roman"/>
                      <w:color w:val="auto"/>
                      <w:sz w:val="21"/>
                      <w:szCs w:val="21"/>
                      <w:vertAlign w:val="baseline"/>
                      <w:lang w:eastAsia="zh-CN"/>
                    </w:rPr>
                    <w:t>陆地石油和天然气开采：全部；地下水（含矿泉水）开采：全部；水利、水电、交通等：含穿越可溶岩地层隧道的项目</w:t>
                  </w:r>
                </w:p>
              </w:tc>
              <w:tc>
                <w:tcPr>
                  <w:tcW w:w="2450" w:type="dxa"/>
                  <w:noWrap w:val="0"/>
                  <w:vAlign w:val="center"/>
                </w:tcPr>
                <w:p w14:paraId="4D2D055A">
                  <w:pPr>
                    <w:pStyle w:val="2"/>
                    <w:keepNext w:val="0"/>
                    <w:keepLines w:val="0"/>
                    <w:suppressLineNumbers w:val="0"/>
                    <w:spacing w:before="0" w:beforeAutospacing="0" w:after="0" w:afterAutospacing="0"/>
                    <w:ind w:left="0" w:right="0"/>
                    <w:jc w:val="center"/>
                    <w:rPr>
                      <w:rFonts w:hint="default" w:ascii="Times New Roman" w:hAnsi="Times New Roman" w:cs="Times New Roman"/>
                      <w:color w:val="auto"/>
                      <w:vertAlign w:val="baseline"/>
                      <w:lang w:val="en-US" w:eastAsia="zh-CN"/>
                    </w:rPr>
                  </w:pPr>
                  <w:r>
                    <w:rPr>
                      <w:rFonts w:hint="eastAsia" w:ascii="Times New Roman" w:hAnsi="Times New Roman" w:cs="Times New Roman"/>
                      <w:color w:val="auto"/>
                      <w:sz w:val="21"/>
                      <w:szCs w:val="21"/>
                      <w:vertAlign w:val="baseline"/>
                      <w:lang w:val="en-US" w:eastAsia="zh-CN"/>
                    </w:rPr>
                    <w:t>本项目不属于</w:t>
                  </w:r>
                  <w:r>
                    <w:rPr>
                      <w:rFonts w:hint="eastAsia" w:ascii="Times New Roman" w:hAnsi="Times New Roman" w:cs="Times New Roman"/>
                      <w:color w:val="auto"/>
                      <w:sz w:val="21"/>
                      <w:szCs w:val="21"/>
                      <w:vertAlign w:val="baseline"/>
                      <w:lang w:eastAsia="zh-CN"/>
                    </w:rPr>
                    <w:t>陆地石油和天然气开采：全部；地下水（含矿泉水）开采：全部；水利、水电、交通等：含穿越可溶岩地层隧道的项目</w:t>
                  </w:r>
                </w:p>
              </w:tc>
              <w:tc>
                <w:tcPr>
                  <w:tcW w:w="1007" w:type="dxa"/>
                  <w:noWrap w:val="0"/>
                  <w:vAlign w:val="center"/>
                </w:tcPr>
                <w:p w14:paraId="1CEE3018">
                  <w:pPr>
                    <w:pStyle w:val="2"/>
                    <w:keepNext w:val="0"/>
                    <w:keepLines w:val="0"/>
                    <w:suppressLineNumbers w:val="0"/>
                    <w:spacing w:before="0" w:beforeAutospacing="0" w:after="0" w:afterAutospacing="0"/>
                    <w:ind w:left="0" w:right="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否</w:t>
                  </w:r>
                </w:p>
              </w:tc>
            </w:tr>
            <w:tr w14:paraId="7630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866" w:type="dxa"/>
                  <w:noWrap w:val="0"/>
                  <w:vAlign w:val="center"/>
                </w:tcPr>
                <w:p w14:paraId="2A3D5CB7">
                  <w:pPr>
                    <w:pStyle w:val="2"/>
                    <w:keepNext w:val="0"/>
                    <w:keepLines w:val="0"/>
                    <w:suppressLineNumbers w:val="0"/>
                    <w:spacing w:before="0" w:beforeAutospacing="0" w:after="0" w:afterAutospacing="0"/>
                    <w:ind w:left="0" w:right="0"/>
                    <w:jc w:val="center"/>
                    <w:rPr>
                      <w:rFonts w:hint="default" w:cs="Times New Roman"/>
                      <w:color w:val="auto"/>
                      <w:vertAlign w:val="baseline"/>
                      <w:lang w:val="en-US" w:eastAsia="zh-CN"/>
                    </w:rPr>
                  </w:pPr>
                  <w:r>
                    <w:rPr>
                      <w:rFonts w:hint="eastAsia" w:cs="Times New Roman"/>
                      <w:color w:val="auto"/>
                      <w:sz w:val="21"/>
                      <w:szCs w:val="21"/>
                      <w:vertAlign w:val="baseline"/>
                      <w:lang w:val="en-US" w:eastAsia="zh-CN"/>
                    </w:rPr>
                    <w:t>生态</w:t>
                  </w:r>
                </w:p>
              </w:tc>
              <w:tc>
                <w:tcPr>
                  <w:tcW w:w="2586" w:type="dxa"/>
                  <w:noWrap w:val="0"/>
                  <w:vAlign w:val="center"/>
                </w:tcPr>
                <w:p w14:paraId="3B2B6B4E">
                  <w:pPr>
                    <w:pStyle w:val="2"/>
                    <w:keepNext w:val="0"/>
                    <w:keepLines w:val="0"/>
                    <w:suppressLineNumbers w:val="0"/>
                    <w:spacing w:before="0" w:beforeAutospacing="0" w:after="0" w:afterAutospacing="0"/>
                    <w:ind w:left="0" w:right="0"/>
                    <w:jc w:val="center"/>
                    <w:rPr>
                      <w:rFonts w:hint="eastAsia" w:ascii="Times New Roman" w:hAnsi="Times New Roman" w:cs="Times New Roman"/>
                      <w:color w:val="auto"/>
                      <w:vertAlign w:val="baseline"/>
                      <w:lang w:eastAsia="zh-CN"/>
                    </w:rPr>
                  </w:pPr>
                  <w:r>
                    <w:rPr>
                      <w:rFonts w:hint="eastAsia" w:ascii="Times New Roman" w:hAnsi="Times New Roman" w:cs="Times New Roman"/>
                      <w:color w:val="auto"/>
                      <w:sz w:val="21"/>
                      <w:szCs w:val="21"/>
                      <w:vertAlign w:val="baseline"/>
                      <w:lang w:eastAsia="zh-CN"/>
                    </w:rPr>
                    <w:t>涉及环境敏感区（不包括饮用水水源保护区，以居住、医疗卫生、文化教育、科研、行政办公为主要功能的区域，以及文物保护单位）的项目</w:t>
                  </w:r>
                </w:p>
              </w:tc>
              <w:tc>
                <w:tcPr>
                  <w:tcW w:w="2450" w:type="dxa"/>
                  <w:noWrap w:val="0"/>
                  <w:vAlign w:val="center"/>
                </w:tcPr>
                <w:p w14:paraId="19E568A8">
                  <w:pPr>
                    <w:pStyle w:val="2"/>
                    <w:keepNext w:val="0"/>
                    <w:keepLines w:val="0"/>
                    <w:suppressLineNumbers w:val="0"/>
                    <w:spacing w:before="0" w:beforeAutospacing="0" w:after="0" w:afterAutospacing="0"/>
                    <w:ind w:left="0" w:right="0"/>
                    <w:jc w:val="center"/>
                    <w:rPr>
                      <w:rFonts w:hint="eastAsia" w:ascii="Times New Roman" w:hAnsi="Times New Roman" w:cs="Times New Roman"/>
                      <w:color w:val="auto"/>
                      <w:vertAlign w:val="baseline"/>
                      <w:lang w:eastAsia="zh-CN"/>
                    </w:rPr>
                  </w:pPr>
                  <w:r>
                    <w:rPr>
                      <w:rFonts w:hint="eastAsia" w:ascii="Times New Roman" w:hAnsi="Times New Roman" w:cs="Times New Roman"/>
                      <w:color w:val="auto"/>
                      <w:sz w:val="21"/>
                      <w:szCs w:val="21"/>
                      <w:vertAlign w:val="baseline"/>
                      <w:lang w:eastAsia="zh-CN"/>
                    </w:rPr>
                    <w:t>项目</w:t>
                  </w:r>
                  <w:r>
                    <w:rPr>
                      <w:rFonts w:hint="eastAsia" w:ascii="Times New Roman" w:hAnsi="Times New Roman" w:cs="Times New Roman"/>
                      <w:color w:val="auto"/>
                      <w:sz w:val="21"/>
                      <w:szCs w:val="21"/>
                      <w:vertAlign w:val="baseline"/>
                      <w:lang w:val="en-US" w:eastAsia="zh-CN"/>
                    </w:rPr>
                    <w:t>不</w:t>
                  </w:r>
                  <w:r>
                    <w:rPr>
                      <w:rFonts w:hint="eastAsia" w:ascii="Times New Roman" w:hAnsi="Times New Roman" w:cs="Times New Roman"/>
                      <w:color w:val="auto"/>
                      <w:sz w:val="21"/>
                      <w:szCs w:val="21"/>
                      <w:vertAlign w:val="baseline"/>
                      <w:lang w:eastAsia="zh-CN"/>
                    </w:rPr>
                    <w:t>涉及环境敏感区（不包括饮用水水源保护区，以居住、医疗卫生、文化教育、科研、行政办公为主要功能的区域，以及文物保护单位）的项目</w:t>
                  </w:r>
                </w:p>
              </w:tc>
              <w:tc>
                <w:tcPr>
                  <w:tcW w:w="1007" w:type="dxa"/>
                  <w:noWrap w:val="0"/>
                  <w:vAlign w:val="center"/>
                </w:tcPr>
                <w:p w14:paraId="0AAEF8CC">
                  <w:pPr>
                    <w:pStyle w:val="2"/>
                    <w:keepNext w:val="0"/>
                    <w:keepLines w:val="0"/>
                    <w:suppressLineNumbers w:val="0"/>
                    <w:spacing w:before="0" w:beforeAutospacing="0" w:after="0" w:afterAutospacing="0"/>
                    <w:ind w:left="0" w:right="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否</w:t>
                  </w:r>
                </w:p>
              </w:tc>
            </w:tr>
            <w:tr w14:paraId="0952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21" w:hRule="atLeast"/>
              </w:trPr>
              <w:tc>
                <w:tcPr>
                  <w:tcW w:w="866" w:type="dxa"/>
                  <w:noWrap w:val="0"/>
                  <w:vAlign w:val="center"/>
                </w:tcPr>
                <w:p w14:paraId="4B7B335A">
                  <w:pPr>
                    <w:pStyle w:val="2"/>
                    <w:keepNext w:val="0"/>
                    <w:keepLines w:val="0"/>
                    <w:suppressLineNumbers w:val="0"/>
                    <w:spacing w:before="0" w:beforeAutospacing="0" w:after="0" w:afterAutospacing="0"/>
                    <w:ind w:left="0" w:right="0"/>
                    <w:jc w:val="center"/>
                    <w:rPr>
                      <w:rFonts w:hint="eastAsia" w:cs="Times New Roman"/>
                      <w:color w:val="auto"/>
                      <w:vertAlign w:val="baseline"/>
                      <w:lang w:eastAsia="zh-CN"/>
                    </w:rPr>
                  </w:pPr>
                  <w:r>
                    <w:rPr>
                      <w:rFonts w:hint="eastAsia" w:cs="Times New Roman"/>
                      <w:color w:val="auto"/>
                      <w:sz w:val="21"/>
                      <w:szCs w:val="21"/>
                      <w:vertAlign w:val="baseline"/>
                      <w:lang w:val="en-US" w:eastAsia="zh-CN"/>
                    </w:rPr>
                    <w:t>大气</w:t>
                  </w:r>
                </w:p>
              </w:tc>
              <w:tc>
                <w:tcPr>
                  <w:tcW w:w="2586" w:type="dxa"/>
                  <w:noWrap w:val="0"/>
                  <w:vAlign w:val="center"/>
                </w:tcPr>
                <w:p w14:paraId="6B2C5B37">
                  <w:pPr>
                    <w:pStyle w:val="2"/>
                    <w:keepNext w:val="0"/>
                    <w:keepLines w:val="0"/>
                    <w:suppressLineNumbers w:val="0"/>
                    <w:spacing w:before="0" w:beforeAutospacing="0" w:after="0" w:afterAutospacing="0"/>
                    <w:ind w:left="0" w:right="0"/>
                    <w:jc w:val="center"/>
                    <w:rPr>
                      <w:rFonts w:hint="eastAsia" w:ascii="Times New Roman" w:hAnsi="Times New Roman" w:cs="Times New Roman"/>
                      <w:color w:val="auto"/>
                      <w:vertAlign w:val="baseline"/>
                      <w:lang w:eastAsia="zh-CN"/>
                    </w:rPr>
                  </w:pPr>
                  <w:r>
                    <w:rPr>
                      <w:rFonts w:hint="eastAsia" w:ascii="Times New Roman" w:hAnsi="Times New Roman" w:cs="Times New Roman"/>
                      <w:color w:val="auto"/>
                      <w:sz w:val="21"/>
                      <w:szCs w:val="21"/>
                      <w:vertAlign w:val="baseline"/>
                      <w:lang w:eastAsia="zh-CN"/>
                    </w:rPr>
                    <w:t>油气、液体化工码头：全部；干散货（含煤炭、矿石）、件杂、多用途、通用码头：涉及粉尘、挥发性有机物排放的项目</w:t>
                  </w:r>
                </w:p>
              </w:tc>
              <w:tc>
                <w:tcPr>
                  <w:tcW w:w="2450" w:type="dxa"/>
                  <w:noWrap w:val="0"/>
                  <w:vAlign w:val="center"/>
                </w:tcPr>
                <w:p w14:paraId="6AB7BA44">
                  <w:pPr>
                    <w:pStyle w:val="2"/>
                    <w:keepNext w:val="0"/>
                    <w:keepLines w:val="0"/>
                    <w:suppressLineNumbers w:val="0"/>
                    <w:spacing w:before="0" w:beforeAutospacing="0" w:after="0" w:afterAutospacing="0"/>
                    <w:ind w:left="0" w:right="0"/>
                    <w:jc w:val="center"/>
                    <w:rPr>
                      <w:rFonts w:hint="eastAsia" w:ascii="Times New Roman" w:hAnsi="Times New Roman" w:cs="Times New Roman"/>
                      <w:color w:val="auto"/>
                      <w:vertAlign w:val="baseline"/>
                      <w:lang w:eastAsia="zh-CN"/>
                    </w:rPr>
                  </w:pPr>
                  <w:r>
                    <w:rPr>
                      <w:rFonts w:hint="eastAsia" w:ascii="Times New Roman" w:hAnsi="Times New Roman" w:cs="Times New Roman"/>
                      <w:color w:val="auto"/>
                      <w:sz w:val="21"/>
                      <w:szCs w:val="21"/>
                      <w:vertAlign w:val="baseline"/>
                      <w:lang w:val="en-US" w:eastAsia="zh-CN"/>
                    </w:rPr>
                    <w:t>项目不属于</w:t>
                  </w:r>
                  <w:r>
                    <w:rPr>
                      <w:rFonts w:hint="eastAsia" w:ascii="Times New Roman" w:hAnsi="Times New Roman" w:cs="Times New Roman"/>
                      <w:color w:val="auto"/>
                      <w:sz w:val="21"/>
                      <w:szCs w:val="21"/>
                      <w:vertAlign w:val="baseline"/>
                      <w:lang w:eastAsia="zh-CN"/>
                    </w:rPr>
                    <w:t>油气、液体化工码头：全部；干散货（含煤炭、矿石）、件杂、多用途、通用码头：涉及粉尘、挥发性有机物排放的项目</w:t>
                  </w:r>
                </w:p>
              </w:tc>
              <w:tc>
                <w:tcPr>
                  <w:tcW w:w="1007" w:type="dxa"/>
                  <w:noWrap w:val="0"/>
                  <w:vAlign w:val="center"/>
                </w:tcPr>
                <w:p w14:paraId="221393C5">
                  <w:pPr>
                    <w:pStyle w:val="2"/>
                    <w:keepNext w:val="0"/>
                    <w:keepLines w:val="0"/>
                    <w:suppressLineNumbers w:val="0"/>
                    <w:spacing w:before="0" w:beforeAutospacing="0" w:after="0" w:afterAutospacing="0"/>
                    <w:ind w:left="0" w:right="0"/>
                    <w:jc w:val="center"/>
                    <w:rPr>
                      <w:rFonts w:hint="default" w:cs="Times New Roman"/>
                      <w:color w:val="auto"/>
                      <w:vertAlign w:val="baseline"/>
                      <w:lang w:val="en-US" w:eastAsia="zh-CN"/>
                    </w:rPr>
                  </w:pPr>
                  <w:r>
                    <w:rPr>
                      <w:rFonts w:hint="eastAsia" w:cs="Times New Roman"/>
                      <w:color w:val="auto"/>
                      <w:sz w:val="21"/>
                      <w:szCs w:val="21"/>
                      <w:vertAlign w:val="baseline"/>
                      <w:lang w:val="en-US" w:eastAsia="zh-CN"/>
                    </w:rPr>
                    <w:t>否</w:t>
                  </w:r>
                </w:p>
              </w:tc>
            </w:tr>
            <w:tr w14:paraId="2C2E5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noWrap w:val="0"/>
                  <w:vAlign w:val="center"/>
                </w:tcPr>
                <w:p w14:paraId="62E8FA10">
                  <w:pPr>
                    <w:pStyle w:val="2"/>
                    <w:keepNext w:val="0"/>
                    <w:keepLines w:val="0"/>
                    <w:suppressLineNumbers w:val="0"/>
                    <w:spacing w:before="0" w:beforeAutospacing="0" w:after="0" w:afterAutospacing="0"/>
                    <w:ind w:left="0" w:right="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噪声</w:t>
                  </w:r>
                </w:p>
              </w:tc>
              <w:tc>
                <w:tcPr>
                  <w:tcW w:w="2586" w:type="dxa"/>
                  <w:noWrap w:val="0"/>
                  <w:vAlign w:val="center"/>
                </w:tcPr>
                <w:p w14:paraId="6462ED72">
                  <w:pPr>
                    <w:pStyle w:val="2"/>
                    <w:keepNext w:val="0"/>
                    <w:keepLines w:val="0"/>
                    <w:suppressLineNumbers w:val="0"/>
                    <w:spacing w:before="0" w:beforeAutospacing="0" w:after="0" w:afterAutospacing="0"/>
                    <w:ind w:left="0" w:right="0"/>
                    <w:jc w:val="center"/>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公路、铁路、机场等交通运输业涉及环境敏感区（以居住、医疗卫生、文化教育、科研、行政办公为主要功能的区域）的项目；城市道路（不含维护，不含支路、人行天桥、人行地道）：全部</w:t>
                  </w:r>
                </w:p>
              </w:tc>
              <w:tc>
                <w:tcPr>
                  <w:tcW w:w="2450" w:type="dxa"/>
                  <w:noWrap w:val="0"/>
                  <w:vAlign w:val="center"/>
                </w:tcPr>
                <w:p w14:paraId="52072185">
                  <w:pPr>
                    <w:pStyle w:val="2"/>
                    <w:keepNext w:val="0"/>
                    <w:keepLines w:val="0"/>
                    <w:suppressLineNumbers w:val="0"/>
                    <w:spacing w:before="0" w:beforeAutospacing="0" w:after="0" w:afterAutospacing="0"/>
                    <w:ind w:left="0" w:right="0"/>
                    <w:jc w:val="center"/>
                    <w:rPr>
                      <w:rFonts w:hint="eastAsia" w:cs="Times New Roman"/>
                      <w:color w:val="auto"/>
                      <w:sz w:val="21"/>
                      <w:szCs w:val="21"/>
                      <w:vertAlign w:val="baseline"/>
                      <w:lang w:eastAsia="zh-CN"/>
                    </w:rPr>
                  </w:pPr>
                  <w:r>
                    <w:rPr>
                      <w:rFonts w:hint="eastAsia" w:cs="Times New Roman"/>
                      <w:color w:val="auto"/>
                      <w:sz w:val="21"/>
                      <w:szCs w:val="21"/>
                      <w:vertAlign w:val="baseline"/>
                      <w:lang w:val="en-US" w:eastAsia="zh-CN"/>
                    </w:rPr>
                    <w:t>项目不属于</w:t>
                  </w:r>
                  <w:r>
                    <w:rPr>
                      <w:rFonts w:hint="eastAsia" w:cs="Times New Roman"/>
                      <w:color w:val="auto"/>
                      <w:sz w:val="21"/>
                      <w:szCs w:val="21"/>
                      <w:vertAlign w:val="baseline"/>
                      <w:lang w:eastAsia="zh-CN"/>
                    </w:rPr>
                    <w:t>公路、铁路、机场等交通运输业涉及环境敏感区（以居住、医疗卫生、文化教育、科研、行政办公为主要功能的区域）的</w:t>
                  </w:r>
                  <w:r>
                    <w:rPr>
                      <w:rFonts w:hint="eastAsia" w:cs="Times New Roman"/>
                      <w:color w:val="auto"/>
                      <w:sz w:val="21"/>
                      <w:szCs w:val="21"/>
                      <w:vertAlign w:val="baseline"/>
                      <w:lang w:val="en-US" w:eastAsia="zh-CN"/>
                    </w:rPr>
                    <w:t>项</w:t>
                  </w:r>
                  <w:r>
                    <w:rPr>
                      <w:rFonts w:hint="eastAsia" w:cs="Times New Roman"/>
                      <w:color w:val="auto"/>
                      <w:sz w:val="21"/>
                      <w:szCs w:val="21"/>
                      <w:vertAlign w:val="baseline"/>
                      <w:lang w:eastAsia="zh-CN"/>
                    </w:rPr>
                    <w:t>目；城市道路（不含维护，不含支路、人行天桥、人行地道）：全部</w:t>
                  </w:r>
                </w:p>
              </w:tc>
              <w:tc>
                <w:tcPr>
                  <w:tcW w:w="1007" w:type="dxa"/>
                  <w:noWrap w:val="0"/>
                  <w:vAlign w:val="center"/>
                </w:tcPr>
                <w:p w14:paraId="46458A7E">
                  <w:pPr>
                    <w:pStyle w:val="2"/>
                    <w:keepNext w:val="0"/>
                    <w:keepLines w:val="0"/>
                    <w:suppressLineNumbers w:val="0"/>
                    <w:spacing w:before="0" w:beforeAutospacing="0" w:after="0" w:afterAutospacing="0"/>
                    <w:ind w:left="0" w:right="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否</w:t>
                  </w:r>
                </w:p>
              </w:tc>
            </w:tr>
            <w:tr w14:paraId="31722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noWrap w:val="0"/>
                  <w:vAlign w:val="center"/>
                </w:tcPr>
                <w:p w14:paraId="58C6CCAA">
                  <w:pPr>
                    <w:pStyle w:val="2"/>
                    <w:keepNext w:val="0"/>
                    <w:keepLines w:val="0"/>
                    <w:suppressLineNumbers w:val="0"/>
                    <w:spacing w:before="0" w:beforeAutospacing="0" w:after="0" w:afterAutospacing="0"/>
                    <w:ind w:left="0" w:right="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环境风险</w:t>
                  </w:r>
                </w:p>
              </w:tc>
              <w:tc>
                <w:tcPr>
                  <w:tcW w:w="2586" w:type="dxa"/>
                  <w:noWrap w:val="0"/>
                  <w:vAlign w:val="center"/>
                </w:tcPr>
                <w:p w14:paraId="76AE9C97">
                  <w:pPr>
                    <w:pStyle w:val="2"/>
                    <w:keepNext w:val="0"/>
                    <w:keepLines w:val="0"/>
                    <w:suppressLineNumbers w:val="0"/>
                    <w:spacing w:before="0" w:beforeAutospacing="0" w:after="0" w:afterAutospacing="0"/>
                    <w:ind w:left="0" w:right="0"/>
                    <w:jc w:val="center"/>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石油和天然气开采：全部；</w:t>
                  </w:r>
                </w:p>
                <w:p w14:paraId="51CE8128">
                  <w:pPr>
                    <w:pStyle w:val="2"/>
                    <w:keepNext w:val="0"/>
                    <w:keepLines w:val="0"/>
                    <w:suppressLineNumbers w:val="0"/>
                    <w:spacing w:before="0" w:beforeAutospacing="0" w:after="0" w:afterAutospacing="0"/>
                    <w:ind w:left="0" w:right="0"/>
                    <w:jc w:val="center"/>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油气、液体化工码头：全部；原油、成品油、天然气管线（不含城镇天然气管线、企业厂区内管线），危险化学品输送管线（不含企业厂区内管线）：全部</w:t>
                  </w:r>
                </w:p>
              </w:tc>
              <w:tc>
                <w:tcPr>
                  <w:tcW w:w="2450" w:type="dxa"/>
                  <w:noWrap w:val="0"/>
                  <w:vAlign w:val="center"/>
                </w:tcPr>
                <w:p w14:paraId="34138419">
                  <w:pPr>
                    <w:pStyle w:val="2"/>
                    <w:keepNext w:val="0"/>
                    <w:keepLines w:val="0"/>
                    <w:suppressLineNumbers w:val="0"/>
                    <w:spacing w:before="0" w:beforeAutospacing="0" w:after="0" w:afterAutospacing="0"/>
                    <w:ind w:left="0" w:right="0"/>
                    <w:jc w:val="center"/>
                    <w:rPr>
                      <w:rFonts w:hint="eastAsia" w:cs="Times New Roman"/>
                      <w:color w:val="auto"/>
                      <w:sz w:val="21"/>
                      <w:szCs w:val="21"/>
                      <w:vertAlign w:val="baseline"/>
                      <w:lang w:eastAsia="zh-CN"/>
                    </w:rPr>
                  </w:pPr>
                  <w:r>
                    <w:rPr>
                      <w:rFonts w:hint="eastAsia" w:cs="Times New Roman"/>
                      <w:color w:val="auto"/>
                      <w:sz w:val="21"/>
                      <w:szCs w:val="21"/>
                      <w:vertAlign w:val="baseline"/>
                      <w:lang w:val="en-US" w:eastAsia="zh-CN"/>
                    </w:rPr>
                    <w:t>项目不属于</w:t>
                  </w:r>
                  <w:r>
                    <w:rPr>
                      <w:rFonts w:hint="eastAsia" w:cs="Times New Roman"/>
                      <w:color w:val="auto"/>
                      <w:sz w:val="21"/>
                      <w:szCs w:val="21"/>
                      <w:vertAlign w:val="baseline"/>
                      <w:lang w:eastAsia="zh-CN"/>
                    </w:rPr>
                    <w:t>石油和天然气开采：全部；油气、液体化工码头：全部；原油、成品油、天然气管线（不含城镇天然气管线、企业厂区内管线），危险化学品输送管线（不含企业厂区内管线）：全部</w:t>
                  </w:r>
                </w:p>
              </w:tc>
              <w:tc>
                <w:tcPr>
                  <w:tcW w:w="1007" w:type="dxa"/>
                  <w:noWrap w:val="0"/>
                  <w:vAlign w:val="center"/>
                </w:tcPr>
                <w:p w14:paraId="484C0854">
                  <w:pPr>
                    <w:pStyle w:val="2"/>
                    <w:keepNext w:val="0"/>
                    <w:keepLines w:val="0"/>
                    <w:suppressLineNumbers w:val="0"/>
                    <w:spacing w:before="0" w:beforeAutospacing="0" w:after="0" w:afterAutospacing="0"/>
                    <w:ind w:left="0" w:right="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否</w:t>
                  </w:r>
                </w:p>
              </w:tc>
            </w:tr>
            <w:tr w14:paraId="416B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9" w:type="dxa"/>
                  <w:gridSpan w:val="4"/>
                  <w:noWrap w:val="0"/>
                  <w:vAlign w:val="center"/>
                </w:tcPr>
                <w:p w14:paraId="51B14FF3">
                  <w:pPr>
                    <w:pStyle w:val="2"/>
                    <w:keepNext w:val="0"/>
                    <w:keepLines w:val="0"/>
                    <w:suppressLineNumbers w:val="0"/>
                    <w:spacing w:before="0" w:beforeAutospacing="0" w:after="0" w:afterAutospacing="0"/>
                    <w:ind w:left="0" w:right="0" w:firstLine="420" w:firstLineChars="200"/>
                    <w:jc w:val="center"/>
                    <w:rPr>
                      <w:rFonts w:hint="eastAsia" w:cs="Times New Roman"/>
                      <w:color w:val="auto"/>
                      <w:vertAlign w:val="baseline"/>
                      <w:lang w:eastAsia="zh-CN"/>
                    </w:rPr>
                  </w:pPr>
                  <w:r>
                    <w:rPr>
                      <w:rFonts w:hint="eastAsia" w:ascii="Times New Roman" w:hAnsi="Times New Roman" w:cs="Times New Roman"/>
                      <w:color w:val="auto"/>
                      <w:sz w:val="21"/>
                      <w:szCs w:val="21"/>
                      <w:vertAlign w:val="baseline"/>
                      <w:lang w:eastAsia="zh-CN"/>
                    </w:rPr>
                    <w:t>注：“涉及环境敏感区”是指建设项目位于、穿（跨）越（无害化通过的除外）环境敏感区，或环境影响范围涵盖环境敏感区。环境敏感区是指《建设项目环境影响评价分类管理名录》中针对该类项目所列的敏感区。</w:t>
                  </w:r>
                </w:p>
              </w:tc>
            </w:tr>
          </w:tbl>
          <w:p w14:paraId="2FBEE05F">
            <w:pPr>
              <w:pStyle w:val="2"/>
              <w:keepNext w:val="0"/>
              <w:keepLines w:val="0"/>
              <w:suppressLineNumbers w:val="0"/>
              <w:spacing w:before="0" w:beforeAutospacing="0" w:after="0" w:afterAutospacing="0"/>
              <w:ind w:left="0" w:right="0"/>
              <w:rPr>
                <w:rFonts w:hint="eastAsia" w:cs="Times New Roman"/>
                <w:color w:val="auto"/>
                <w:lang w:eastAsia="zh-CN"/>
              </w:rPr>
            </w:pPr>
          </w:p>
        </w:tc>
      </w:tr>
      <w:tr w14:paraId="4465CF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56" w:type="dxa"/>
            <w:noWrap w:val="0"/>
            <w:vAlign w:val="center"/>
          </w:tcPr>
          <w:p w14:paraId="0248CAAD">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kern w:val="0"/>
                <w:sz w:val="24"/>
              </w:rPr>
            </w:pPr>
            <w:r>
              <w:rPr>
                <w:rFonts w:hint="default" w:ascii="Times New Roman" w:hAnsi="Times New Roman" w:cs="Times New Roman"/>
                <w:color w:val="auto"/>
                <w:sz w:val="24"/>
              </w:rPr>
              <w:t>规划情况</w:t>
            </w:r>
          </w:p>
        </w:tc>
        <w:tc>
          <w:tcPr>
            <w:tcW w:w="7135" w:type="dxa"/>
            <w:gridSpan w:val="3"/>
            <w:noWrap w:val="0"/>
            <w:vAlign w:val="center"/>
          </w:tcPr>
          <w:p w14:paraId="5CEF79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b w:val="0"/>
                <w:bCs w:val="0"/>
                <w:color w:val="auto"/>
                <w:kern w:val="0"/>
                <w:sz w:val="24"/>
                <w:highlight w:val="yellow"/>
              </w:rPr>
            </w:pPr>
            <w:r>
              <w:rPr>
                <w:rFonts w:hint="eastAsia" w:ascii="宋体" w:hAnsi="宋体" w:cs="宋体"/>
                <w:b w:val="0"/>
                <w:bCs w:val="0"/>
                <w:color w:val="auto"/>
                <w:kern w:val="0"/>
                <w:sz w:val="24"/>
                <w:lang w:bidi="ar"/>
              </w:rPr>
              <w:t>无</w:t>
            </w:r>
          </w:p>
        </w:tc>
      </w:tr>
      <w:tr w14:paraId="6DEFED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56" w:type="dxa"/>
            <w:noWrap w:val="0"/>
            <w:vAlign w:val="center"/>
          </w:tcPr>
          <w:p w14:paraId="0676D76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规划环境影响</w:t>
            </w:r>
          </w:p>
          <w:p w14:paraId="4E9CD9D2">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4"/>
              </w:rPr>
            </w:pPr>
            <w:r>
              <w:rPr>
                <w:rFonts w:hint="default" w:ascii="Times New Roman" w:hAnsi="Times New Roman" w:cs="Times New Roman"/>
                <w:color w:val="auto"/>
                <w:sz w:val="24"/>
              </w:rPr>
              <w:t>评价情况</w:t>
            </w:r>
          </w:p>
        </w:tc>
        <w:tc>
          <w:tcPr>
            <w:tcW w:w="7135" w:type="dxa"/>
            <w:gridSpan w:val="3"/>
            <w:noWrap w:val="0"/>
            <w:vAlign w:val="center"/>
          </w:tcPr>
          <w:p w14:paraId="064D8D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b w:val="0"/>
                <w:bCs w:val="0"/>
                <w:color w:val="auto"/>
                <w:kern w:val="0"/>
                <w:sz w:val="24"/>
                <w:highlight w:val="yellow"/>
              </w:rPr>
            </w:pPr>
            <w:r>
              <w:rPr>
                <w:rFonts w:hint="eastAsia" w:ascii="宋体" w:hAnsi="宋体" w:cs="宋体"/>
                <w:b w:val="0"/>
                <w:bCs w:val="0"/>
                <w:color w:val="auto"/>
                <w:kern w:val="0"/>
                <w:sz w:val="24"/>
                <w:lang w:bidi="ar"/>
              </w:rPr>
              <w:t>无</w:t>
            </w:r>
          </w:p>
        </w:tc>
      </w:tr>
      <w:tr w14:paraId="663121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56" w:type="dxa"/>
            <w:noWrap w:val="0"/>
            <w:vAlign w:val="center"/>
          </w:tcPr>
          <w:p w14:paraId="6C7BDCCD">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规划及规划环境影响评价符合性分析</w:t>
            </w:r>
          </w:p>
        </w:tc>
        <w:tc>
          <w:tcPr>
            <w:tcW w:w="7135" w:type="dxa"/>
            <w:gridSpan w:val="3"/>
            <w:noWrap w:val="0"/>
            <w:vAlign w:val="center"/>
          </w:tcPr>
          <w:p w14:paraId="266BFF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Times New Roman" w:hAnsi="Times New Roman" w:cs="Times New Roman"/>
                <w:b w:val="0"/>
                <w:bCs w:val="0"/>
                <w:color w:val="auto"/>
                <w:kern w:val="0"/>
                <w:sz w:val="24"/>
              </w:rPr>
            </w:pPr>
            <w:r>
              <w:rPr>
                <w:rFonts w:hint="eastAsia" w:ascii="宋体" w:hAnsi="宋体" w:cs="宋体"/>
                <w:b w:val="0"/>
                <w:bCs w:val="0"/>
                <w:color w:val="auto"/>
                <w:kern w:val="0"/>
                <w:sz w:val="24"/>
                <w:lang w:bidi="ar"/>
              </w:rPr>
              <w:t>/</w:t>
            </w:r>
          </w:p>
        </w:tc>
      </w:tr>
      <w:tr w14:paraId="3DC3BA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11" w:hRule="atLeast"/>
          <w:jc w:val="center"/>
        </w:trPr>
        <w:tc>
          <w:tcPr>
            <w:tcW w:w="1856" w:type="dxa"/>
            <w:noWrap w:val="0"/>
            <w:vAlign w:val="center"/>
          </w:tcPr>
          <w:p w14:paraId="0867717C">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其他符合性分析</w:t>
            </w:r>
          </w:p>
        </w:tc>
        <w:tc>
          <w:tcPr>
            <w:tcW w:w="7135" w:type="dxa"/>
            <w:gridSpan w:val="3"/>
            <w:noWrap w:val="0"/>
            <w:vAlign w:val="center"/>
          </w:tcPr>
          <w:p w14:paraId="7F607632">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jc w:val="both"/>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“三线一单”符合性分析</w:t>
            </w:r>
          </w:p>
          <w:p w14:paraId="1A62447C">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据</w:t>
            </w:r>
            <w:r>
              <w:rPr>
                <w:rFonts w:hint="eastAsia" w:ascii="Times New Roman" w:hAnsi="Times New Roman" w:cs="Times New Roman"/>
                <w:color w:val="auto"/>
                <w:sz w:val="24"/>
                <w:szCs w:val="24"/>
              </w:rPr>
              <w:t>云南省人民政府办公厅</w:t>
            </w:r>
            <w:r>
              <w:rPr>
                <w:rFonts w:hint="default" w:ascii="Times New Roman" w:hAnsi="Times New Roman" w:cs="Times New Roman"/>
                <w:color w:val="auto"/>
                <w:sz w:val="24"/>
                <w:szCs w:val="24"/>
              </w:rPr>
              <w:t>关于印发《</w:t>
            </w:r>
            <w:r>
              <w:rPr>
                <w:rFonts w:hint="eastAsia" w:ascii="Times New Roman" w:hAnsi="Times New Roman" w:cs="Times New Roman"/>
                <w:color w:val="auto"/>
                <w:sz w:val="24"/>
                <w:szCs w:val="24"/>
              </w:rPr>
              <w:t>云南省人民政府关于实施“三线一单”生态环境分区管控的意见》（云政发〔2020〕29号）</w:t>
            </w:r>
            <w:r>
              <w:rPr>
                <w:rFonts w:hint="eastAsia" w:ascii="Times New Roman" w:hAnsi="Times New Roman" w:cs="Times New Roman"/>
                <w:color w:val="auto"/>
                <w:sz w:val="24"/>
                <w:szCs w:val="24"/>
                <w:lang w:eastAsia="zh-CN"/>
              </w:rPr>
              <w:t>及《德宏州人民政府关于印发德宏州“三线一单”生态环境分区管控实施方案的通知》</w:t>
            </w:r>
            <w:r>
              <w:rPr>
                <w:rFonts w:hint="default" w:ascii="Times New Roman" w:hAnsi="Times New Roman" w:cs="Times New Roman"/>
                <w:color w:val="auto"/>
                <w:sz w:val="24"/>
                <w:szCs w:val="24"/>
              </w:rPr>
              <w:t>要求，</w:t>
            </w:r>
            <w:r>
              <w:rPr>
                <w:rFonts w:hint="eastAsia" w:ascii="Times New Roman" w:hAnsi="Times New Roman" w:cs="Times New Roman"/>
                <w:color w:val="auto"/>
                <w:sz w:val="24"/>
                <w:szCs w:val="24"/>
                <w:lang w:eastAsia="zh-CN"/>
              </w:rPr>
              <w:t>本</w:t>
            </w:r>
            <w:r>
              <w:rPr>
                <w:rFonts w:hint="default" w:ascii="Times New Roman" w:hAnsi="Times New Roman" w:cs="Times New Roman"/>
                <w:color w:val="auto"/>
                <w:sz w:val="24"/>
                <w:szCs w:val="24"/>
              </w:rPr>
              <w:t>项目与“三线一单”文件相符性见下表</w:t>
            </w:r>
            <w:r>
              <w:rPr>
                <w:rFonts w:hint="eastAsia" w:ascii="Times New Roman" w:hAnsi="Times New Roman" w:cs="Times New Roman"/>
                <w:color w:val="auto"/>
                <w:sz w:val="24"/>
                <w:szCs w:val="24"/>
                <w:lang w:eastAsia="zh-CN"/>
              </w:rPr>
              <w:t>。</w:t>
            </w:r>
          </w:p>
          <w:p w14:paraId="118D7D55">
            <w:pPr>
              <w:keepNext w:val="0"/>
              <w:keepLines w:val="0"/>
              <w:suppressLineNumbers w:val="0"/>
              <w:spacing w:before="0" w:beforeAutospacing="0" w:after="0" w:afterAutospacing="0"/>
              <w:ind w:left="0" w:right="0" w:firstLine="422"/>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eastAsia"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 xml:space="preserve">  项目与“三线一单”文件相符合性分析</w:t>
            </w:r>
          </w:p>
          <w:tbl>
            <w:tblPr>
              <w:tblStyle w:val="32"/>
              <w:tblW w:w="49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3413"/>
              <w:gridCol w:w="1829"/>
              <w:gridCol w:w="795"/>
            </w:tblGrid>
            <w:tr w14:paraId="6AF2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7" w:type="pct"/>
                  <w:gridSpan w:val="2"/>
                  <w:noWrap w:val="0"/>
                  <w:vAlign w:val="center"/>
                </w:tcPr>
                <w:p w14:paraId="7774D4F4">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具体要求</w:t>
                  </w:r>
                </w:p>
              </w:tc>
              <w:tc>
                <w:tcPr>
                  <w:tcW w:w="1332" w:type="pct"/>
                  <w:noWrap w:val="0"/>
                  <w:vAlign w:val="center"/>
                </w:tcPr>
                <w:p w14:paraId="0B6E4EA3">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本项目情况</w:t>
                  </w:r>
                </w:p>
              </w:tc>
              <w:tc>
                <w:tcPr>
                  <w:tcW w:w="579" w:type="pct"/>
                  <w:noWrap w:val="0"/>
                  <w:vAlign w:val="center"/>
                </w:tcPr>
                <w:p w14:paraId="4E560D84">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是否符合</w:t>
                  </w:r>
                </w:p>
              </w:tc>
            </w:tr>
            <w:tr w14:paraId="3B92E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 w:type="pct"/>
                  <w:vMerge w:val="restart"/>
                  <w:noWrap w:val="0"/>
                  <w:vAlign w:val="center"/>
                </w:tcPr>
                <w:p w14:paraId="56BA5A68">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生态保护红线</w:t>
                  </w:r>
                </w:p>
              </w:tc>
              <w:tc>
                <w:tcPr>
                  <w:tcW w:w="2485" w:type="pct"/>
                  <w:noWrap w:val="0"/>
                  <w:vAlign w:val="center"/>
                </w:tcPr>
                <w:p w14:paraId="12B5DB90">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lang w:eastAsia="zh-CN"/>
                    </w:rPr>
                  </w:pPr>
                  <w:r>
                    <w:rPr>
                      <w:rFonts w:hint="eastAsia" w:ascii="Times New Roman" w:hAnsi="Times New Roman" w:cs="Times New Roman"/>
                      <w:color w:val="auto"/>
                      <w:lang w:val="en-US" w:eastAsia="zh-CN"/>
                    </w:rPr>
                    <w:t>生态保护红线</w:t>
                  </w:r>
                  <w:r>
                    <w:rPr>
                      <w:rFonts w:hint="default" w:ascii="Times New Roman" w:hAnsi="Times New Roman" w:cs="Times New Roman"/>
                      <w:color w:val="auto"/>
                      <w:lang w:val="en-US" w:eastAsia="zh-CN"/>
                    </w:rPr>
                    <w:t>是生态空间范围内具有特殊重要生态功能必须实行强制性严格保护的区域。相关规划环评应将生态空间管控作为重要内容，规划区域涉及生态保护红线的管理要求，提出相应对策措施。在生态保护红线范围内，严格各类开发建设活动，依法不予审批新建工业项目和矿产开发项目的环评文件。</w:t>
                  </w:r>
                </w:p>
              </w:tc>
              <w:tc>
                <w:tcPr>
                  <w:tcW w:w="1332" w:type="pct"/>
                  <w:vMerge w:val="restart"/>
                  <w:noWrap w:val="0"/>
                  <w:vAlign w:val="center"/>
                </w:tcPr>
                <w:p w14:paraId="67F440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lang w:val="en-US" w:eastAsia="zh-CN"/>
                    </w:rPr>
                  </w:pPr>
                  <w:r>
                    <w:rPr>
                      <w:rFonts w:hint="eastAsia" w:ascii="Times New Roman" w:hAnsi="Times New Roman" w:eastAsia="宋体" w:cs="Times New Roman"/>
                      <w:color w:val="auto"/>
                      <w:lang w:val="en-US" w:eastAsia="zh-CN"/>
                    </w:rPr>
                    <w:t>芒市华盛金矿开发有限公司属于已有采矿权的企业，本次勘探在矿区范围内进行，根据芒市林业和草原局、芒市自然资源局出具的证明，该矿业不涉及芒市生态保护红线；不涉及芒市风景名胜区。（见附件5、6）</w:t>
                  </w:r>
                </w:p>
              </w:tc>
              <w:tc>
                <w:tcPr>
                  <w:tcW w:w="579" w:type="pct"/>
                  <w:vMerge w:val="restart"/>
                  <w:noWrap w:val="0"/>
                  <w:vAlign w:val="center"/>
                </w:tcPr>
                <w:p w14:paraId="0CB2BDAD">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4841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 w:type="pct"/>
                  <w:vMerge w:val="continue"/>
                  <w:noWrap w:val="0"/>
                  <w:vAlign w:val="center"/>
                </w:tcPr>
                <w:p w14:paraId="6788DA8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lang w:eastAsia="zh-CN"/>
                    </w:rPr>
                  </w:pPr>
                </w:p>
              </w:tc>
              <w:tc>
                <w:tcPr>
                  <w:tcW w:w="2485" w:type="pct"/>
                  <w:noWrap w:val="0"/>
                  <w:vAlign w:val="center"/>
                </w:tcPr>
                <w:p w14:paraId="2F1FF406">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德宏州生态保护红线执行《云南省人民政府关于发布云南省生态保护红线的通知》（云政发〔2018〕32号）要求，生态保护红线评估调整成果获批后，按照批准成果执行。将未划入生态保护红线的自然保护区、国家公园、森林公园、风景名胜区、湿地公园、重要湿地、集中式饮用水源地等生态功能重要区域、生态环境敏感区划入一般生态空间。</w:t>
                  </w:r>
                </w:p>
              </w:tc>
              <w:tc>
                <w:tcPr>
                  <w:tcW w:w="1332" w:type="pct"/>
                  <w:vMerge w:val="continue"/>
                  <w:noWrap w:val="0"/>
                  <w:vAlign w:val="center"/>
                </w:tcPr>
                <w:p w14:paraId="4EACED62">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color w:val="auto"/>
                      <w:lang w:val="en-US" w:eastAsia="zh-CN"/>
                    </w:rPr>
                  </w:pPr>
                </w:p>
              </w:tc>
              <w:tc>
                <w:tcPr>
                  <w:tcW w:w="579" w:type="pct"/>
                  <w:vMerge w:val="continue"/>
                  <w:noWrap w:val="0"/>
                  <w:vAlign w:val="center"/>
                </w:tcPr>
                <w:p w14:paraId="28D1C099">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lang w:val="en-US" w:eastAsia="zh-CN"/>
                    </w:rPr>
                  </w:pPr>
                </w:p>
              </w:tc>
            </w:tr>
            <w:tr w14:paraId="1B11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 w:type="pct"/>
                  <w:vMerge w:val="restart"/>
                  <w:noWrap w:val="0"/>
                  <w:vAlign w:val="center"/>
                </w:tcPr>
                <w:p w14:paraId="62DBDCA9">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环境质量底线</w:t>
                  </w:r>
                </w:p>
              </w:tc>
              <w:tc>
                <w:tcPr>
                  <w:tcW w:w="2485" w:type="pct"/>
                  <w:noWrap w:val="0"/>
                  <w:vAlign w:val="center"/>
                </w:tcPr>
                <w:p w14:paraId="56E65809">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1332" w:type="pct"/>
                  <w:vMerge w:val="restart"/>
                  <w:noWrap w:val="0"/>
                  <w:vAlign w:val="center"/>
                </w:tcPr>
                <w:p w14:paraId="25F2A1AA">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根据区域环境质量状况，</w:t>
                  </w:r>
                  <w:r>
                    <w:rPr>
                      <w:rFonts w:hint="eastAsia" w:ascii="Times New Roman" w:hAnsi="Times New Roman" w:eastAsia="宋体" w:cs="Times New Roman"/>
                      <w:color w:val="auto"/>
                      <w:lang w:val="en-US" w:eastAsia="zh-CN"/>
                    </w:rPr>
                    <w:t>水环境、</w:t>
                  </w:r>
                  <w:r>
                    <w:rPr>
                      <w:rFonts w:hint="default" w:ascii="Times New Roman" w:hAnsi="Times New Roman" w:eastAsia="宋体" w:cs="Times New Roman"/>
                      <w:color w:val="auto"/>
                      <w:lang w:val="en-US" w:eastAsia="zh-CN"/>
                    </w:rPr>
                    <w:t>环境空气、</w:t>
                  </w:r>
                  <w:r>
                    <w:rPr>
                      <w:rFonts w:hint="eastAsia" w:ascii="Times New Roman" w:hAnsi="Times New Roman" w:eastAsia="宋体" w:cs="Times New Roman"/>
                      <w:color w:val="auto"/>
                      <w:lang w:val="en-US" w:eastAsia="zh-CN"/>
                    </w:rPr>
                    <w:t>土壤</w:t>
                  </w:r>
                  <w:r>
                    <w:rPr>
                      <w:rFonts w:hint="default" w:ascii="Times New Roman" w:hAnsi="Times New Roman" w:eastAsia="宋体" w:cs="Times New Roman"/>
                      <w:color w:val="auto"/>
                      <w:lang w:val="en-US" w:eastAsia="zh-CN"/>
                    </w:rPr>
                    <w:t>环境质量均能够满足相应的质量标准要求；本项目污染物均采取有效的治理措施后，</w:t>
                  </w:r>
                  <w:r>
                    <w:rPr>
                      <w:rFonts w:hint="eastAsia" w:ascii="Times New Roman" w:hAnsi="Times New Roman" w:eastAsia="宋体" w:cs="Times New Roman"/>
                      <w:color w:val="auto"/>
                      <w:lang w:val="en-US" w:eastAsia="zh-CN"/>
                    </w:rPr>
                    <w:t>污染物排放量不大，</w:t>
                  </w:r>
                  <w:r>
                    <w:rPr>
                      <w:rFonts w:hint="default" w:ascii="Times New Roman" w:hAnsi="Times New Roman" w:eastAsia="宋体" w:cs="Times New Roman"/>
                      <w:color w:val="auto"/>
                      <w:lang w:val="en-US" w:eastAsia="zh-CN"/>
                    </w:rPr>
                    <w:t>对周围环境影响不大，不触及</w:t>
                  </w:r>
                  <w:r>
                    <w:rPr>
                      <w:rFonts w:hint="eastAsia" w:ascii="Times New Roman" w:hAnsi="Times New Roman" w:eastAsia="宋体" w:cs="Times New Roman"/>
                      <w:color w:val="auto"/>
                      <w:lang w:val="en-US" w:eastAsia="zh-CN"/>
                    </w:rPr>
                    <w:t>德宏州</w:t>
                  </w:r>
                  <w:r>
                    <w:rPr>
                      <w:rFonts w:hint="default" w:ascii="Times New Roman" w:hAnsi="Times New Roman" w:eastAsia="宋体" w:cs="Times New Roman"/>
                      <w:color w:val="auto"/>
                      <w:lang w:val="en-US" w:eastAsia="zh-CN"/>
                    </w:rPr>
                    <w:t>环境质量底线。</w:t>
                  </w:r>
                  <w:r>
                    <w:rPr>
                      <w:rFonts w:hint="eastAsia" w:ascii="Times New Roman" w:hAnsi="Times New Roman" w:eastAsia="宋体" w:cs="Times New Roman"/>
                      <w:color w:val="auto"/>
                      <w:lang w:val="en-US" w:eastAsia="zh-CN"/>
                    </w:rPr>
                    <w:t>本项目属于《环境影响评价技术导则土壤环境（试行）》附录A中“其他行业”，属于Ⅳ类项目，本项目所涉及为山地，不涉及受污染耕地和污染地块。且本项目为陆地矿产资源地址勘查，不涉及新增土地。对环境的主要影响为勘探作业期，本项目的勘探施工时间为 2</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个月，影响时间较</w:t>
                  </w:r>
                </w:p>
                <w:p w14:paraId="52893DD7">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为短暂，且环境影</w:t>
                  </w:r>
                </w:p>
                <w:p w14:paraId="02FB222C">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响随勘探结束而</w:t>
                  </w:r>
                </w:p>
                <w:p w14:paraId="10200C66">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rPr>
                  </w:pPr>
                  <w:r>
                    <w:rPr>
                      <w:rFonts w:hint="eastAsia" w:ascii="Times New Roman" w:hAnsi="Times New Roman" w:eastAsia="宋体" w:cs="Times New Roman"/>
                      <w:color w:val="auto"/>
                      <w:lang w:val="en-US" w:eastAsia="zh-CN"/>
                    </w:rPr>
                    <w:t>结束，对土壤环境影响较小，</w:t>
                  </w:r>
                  <w:r>
                    <w:rPr>
                      <w:rFonts w:hint="default" w:ascii="Times New Roman" w:hAnsi="Times New Roman" w:eastAsia="宋体" w:cs="Times New Roman"/>
                      <w:color w:val="auto"/>
                      <w:lang w:val="en-US" w:eastAsia="zh-CN"/>
                    </w:rPr>
                    <w:t>符合土壤环境风险防控底线</w:t>
                  </w:r>
                  <w:r>
                    <w:rPr>
                      <w:rFonts w:hint="eastAsia" w:ascii="Times New Roman" w:hAnsi="Times New Roman" w:eastAsia="宋体" w:cs="Times New Roman"/>
                      <w:color w:val="auto"/>
                      <w:lang w:val="en-US" w:eastAsia="zh-CN"/>
                    </w:rPr>
                    <w:t>。</w:t>
                  </w:r>
                </w:p>
              </w:tc>
              <w:tc>
                <w:tcPr>
                  <w:tcW w:w="579" w:type="pct"/>
                  <w:vMerge w:val="restart"/>
                  <w:noWrap w:val="0"/>
                  <w:vAlign w:val="center"/>
                </w:tcPr>
                <w:p w14:paraId="0AB2F120">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6D82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 w:type="pct"/>
                  <w:vMerge w:val="continue"/>
                  <w:noWrap w:val="0"/>
                  <w:vAlign w:val="center"/>
                </w:tcPr>
                <w:p w14:paraId="5480D6EC">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color w:val="auto"/>
                      <w:lang w:val="en-US" w:eastAsia="zh-CN"/>
                    </w:rPr>
                  </w:pPr>
                </w:p>
              </w:tc>
              <w:tc>
                <w:tcPr>
                  <w:tcW w:w="2485" w:type="pct"/>
                  <w:noWrap w:val="0"/>
                  <w:vAlign w:val="center"/>
                </w:tcPr>
                <w:p w14:paraId="6BAB1CBC">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1、水环境质量底线。到2025年，全州水环境质量总体优良，2035年，全州水环境质量持续优良，水生生态系统全面提升，实现“人水和谐”。</w:t>
                  </w:r>
                </w:p>
                <w:p w14:paraId="413378C2">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2、大气环境质量底线。到2025年，全州空气质量优良率达到省级要求。中心城市环境质量达到国家二级标准。2035年，全州空气质量优良率保持稳定，中心城市、各县市城市环境空气质量稳定达到国家二级标准。</w:t>
                  </w:r>
                </w:p>
                <w:p w14:paraId="661C1788">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土壤环境风险防控底线。到2025年，全州土壤环境质量保持优异，受污染耕地安全利用率达到85%以上，受污染建设用地地块安全利用率达到95%以上。到2035年，全州土壤环境风险防范体系全面建立，土壤环境风险得到全面管控。</w:t>
                  </w:r>
                </w:p>
              </w:tc>
              <w:tc>
                <w:tcPr>
                  <w:tcW w:w="1332" w:type="pct"/>
                  <w:vMerge w:val="continue"/>
                  <w:noWrap w:val="0"/>
                  <w:vAlign w:val="center"/>
                </w:tcPr>
                <w:p w14:paraId="193F9FF5">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rPr>
                  </w:pPr>
                </w:p>
              </w:tc>
              <w:tc>
                <w:tcPr>
                  <w:tcW w:w="579" w:type="pct"/>
                  <w:vMerge w:val="continue"/>
                  <w:noWrap w:val="0"/>
                  <w:vAlign w:val="center"/>
                </w:tcPr>
                <w:p w14:paraId="6CBFE7BE">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lang w:val="en-US" w:eastAsia="zh-CN"/>
                    </w:rPr>
                  </w:pPr>
                </w:p>
              </w:tc>
            </w:tr>
            <w:tr w14:paraId="72E4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pct"/>
                  <w:vMerge w:val="restart"/>
                  <w:noWrap w:val="0"/>
                  <w:vAlign w:val="center"/>
                </w:tcPr>
                <w:p w14:paraId="6DFFDBE1">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资源利用上线</w:t>
                  </w:r>
                </w:p>
              </w:tc>
              <w:tc>
                <w:tcPr>
                  <w:tcW w:w="2485" w:type="pct"/>
                  <w:noWrap w:val="0"/>
                  <w:vAlign w:val="center"/>
                </w:tcPr>
                <w:p w14:paraId="3298B22F">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资源是环境的载体，资源利用上线是各地区能源、水、土地等资源消耗不得突破的“天花板”。相关规划环评应依据有关资源利用上线，对规划实施以及规划内项目的资源开发利用，区分不同行业，从能源开发等量或减量替代、开采方式和规模控制、利用效率和保护措施等方面提出建议，为规划编制和审批决策提供重要依据。</w:t>
                  </w:r>
                </w:p>
              </w:tc>
              <w:tc>
                <w:tcPr>
                  <w:tcW w:w="1332" w:type="pct"/>
                  <w:vMerge w:val="restart"/>
                  <w:noWrap w:val="0"/>
                  <w:vAlign w:val="center"/>
                </w:tcPr>
                <w:p w14:paraId="0B925A19">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color w:val="auto"/>
                    </w:rPr>
                  </w:pPr>
                </w:p>
                <w:p w14:paraId="232E8652">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本项目属于矿产</w:t>
                  </w:r>
                </w:p>
                <w:p w14:paraId="0075DA79">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资源勘探项目，通过“就矿找矿”进行必要的补充勘查，对原有矿体进行勘探综合分析研究，了解深部资源的情况，增加区域内的后备资源。本项目不涉及新增范围用地，仅在原矿区内开展，不涉及采矿，符合能源利用上线。</w:t>
                  </w:r>
                </w:p>
                <w:p w14:paraId="08706D42">
                  <w:pPr>
                    <w:keepNext w:val="0"/>
                    <w:keepLines w:val="0"/>
                    <w:suppressLineNumbers w:val="0"/>
                    <w:spacing w:before="0" w:beforeAutospacing="0" w:after="0" w:afterAutospacing="0" w:line="360" w:lineRule="auto"/>
                    <w:ind w:left="0" w:right="0"/>
                    <w:jc w:val="both"/>
                    <w:rPr>
                      <w:rFonts w:hint="default" w:ascii="Times New Roman" w:hAnsi="Times New Roman" w:cs="Times New Roman"/>
                      <w:color w:val="auto"/>
                      <w:lang w:val="en-US" w:eastAsia="zh-CN"/>
                    </w:rPr>
                  </w:pPr>
                </w:p>
              </w:tc>
              <w:tc>
                <w:tcPr>
                  <w:tcW w:w="579" w:type="pct"/>
                  <w:vMerge w:val="restart"/>
                  <w:noWrap w:val="0"/>
                  <w:vAlign w:val="center"/>
                </w:tcPr>
                <w:p w14:paraId="1B5FD5A0">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165F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9" w:hRule="atLeast"/>
              </w:trPr>
              <w:tc>
                <w:tcPr>
                  <w:tcW w:w="601" w:type="pct"/>
                  <w:vMerge w:val="continue"/>
                  <w:noWrap w:val="0"/>
                  <w:vAlign w:val="center"/>
                </w:tcPr>
                <w:p w14:paraId="7A0E3966">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lang w:val="en-US" w:eastAsia="zh-CN"/>
                    </w:rPr>
                  </w:pPr>
                </w:p>
              </w:tc>
              <w:tc>
                <w:tcPr>
                  <w:tcW w:w="2485" w:type="pct"/>
                  <w:noWrap w:val="0"/>
                  <w:vAlign w:val="center"/>
                </w:tcPr>
                <w:p w14:paraId="0588D999">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强化节约集约利用，持续提升资源利用效率，水资源、土地资源、能源消耗等达到云南省下达的总量和强度控制目标。</w:t>
                  </w:r>
                </w:p>
              </w:tc>
              <w:tc>
                <w:tcPr>
                  <w:tcW w:w="1332" w:type="pct"/>
                  <w:vMerge w:val="continue"/>
                  <w:noWrap w:val="0"/>
                  <w:vAlign w:val="center"/>
                </w:tcPr>
                <w:p w14:paraId="3FB757FA">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lang w:val="en-US" w:eastAsia="zh-CN"/>
                    </w:rPr>
                  </w:pPr>
                </w:p>
              </w:tc>
              <w:tc>
                <w:tcPr>
                  <w:tcW w:w="579" w:type="pct"/>
                  <w:vMerge w:val="continue"/>
                  <w:noWrap w:val="0"/>
                  <w:vAlign w:val="center"/>
                </w:tcPr>
                <w:p w14:paraId="3988D860">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lang w:val="en-US" w:eastAsia="zh-CN"/>
                    </w:rPr>
                  </w:pPr>
                </w:p>
              </w:tc>
            </w:tr>
            <w:tr w14:paraId="5118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1" w:hRule="atLeast"/>
              </w:trPr>
              <w:tc>
                <w:tcPr>
                  <w:tcW w:w="601" w:type="pct"/>
                  <w:vMerge w:val="restart"/>
                  <w:noWrap w:val="0"/>
                  <w:vAlign w:val="center"/>
                </w:tcPr>
                <w:p w14:paraId="2B67BC88">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生态环境准入清单</w:t>
                  </w:r>
                </w:p>
              </w:tc>
              <w:tc>
                <w:tcPr>
                  <w:tcW w:w="2485" w:type="pct"/>
                  <w:noWrap w:val="0"/>
                  <w:vAlign w:val="center"/>
                </w:tcPr>
                <w:p w14:paraId="2A7E0367">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资源准入负面清单，充分发挥负面清单对产业发展和项目准入的指导和约束作业</w:t>
                  </w:r>
                  <w:r>
                    <w:rPr>
                      <w:rFonts w:hint="eastAsia" w:ascii="Times New Roman" w:hAnsi="Times New Roman" w:cs="Times New Roman"/>
                      <w:color w:val="auto"/>
                      <w:lang w:val="en-US" w:eastAsia="zh-CN"/>
                    </w:rPr>
                    <w:t>。</w:t>
                  </w:r>
                </w:p>
              </w:tc>
              <w:tc>
                <w:tcPr>
                  <w:tcW w:w="1332" w:type="pct"/>
                  <w:noWrap w:val="0"/>
                  <w:vAlign w:val="center"/>
                </w:tcPr>
                <w:p w14:paraId="58EE58D7">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本项目为矿产资 </w:t>
                  </w:r>
                </w:p>
                <w:p w14:paraId="1587BCAE">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lang w:val="en-US" w:eastAsia="zh-CN"/>
                    </w:rPr>
                  </w:pPr>
                  <w:r>
                    <w:rPr>
                      <w:rFonts w:hint="eastAsia" w:ascii="Times New Roman" w:hAnsi="Times New Roman" w:eastAsia="宋体" w:cs="Times New Roman"/>
                      <w:color w:val="auto"/>
                      <w:lang w:val="en-US" w:eastAsia="zh-CN"/>
                    </w:rPr>
                    <w:t>源勘探项目， 本次勘探在矿区范围内进行，不涉及项目采矿。根据芒市自然资源局出具证明，该矿业权不涉及生态保护红线，经过分析，项目符合环境质量底线和资源利用上线，项目建设符合准入清单的要求。</w:t>
                  </w:r>
                </w:p>
              </w:tc>
              <w:tc>
                <w:tcPr>
                  <w:tcW w:w="579" w:type="pct"/>
                  <w:noWrap w:val="0"/>
                  <w:vAlign w:val="center"/>
                </w:tcPr>
                <w:p w14:paraId="6E817FD7">
                  <w:pPr>
                    <w:pStyle w:val="2"/>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eastAsia" w:ascii="Times New Roman" w:hAnsi="Times New Roman" w:eastAsia="宋体" w:cs="Times New Roman"/>
                      <w:color w:val="auto"/>
                      <w:kern w:val="2"/>
                      <w:sz w:val="21"/>
                      <w:szCs w:val="24"/>
                      <w:lang w:val="en-US" w:eastAsia="zh-CN" w:bidi="ar-SA"/>
                    </w:rPr>
                    <w:t>符合</w:t>
                  </w:r>
                </w:p>
              </w:tc>
            </w:tr>
            <w:tr w14:paraId="2C609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6" w:hRule="atLeast"/>
              </w:trPr>
              <w:tc>
                <w:tcPr>
                  <w:tcW w:w="601" w:type="pct"/>
                  <w:vMerge w:val="continue"/>
                  <w:noWrap w:val="0"/>
                  <w:vAlign w:val="center"/>
                </w:tcPr>
                <w:p w14:paraId="69A0CDA6">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color w:val="auto"/>
                      <w:lang w:val="en-US" w:eastAsia="zh-CN"/>
                    </w:rPr>
                  </w:pPr>
                </w:p>
              </w:tc>
              <w:tc>
                <w:tcPr>
                  <w:tcW w:w="2485" w:type="pct"/>
                  <w:noWrap w:val="0"/>
                  <w:vAlign w:val="center"/>
                </w:tcPr>
                <w:p w14:paraId="68962415">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严格落实《意见》管控要求。强化污染防治和自然生态系统保护修复，改善区域生态环境质量，提出德宏州生态环境管理总体要求和42个管控单元的生态环境准入清单，构建全州生态环境分区管控体系。</w:t>
                  </w:r>
                </w:p>
              </w:tc>
              <w:tc>
                <w:tcPr>
                  <w:tcW w:w="1332" w:type="pct"/>
                  <w:noWrap w:val="0"/>
                  <w:vAlign w:val="center"/>
                </w:tcPr>
                <w:p w14:paraId="763B5CB5">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本项目符合德宏州生态环境管控总体要求。</w:t>
                  </w:r>
                </w:p>
              </w:tc>
              <w:tc>
                <w:tcPr>
                  <w:tcW w:w="579" w:type="pct"/>
                  <w:noWrap w:val="0"/>
                  <w:vAlign w:val="center"/>
                </w:tcPr>
                <w:p w14:paraId="4263F92B">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符合</w:t>
                  </w:r>
                </w:p>
              </w:tc>
            </w:tr>
          </w:tbl>
          <w:p w14:paraId="7F5AE8C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bCs/>
                <w:color w:val="auto"/>
                <w:sz w:val="24"/>
                <w:szCs w:val="24"/>
                <w:lang w:val="en-US" w:eastAsia="zh-CN"/>
              </w:rPr>
            </w:pPr>
            <w:r>
              <w:rPr>
                <w:rFonts w:hint="eastAsia" w:ascii="Times New Roman" w:hAnsi="Times New Roman" w:cs="Times New Roman"/>
                <w:color w:val="auto"/>
                <w:sz w:val="24"/>
                <w:szCs w:val="24"/>
                <w:lang w:val="en-US" w:eastAsia="zh-CN"/>
              </w:rPr>
              <w:t>通过表1-1对照分析，本项目与</w:t>
            </w:r>
            <w:r>
              <w:rPr>
                <w:rFonts w:hint="eastAsia" w:ascii="Times New Roman" w:hAnsi="Times New Roman" w:cs="Times New Roman"/>
                <w:color w:val="auto"/>
                <w:sz w:val="24"/>
                <w:szCs w:val="24"/>
                <w:lang w:eastAsia="zh-CN"/>
              </w:rPr>
              <w:t>德宏州“三线一单”生态环境分区管控实施方案</w:t>
            </w:r>
            <w:r>
              <w:rPr>
                <w:rFonts w:hint="eastAsia" w:ascii="Times New Roman" w:hAnsi="Times New Roman" w:cs="Times New Roman"/>
                <w:color w:val="auto"/>
                <w:sz w:val="24"/>
                <w:szCs w:val="24"/>
                <w:lang w:val="en-US" w:eastAsia="zh-CN"/>
              </w:rPr>
              <w:t>相符合。</w:t>
            </w:r>
          </w:p>
          <w:p w14:paraId="7EF8AD4A">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、产业政策符合性分析</w:t>
            </w:r>
          </w:p>
          <w:p w14:paraId="28BDA05E">
            <w:pPr>
              <w:keepNext w:val="0"/>
              <w:keepLines w:val="0"/>
              <w:suppressLineNumbers w:val="0"/>
              <w:autoSpaceDN w:val="0"/>
              <w:spacing w:before="0" w:beforeAutospacing="0" w:after="0" w:afterAutospacing="0" w:line="360" w:lineRule="auto"/>
              <w:ind w:left="0" w:right="0" w:firstLine="480" w:firstLineChars="200"/>
              <w:rPr>
                <w:rFonts w:hint="eastAsia" w:ascii="Times New Roman" w:hAnsi="Times New Roman"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本项目为陆地矿产资源地质勘察项目，为探矿工程。根据国家发改委《产业结构调整指导目录（</w:t>
            </w:r>
            <w:r>
              <w:rPr>
                <w:rFonts w:hint="default" w:ascii="Times New Roman" w:hAnsi="Times New Roman" w:eastAsia="宋体" w:cs="Times New Roman"/>
                <w:color w:val="auto"/>
                <w:sz w:val="24"/>
                <w:szCs w:val="24"/>
                <w:lang w:val="en-US" w:eastAsia="zh-CN"/>
              </w:rPr>
              <w:t xml:space="preserve">2019 </w:t>
            </w:r>
            <w:r>
              <w:rPr>
                <w:rFonts w:hint="eastAsia" w:ascii="Times New Roman" w:hAnsi="Times New Roman" w:eastAsia="宋体" w:cs="Times New Roman"/>
                <w:color w:val="auto"/>
                <w:sz w:val="24"/>
                <w:szCs w:val="24"/>
                <w:lang w:val="en-US" w:eastAsia="zh-CN"/>
              </w:rPr>
              <w:t>年本）》中的有关规定，本项目属于鼓励类“第九款、有色金属—</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、有色金属现有矿山按替资源勘探开发，紧缺资源的深部及难采矿床的开采”。</w:t>
            </w:r>
            <w:r>
              <w:rPr>
                <w:rFonts w:hint="default" w:ascii="Times New Roman" w:hAnsi="Times New Roman" w:cs="Times New Roman"/>
                <w:color w:val="auto"/>
                <w:sz w:val="24"/>
                <w:szCs w:val="24"/>
              </w:rPr>
              <w:t>同时于20</w:t>
            </w:r>
            <w:r>
              <w:rPr>
                <w:rFonts w:hint="eastAsia" w:ascii="Times New Roman" w:hAnsi="Times New Roman" w:cs="Times New Roman"/>
                <w:color w:val="auto"/>
                <w:sz w:val="24"/>
                <w:szCs w:val="24"/>
                <w:lang w:val="en-US" w:eastAsia="zh-CN"/>
              </w:rPr>
              <w:t>22</w:t>
            </w:r>
            <w:r>
              <w:rPr>
                <w:rFonts w:hint="default"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rPr>
              <w:t>日取得了</w:t>
            </w:r>
            <w:r>
              <w:rPr>
                <w:rFonts w:hint="default" w:ascii="Times New Roman" w:hAnsi="Times New Roman" w:cs="Times New Roman"/>
                <w:color w:val="auto"/>
                <w:sz w:val="24"/>
                <w:szCs w:val="24"/>
                <w:lang w:val="en-US" w:eastAsia="zh-CN"/>
              </w:rPr>
              <w:t>芒市发展和改革局</w:t>
            </w:r>
            <w:r>
              <w:rPr>
                <w:rFonts w:hint="default" w:ascii="Times New Roman" w:hAnsi="Times New Roman" w:cs="Times New Roman"/>
                <w:color w:val="auto"/>
                <w:sz w:val="24"/>
                <w:szCs w:val="24"/>
              </w:rPr>
              <w:t>的</w:t>
            </w:r>
            <w:r>
              <w:rPr>
                <w:rFonts w:hint="eastAsia" w:ascii="Times New Roman" w:hAnsi="Times New Roman" w:cs="Times New Roman"/>
                <w:color w:val="auto"/>
                <w:sz w:val="24"/>
                <w:szCs w:val="24"/>
                <w:lang w:val="en-US" w:eastAsia="zh-CN"/>
              </w:rPr>
              <w:t>云南省固定资产投资项目备案证</w:t>
            </w:r>
            <w:r>
              <w:rPr>
                <w:rFonts w:hint="default" w:ascii="Times New Roman" w:hAnsi="Times New Roman" w:cs="Times New Roman"/>
                <w:color w:val="auto"/>
                <w:sz w:val="24"/>
                <w:szCs w:val="24"/>
              </w:rPr>
              <w:t>，备案号</w:t>
            </w:r>
            <w:r>
              <w:rPr>
                <w:rFonts w:hint="eastAsia" w:ascii="Times New Roman" w:hAnsi="Times New Roman" w:cs="Times New Roman"/>
                <w:color w:val="auto"/>
                <w:sz w:val="24"/>
                <w:szCs w:val="24"/>
                <w:lang w:val="en-US" w:eastAsia="zh-CN"/>
              </w:rPr>
              <w:t>[代码]</w:t>
            </w:r>
            <w:r>
              <w:rPr>
                <w:rFonts w:hint="default" w:ascii="Times New Roman" w:hAnsi="Times New Roman" w:cs="Times New Roman"/>
                <w:color w:val="auto"/>
                <w:sz w:val="24"/>
                <w:szCs w:val="24"/>
              </w:rPr>
              <w:t>：</w:t>
            </w:r>
            <w:r>
              <w:rPr>
                <w:rFonts w:hint="eastAsia" w:ascii="Times New Roman" w:hAnsi="Times New Roman" w:cs="Times New Roman"/>
                <w:color w:val="auto"/>
                <w:sz w:val="24"/>
                <w:lang w:eastAsia="zh-CN"/>
              </w:rPr>
              <w:t>2</w:t>
            </w:r>
            <w:r>
              <w:rPr>
                <w:rFonts w:hint="eastAsia" w:ascii="Times New Roman" w:hAnsi="Times New Roman" w:cs="Times New Roman"/>
                <w:color w:val="auto"/>
                <w:sz w:val="24"/>
                <w:lang w:val="en-US" w:eastAsia="zh-CN"/>
              </w:rPr>
              <w:t>203</w:t>
            </w:r>
            <w:r>
              <w:rPr>
                <w:rFonts w:hint="eastAsia" w:ascii="Times New Roman" w:hAnsi="Times New Roman" w:cs="Times New Roman"/>
                <w:color w:val="auto"/>
                <w:sz w:val="24"/>
                <w:lang w:eastAsia="zh-CN"/>
              </w:rPr>
              <w:t>-533103-04-0</w:t>
            </w:r>
            <w:r>
              <w:rPr>
                <w:rFonts w:hint="eastAsia" w:ascii="Times New Roman" w:hAnsi="Times New Roman" w:cs="Times New Roman"/>
                <w:color w:val="auto"/>
                <w:sz w:val="24"/>
                <w:lang w:val="en-US" w:eastAsia="zh-CN"/>
              </w:rPr>
              <w:t>1</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673533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（见附件</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 xml:space="preserve">  </w:t>
            </w:r>
          </w:p>
          <w:p w14:paraId="736B0B24">
            <w:pPr>
              <w:keepNext w:val="0"/>
              <w:keepLines w:val="0"/>
              <w:suppressLineNumbers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综上分析，本项目</w:t>
            </w:r>
            <w:r>
              <w:rPr>
                <w:rFonts w:hint="eastAsia" w:ascii="Times New Roman" w:hAnsi="Times New Roman" w:cs="Times New Roman"/>
                <w:color w:val="auto"/>
                <w:sz w:val="24"/>
                <w:szCs w:val="24"/>
                <w:lang w:val="en-US" w:eastAsia="zh-CN"/>
              </w:rPr>
              <w:t>的建设</w:t>
            </w:r>
            <w:r>
              <w:rPr>
                <w:rFonts w:hint="default" w:ascii="Times New Roman" w:hAnsi="Times New Roman" w:cs="Times New Roman"/>
                <w:color w:val="auto"/>
                <w:sz w:val="24"/>
                <w:szCs w:val="24"/>
              </w:rPr>
              <w:t>符合国家相关政策。</w:t>
            </w:r>
          </w:p>
          <w:p w14:paraId="0F899B1C">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r>
              <w:rPr>
                <w:rFonts w:hint="eastAsia" w:ascii="宋体" w:hAnsi="宋体" w:eastAsia="宋体" w:cs="宋体"/>
                <w:b/>
                <w:bCs/>
                <w:color w:val="auto"/>
                <w:kern w:val="0"/>
                <w:sz w:val="24"/>
                <w:szCs w:val="24"/>
                <w:lang w:val="en-US" w:eastAsia="zh-CN" w:bidi="ar"/>
              </w:rPr>
              <w:t xml:space="preserve">3、与《云南省生态功能区划》符合性分析 </w:t>
            </w:r>
          </w:p>
          <w:p w14:paraId="4EEA107C">
            <w:pPr>
              <w:keepNext w:val="0"/>
              <w:keepLines w:val="0"/>
              <w:suppressLineNumbers w:val="0"/>
              <w:autoSpaceDN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根据《云南省生态功能区划》，</w:t>
            </w:r>
            <w:r>
              <w:rPr>
                <w:rFonts w:hint="default" w:ascii="Times New Roman" w:hAnsi="Times New Roman" w:eastAsia="宋体" w:cs="Times New Roman"/>
                <w:color w:val="auto"/>
                <w:sz w:val="24"/>
                <w:szCs w:val="24"/>
                <w:lang w:val="en-US" w:eastAsia="zh-CN"/>
              </w:rPr>
              <w:t>规划将整个云南省划分为重点开发区、限制开发区和禁止开发区三大类区。</w:t>
            </w:r>
            <w:r>
              <w:rPr>
                <w:rFonts w:hint="eastAsia" w:ascii="Times New Roman" w:hAnsi="Times New Roman" w:eastAsia="宋体" w:cs="Times New Roman"/>
                <w:color w:val="auto"/>
                <w:sz w:val="24"/>
                <w:szCs w:val="24"/>
                <w:lang w:val="en-US" w:eastAsia="zh-CN"/>
              </w:rPr>
              <w:t>在云南省重点开发区域中，</w:t>
            </w:r>
            <w:r>
              <w:rPr>
                <w:rFonts w:hint="default" w:ascii="Times New Roman" w:hAnsi="Times New Roman" w:eastAsia="宋体" w:cs="Times New Roman"/>
                <w:color w:val="auto"/>
                <w:sz w:val="24"/>
                <w:szCs w:val="24"/>
                <w:lang w:val="en-US" w:eastAsia="zh-CN"/>
              </w:rPr>
              <w:t>芒市芒市镇属于其他重点开发的城镇中的重点县城。云南省限制开发区域中，芒市属于国家级农产品主产区。</w:t>
            </w:r>
            <w:r>
              <w:rPr>
                <w:rFonts w:hint="eastAsia" w:ascii="Times New Roman" w:hAnsi="Times New Roman" w:eastAsia="宋体" w:cs="Times New Roman"/>
                <w:color w:val="auto"/>
                <w:sz w:val="24"/>
                <w:szCs w:val="24"/>
                <w:lang w:val="en-US" w:eastAsia="zh-CN"/>
              </w:rPr>
              <w:t>重点小镇要以园区为重点，深入挖掘特色资源，促进特色产业聚集式发展，不断完善基础设施，构建综合交通网络，优化居住环境，积极承接周边农业人口转移。所在区域的生态环境问题为旅游业和不合理的热区开发带来的生态破坏。</w:t>
            </w:r>
          </w:p>
          <w:p w14:paraId="2BAD5C56">
            <w:pPr>
              <w:keepNext w:val="0"/>
              <w:keepLines w:val="0"/>
              <w:suppressLineNumbers w:val="0"/>
              <w:autoSpaceDN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本项目位于三台山乡上芒岗麦窝坝内，项目为探矿工程，在所有的矿区范围内进行探矿，重点对麦窝坝矿段Ⅶ矿体22线以南带布置探矿工程，工程结束后对其进行回填以及生态恢复。项目中的运输道路依靠山间道路，不对其进行扩大。 </w:t>
            </w:r>
          </w:p>
          <w:p w14:paraId="5A0AD49A">
            <w:pPr>
              <w:keepNext w:val="0"/>
              <w:keepLines w:val="0"/>
              <w:suppressLineNumbers w:val="0"/>
              <w:autoSpaceDN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本次工程不涉及旅游和不合理的热区开发带来的环境污染和生态环境问题。故本项目的探矿工程符合《云南省生态功能区划》的要求。</w:t>
            </w:r>
          </w:p>
          <w:p w14:paraId="58126A66">
            <w:pPr>
              <w:keepNext w:val="0"/>
              <w:keepLines w:val="0"/>
              <w:widowControl/>
              <w:suppressLineNumbers w:val="0"/>
              <w:spacing w:before="0" w:beforeAutospacing="0" w:after="0" w:afterAutospacing="0"/>
              <w:ind w:left="0" w:right="0"/>
              <w:jc w:val="left"/>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4、与《云南省主体功能区规划》的符合性分析</w:t>
            </w:r>
          </w:p>
          <w:p w14:paraId="383AC16F">
            <w:pPr>
              <w:keepNext w:val="0"/>
              <w:keepLines w:val="0"/>
              <w:suppressLineNumbers w:val="0"/>
              <w:autoSpaceDN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云南省主体功能区划将云南省国土空间按照开发方式分为重点开发区域、限制开发区域和禁止开发区域 </w:t>
            </w:r>
            <w:r>
              <w:rPr>
                <w:rFonts w:hint="default" w:ascii="Times New Roman" w:hAnsi="Times New Roman" w:eastAsia="宋体" w:cs="Times New Roman"/>
                <w:color w:val="auto"/>
                <w:sz w:val="24"/>
                <w:szCs w:val="24"/>
                <w:lang w:val="en-US" w:eastAsia="zh-CN"/>
              </w:rPr>
              <w:t xml:space="preserve">3 </w:t>
            </w:r>
            <w:r>
              <w:rPr>
                <w:rFonts w:hint="eastAsia" w:ascii="Times New Roman" w:hAnsi="Times New Roman" w:eastAsia="宋体" w:cs="Times New Roman"/>
                <w:color w:val="auto"/>
                <w:sz w:val="24"/>
                <w:szCs w:val="24"/>
                <w:lang w:val="en-US" w:eastAsia="zh-CN"/>
              </w:rPr>
              <w:t xml:space="preserve">类主体功能区。其中：禁止开发区包括了国家级、省级、州市级和县级的自然保护区、世界自然和文化遗产地，国家级、省级风景名胜区，国家级、省级森林公园，国家级地址公园，城市集中饮用水保护区，国家湿地公园，国家级水产种质资源保护区，以及牛栏江流域上游保护区水源保护核心区等；限制开发区域包括 </w:t>
            </w:r>
            <w:r>
              <w:rPr>
                <w:rFonts w:hint="default" w:ascii="Times New Roman" w:hAnsi="Times New Roman" w:eastAsia="宋体" w:cs="Times New Roman"/>
                <w:color w:val="auto"/>
                <w:sz w:val="24"/>
                <w:szCs w:val="24"/>
                <w:lang w:val="en-US" w:eastAsia="zh-CN"/>
              </w:rPr>
              <w:t xml:space="preserve">48 </w:t>
            </w:r>
            <w:r>
              <w:rPr>
                <w:rFonts w:hint="eastAsia" w:ascii="Times New Roman" w:hAnsi="Times New Roman" w:eastAsia="宋体" w:cs="Times New Roman"/>
                <w:color w:val="auto"/>
                <w:sz w:val="24"/>
                <w:szCs w:val="24"/>
                <w:lang w:val="en-US" w:eastAsia="zh-CN"/>
              </w:rPr>
              <w:t>个县市在内的农产品主产区，以及</w:t>
            </w:r>
            <w:r>
              <w:rPr>
                <w:rFonts w:hint="default" w:ascii="Times New Roman" w:hAnsi="Times New Roman" w:eastAsia="宋体" w:cs="Times New Roman"/>
                <w:color w:val="auto"/>
                <w:sz w:val="24"/>
                <w:szCs w:val="24"/>
                <w:lang w:val="en-US" w:eastAsia="zh-CN"/>
              </w:rPr>
              <w:t>38</w:t>
            </w:r>
            <w:r>
              <w:rPr>
                <w:rFonts w:hint="eastAsia" w:ascii="Times New Roman" w:hAnsi="Times New Roman" w:eastAsia="宋体" w:cs="Times New Roman"/>
                <w:color w:val="auto"/>
                <w:sz w:val="24"/>
                <w:szCs w:val="24"/>
                <w:lang w:val="en-US" w:eastAsia="zh-CN"/>
              </w:rPr>
              <w:t>个县市区和</w:t>
            </w:r>
            <w:r>
              <w:rPr>
                <w:rFonts w:hint="default" w:ascii="Times New Roman" w:hAnsi="Times New Roman" w:eastAsia="宋体" w:cs="Times New Roman"/>
                <w:color w:val="auto"/>
                <w:sz w:val="24"/>
                <w:szCs w:val="24"/>
                <w:lang w:val="en-US" w:eastAsia="zh-CN"/>
              </w:rPr>
              <w:t>25</w:t>
            </w:r>
            <w:r>
              <w:rPr>
                <w:rFonts w:hint="eastAsia" w:ascii="Times New Roman" w:hAnsi="Times New Roman" w:eastAsia="宋体" w:cs="Times New Roman"/>
                <w:color w:val="auto"/>
                <w:sz w:val="24"/>
                <w:szCs w:val="24"/>
                <w:lang w:val="en-US" w:eastAsia="zh-CN"/>
              </w:rPr>
              <w:t>个县市区和</w:t>
            </w:r>
            <w:r>
              <w:rPr>
                <w:rFonts w:hint="default" w:ascii="Times New Roman" w:hAnsi="Times New Roman" w:eastAsia="宋体" w:cs="Times New Roman"/>
                <w:color w:val="auto"/>
                <w:sz w:val="24"/>
                <w:szCs w:val="24"/>
                <w:lang w:val="en-US" w:eastAsia="zh-CN"/>
              </w:rPr>
              <w:t>12</w:t>
            </w:r>
            <w:r>
              <w:rPr>
                <w:rFonts w:hint="eastAsia" w:ascii="Times New Roman" w:hAnsi="Times New Roman" w:eastAsia="宋体" w:cs="Times New Roman"/>
                <w:color w:val="auto"/>
                <w:sz w:val="24"/>
                <w:szCs w:val="24"/>
                <w:lang w:val="en-US" w:eastAsia="zh-CN"/>
              </w:rPr>
              <w:t>个乡镇的国家重点开发区域，以及设计</w:t>
            </w:r>
            <w:r>
              <w:rPr>
                <w:rFonts w:hint="default" w:ascii="Times New Roman" w:hAnsi="Times New Roman" w:eastAsia="宋体" w:cs="Times New Roman"/>
                <w:color w:val="auto"/>
                <w:sz w:val="24"/>
                <w:szCs w:val="24"/>
                <w:lang w:val="en-US" w:eastAsia="zh-CN"/>
              </w:rPr>
              <w:t>16</w:t>
            </w:r>
            <w:r>
              <w:rPr>
                <w:rFonts w:hint="eastAsia" w:ascii="Times New Roman" w:hAnsi="Times New Roman" w:eastAsia="宋体" w:cs="Times New Roman"/>
                <w:color w:val="auto"/>
                <w:sz w:val="24"/>
                <w:szCs w:val="24"/>
                <w:lang w:val="en-US" w:eastAsia="zh-CN"/>
              </w:rPr>
              <w:t xml:space="preserve">个县市区的省级重点开发区域。 </w:t>
            </w:r>
          </w:p>
          <w:p w14:paraId="1450AAE1">
            <w:pPr>
              <w:keepNext w:val="0"/>
              <w:keepLines w:val="0"/>
              <w:suppressLineNumbers w:val="0"/>
              <w:autoSpaceDN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根据云南省主体功能区划分总图得知，本项目所在区域属于其中的限制开发区域（农产品开发主产区）。 </w:t>
            </w:r>
          </w:p>
          <w:p w14:paraId="08254101">
            <w:pPr>
              <w:keepNext w:val="0"/>
              <w:keepLines w:val="0"/>
              <w:suppressLineNumbers w:val="0"/>
              <w:autoSpaceDN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限制开发区域（农产品开发主产区）的功能定位：以大理发展高原特色农业为重点，切实保护耕地，稳定粮食生产，发展现代农业，增强农业综合生产能力，增肌农民收入，加快建设社会主义新农村，有效增强农产品供给保障能力，确保国家粮食安全和食品安全。 </w:t>
            </w:r>
          </w:p>
          <w:p w14:paraId="5F6CBCE3">
            <w:pPr>
              <w:keepNext w:val="0"/>
              <w:keepLines w:val="0"/>
              <w:suppressLineNumbers w:val="0"/>
              <w:autoSpaceDN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本项目为探矿工程，在建设单位所有的矿区范围内进行探矿，重点对麦窝坝矿段Ⅶ矿体22线以南带布置探矿工程，工程结束后对其进行回填以及生态恢复。项目中的运输道路依靠山间道路，不对其进行扩大。 </w:t>
            </w:r>
          </w:p>
          <w:p w14:paraId="0B66CFF5">
            <w:pPr>
              <w:keepNext w:val="0"/>
              <w:keepLines w:val="0"/>
              <w:suppressLineNumbers w:val="0"/>
              <w:autoSpaceDN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综上所述，本次探矿工程对周边生态环境影响较小。故本项目基本符合《云南省主体功能区划》的要求。</w:t>
            </w:r>
          </w:p>
          <w:p w14:paraId="2AFCE68A">
            <w:pPr>
              <w:keepNext w:val="0"/>
              <w:keepLines w:val="0"/>
              <w:suppressLineNumbers w:val="0"/>
              <w:autoSpaceDN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p>
          <w:p w14:paraId="73CC77A4">
            <w:pPr>
              <w:keepNext w:val="0"/>
              <w:keepLines w:val="0"/>
              <w:suppressLineNumbers w:val="0"/>
              <w:autoSpaceDN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p>
          <w:p w14:paraId="4D33D4D6">
            <w:pPr>
              <w:keepNext w:val="0"/>
              <w:keepLines w:val="0"/>
              <w:suppressLineNumbers w:val="0"/>
              <w:autoSpaceDN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p>
          <w:p w14:paraId="369A2487">
            <w:pPr>
              <w:keepNext w:val="0"/>
              <w:keepLines w:val="0"/>
              <w:suppressLineNumbers w:val="0"/>
              <w:autoSpaceDN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p>
          <w:p w14:paraId="61B5BD9A">
            <w:pPr>
              <w:pStyle w:val="2"/>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szCs w:val="24"/>
                <w:lang w:val="en-US" w:eastAsia="zh-CN"/>
              </w:rPr>
            </w:pPr>
          </w:p>
          <w:p w14:paraId="79540015">
            <w:pPr>
              <w:pStyle w:val="29"/>
              <w:keepNext w:val="0"/>
              <w:keepLines w:val="0"/>
              <w:suppressLineNumbers w:val="0"/>
              <w:spacing w:beforeAutospacing="0" w:afterAutospacing="0"/>
              <w:ind w:left="0" w:leftChars="0" w:firstLine="0" w:firstLineChars="0"/>
              <w:rPr>
                <w:rFonts w:hint="eastAsia" w:ascii="Times New Roman" w:hAnsi="Times New Roman" w:cs="Times New Roman"/>
                <w:color w:val="auto"/>
                <w:lang w:val="en-US" w:eastAsia="zh-CN"/>
              </w:rPr>
            </w:pPr>
          </w:p>
          <w:p w14:paraId="396F23A1">
            <w:pPr>
              <w:pStyle w:val="29"/>
              <w:keepNext w:val="0"/>
              <w:keepLines w:val="0"/>
              <w:suppressLineNumbers w:val="0"/>
              <w:spacing w:beforeAutospacing="0" w:afterAutospacing="0"/>
              <w:ind w:left="0" w:leftChars="0" w:firstLine="0" w:firstLineChars="0"/>
              <w:rPr>
                <w:rFonts w:hint="eastAsia" w:ascii="Times New Roman" w:hAnsi="Times New Roman" w:cs="Times New Roman"/>
                <w:color w:val="auto"/>
                <w:lang w:val="en-US" w:eastAsia="zh-CN"/>
              </w:rPr>
            </w:pPr>
          </w:p>
          <w:p w14:paraId="71DB8666">
            <w:pPr>
              <w:pStyle w:val="30"/>
              <w:keepNext w:val="0"/>
              <w:keepLines w:val="0"/>
              <w:suppressLineNumbers w:val="0"/>
              <w:spacing w:before="0" w:beforeAutospacing="0" w:afterAutospacing="0"/>
              <w:ind w:right="0"/>
              <w:rPr>
                <w:rFonts w:hint="default" w:cs="Times New Roman"/>
                <w:color w:val="auto"/>
                <w:lang w:val="en-US" w:eastAsia="zh-CN"/>
              </w:rPr>
            </w:pPr>
          </w:p>
          <w:p w14:paraId="4976E3F1">
            <w:pPr>
              <w:pStyle w:val="29"/>
              <w:keepNext w:val="0"/>
              <w:keepLines w:val="0"/>
              <w:suppressLineNumbers w:val="0"/>
              <w:spacing w:beforeAutospacing="0" w:afterAutospacing="0"/>
              <w:ind w:left="0"/>
              <w:rPr>
                <w:rFonts w:hint="default" w:ascii="Times New Roman" w:hAnsi="Times New Roman" w:cs="Times New Roman"/>
                <w:color w:val="auto"/>
                <w:lang w:val="en-US" w:eastAsia="zh-CN"/>
              </w:rPr>
            </w:pPr>
          </w:p>
          <w:p w14:paraId="2E7A39D0">
            <w:pPr>
              <w:keepNext w:val="0"/>
              <w:keepLines w:val="0"/>
              <w:suppressLineNumbers w:val="0"/>
              <w:spacing w:before="0" w:beforeAutospacing="0" w:after="0" w:afterAutospacing="0"/>
              <w:ind w:left="0" w:right="0"/>
              <w:rPr>
                <w:rFonts w:hint="default" w:ascii="Times New Roman" w:hAnsi="Times New Roman" w:cs="Times New Roman"/>
                <w:color w:val="auto"/>
                <w:lang w:val="en-US" w:eastAsia="zh-CN"/>
              </w:rPr>
            </w:pPr>
          </w:p>
          <w:p w14:paraId="40D1FCF4">
            <w:pPr>
              <w:keepNext w:val="0"/>
              <w:keepLines w:val="0"/>
              <w:suppressLineNumbers w:val="0"/>
              <w:spacing w:before="0" w:beforeAutospacing="0" w:after="0" w:afterAutospacing="0"/>
              <w:ind w:left="0" w:right="0"/>
              <w:rPr>
                <w:rFonts w:hint="default" w:ascii="Times New Roman" w:hAnsi="Times New Roman" w:cs="Times New Roman"/>
                <w:color w:val="auto"/>
                <w:lang w:val="en-US" w:eastAsia="zh-CN"/>
              </w:rPr>
            </w:pPr>
          </w:p>
        </w:tc>
      </w:tr>
    </w:tbl>
    <w:p w14:paraId="54777004">
      <w:pPr>
        <w:spacing w:line="360" w:lineRule="auto"/>
        <w:outlineLvl w:val="0"/>
        <w:rPr>
          <w:rFonts w:eastAsia="黑体"/>
          <w:color w:val="auto"/>
          <w:sz w:val="30"/>
        </w:rPr>
        <w:sectPr>
          <w:headerReference r:id="rId3" w:type="default"/>
          <w:footerReference r:id="rId4" w:type="default"/>
          <w:pgSz w:w="11905" w:h="16838"/>
          <w:pgMar w:top="1440" w:right="1701" w:bottom="1440" w:left="1701" w:header="851" w:footer="1077" w:gutter="0"/>
          <w:pgNumType w:fmt="decimal" w:start="1"/>
          <w:cols w:space="720" w:num="1"/>
          <w:docGrid w:type="lines" w:linePitch="317" w:charSpace="0"/>
        </w:sectPr>
      </w:pPr>
    </w:p>
    <w:p w14:paraId="57D5C07E">
      <w:pPr>
        <w:pStyle w:val="26"/>
        <w:spacing w:before="0" w:beforeAutospacing="0" w:after="0" w:afterAutospacing="0" w:line="360" w:lineRule="auto"/>
        <w:jc w:val="center"/>
        <w:outlineLvl w:val="0"/>
        <w:rPr>
          <w:rFonts w:hint="eastAsia" w:ascii="黑体" w:hAnsi="黑体" w:eastAsia="黑体"/>
          <w:snapToGrid w:val="0"/>
          <w:color w:val="auto"/>
          <w:sz w:val="30"/>
          <w:szCs w:val="30"/>
          <w:lang w:eastAsia="zh-CN"/>
        </w:rPr>
      </w:pPr>
      <w:bookmarkStart w:id="1" w:name="_Toc22875"/>
      <w:r>
        <w:rPr>
          <w:rFonts w:hint="eastAsia" w:ascii="黑体" w:hAnsi="黑体" w:eastAsia="黑体"/>
          <w:snapToGrid w:val="0"/>
          <w:color w:val="auto"/>
          <w:sz w:val="30"/>
          <w:szCs w:val="30"/>
        </w:rPr>
        <w:t>二、建设</w:t>
      </w:r>
      <w:r>
        <w:rPr>
          <w:rFonts w:hint="eastAsia" w:ascii="黑体" w:hAnsi="黑体" w:eastAsia="黑体"/>
          <w:snapToGrid w:val="0"/>
          <w:color w:val="auto"/>
          <w:sz w:val="30"/>
          <w:szCs w:val="30"/>
          <w:lang w:val="en-US" w:eastAsia="zh-CN"/>
        </w:rPr>
        <w:t>内容</w:t>
      </w:r>
      <w:bookmarkEnd w:id="1"/>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8153"/>
      </w:tblGrid>
      <w:tr w14:paraId="2D6BE5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471" w:type="dxa"/>
            <w:tcBorders>
              <w:top w:val="single" w:color="auto" w:sz="8" w:space="0"/>
              <w:left w:val="single" w:color="auto" w:sz="8" w:space="0"/>
              <w:bottom w:val="single" w:color="auto" w:sz="4" w:space="0"/>
              <w:right w:val="single" w:color="auto" w:sz="4" w:space="0"/>
            </w:tcBorders>
            <w:noWrap w:val="0"/>
            <w:vAlign w:val="center"/>
          </w:tcPr>
          <w:p w14:paraId="5404FAC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4"/>
                <w:highlight w:val="none"/>
              </w:rPr>
            </w:pPr>
            <w:r>
              <w:rPr>
                <w:rFonts w:hint="eastAsia" w:ascii="Times New Roman" w:hAnsi="Times New Roman" w:eastAsia="宋体" w:cs="Times New Roman"/>
                <w:b/>
                <w:bCs/>
                <w:color w:val="auto"/>
                <w:kern w:val="0"/>
                <w:sz w:val="24"/>
                <w:highlight w:val="none"/>
              </w:rPr>
              <w:t>地理位置</w:t>
            </w:r>
          </w:p>
        </w:tc>
        <w:tc>
          <w:tcPr>
            <w:tcW w:w="8153" w:type="dxa"/>
            <w:tcBorders>
              <w:top w:val="single" w:color="auto" w:sz="8" w:space="0"/>
              <w:left w:val="single" w:color="auto" w:sz="4" w:space="0"/>
              <w:bottom w:val="single" w:color="auto" w:sz="4" w:space="0"/>
              <w:right w:val="single" w:color="auto" w:sz="8" w:space="0"/>
            </w:tcBorders>
            <w:noWrap w:val="0"/>
            <w:vAlign w:val="center"/>
          </w:tcPr>
          <w:p w14:paraId="5D6AD65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芒市华盛金矿开发有限公司生产勘探项目位于云南省芒市三台山乡上芒岗麦窝坝，与芒市市区直线距离31km。中心地理坐标为东经98°21′28″-98°22′46″，北纬24°18′15″-24°19′19″，交通方便。项目地理位置图见附图1。</w:t>
            </w:r>
          </w:p>
          <w:p w14:paraId="4BB5986B">
            <w:pPr>
              <w:pStyle w:val="73"/>
              <w:keepNext w:val="0"/>
              <w:keepLines w:val="0"/>
              <w:suppressLineNumbers w:val="0"/>
              <w:spacing w:before="0" w:beforeAutospacing="0" w:after="0" w:afterAutospacing="0" w:line="520" w:lineRule="exact"/>
              <w:ind w:left="0" w:right="0" w:firstLine="480" w:firstLineChars="200"/>
              <w:rPr>
                <w:rFonts w:hint="eastAsia" w:ascii="Times New Roman" w:hAnsi="Times New Roman" w:eastAsia="宋体" w:cs="Times New Roman"/>
                <w:color w:val="auto"/>
                <w:lang w:val="en-US" w:eastAsia="zh-CN"/>
              </w:rPr>
            </w:pPr>
            <w:r>
              <w:rPr>
                <w:rFonts w:ascii="Times New Roman" w:hAnsi="Times New Roman" w:eastAsia="宋体" w:cs="Times New Roman"/>
                <w:color w:val="auto"/>
              </w:rPr>
              <w:t>矿区采矿许可证范围由17个拐点圈定</w:t>
            </w:r>
            <w:r>
              <w:rPr>
                <w:rFonts w:hint="eastAsia" w:ascii="Times New Roman" w:hAnsi="Times New Roman" w:eastAsia="宋体" w:cs="Times New Roman"/>
                <w:color w:val="auto"/>
              </w:rPr>
              <w:t>，</w:t>
            </w:r>
            <w:bookmarkStart w:id="2" w:name="_Hlk95726194"/>
            <w:r>
              <w:rPr>
                <w:rFonts w:hint="eastAsia" w:ascii="Times New Roman" w:hAnsi="Times New Roman" w:eastAsia="宋体" w:cs="Times New Roman"/>
                <w:color w:val="auto"/>
              </w:rPr>
              <w:t>分两个矿段（</w:t>
            </w:r>
            <w:r>
              <w:rPr>
                <w:rFonts w:ascii="Times New Roman" w:hAnsi="Times New Roman" w:eastAsia="宋体" w:cs="Times New Roman"/>
                <w:color w:val="auto"/>
              </w:rPr>
              <w:t>果园矿段与麦窝坝矿段</w:t>
            </w:r>
            <w:r>
              <w:rPr>
                <w:rFonts w:hint="eastAsia" w:ascii="Times New Roman" w:hAnsi="Times New Roman" w:eastAsia="宋体" w:cs="Times New Roman"/>
                <w:color w:val="auto"/>
              </w:rPr>
              <w:t>）</w:t>
            </w:r>
            <w:r>
              <w:rPr>
                <w:rFonts w:ascii="Times New Roman" w:hAnsi="Times New Roman" w:eastAsia="宋体" w:cs="Times New Roman"/>
                <w:color w:val="auto"/>
              </w:rPr>
              <w:t>，</w:t>
            </w:r>
            <w:bookmarkEnd w:id="2"/>
            <w:r>
              <w:rPr>
                <w:rFonts w:ascii="Times New Roman" w:hAnsi="Times New Roman" w:eastAsia="宋体" w:cs="Times New Roman"/>
                <w:color w:val="auto"/>
              </w:rPr>
              <w:t>矿区面积0.6338km</w:t>
            </w:r>
            <w:r>
              <w:rPr>
                <w:rFonts w:ascii="Times New Roman" w:hAnsi="Times New Roman" w:eastAsia="宋体" w:cs="Times New Roman"/>
                <w:color w:val="auto"/>
                <w:vertAlign w:val="superscript"/>
              </w:rPr>
              <w:t>2</w:t>
            </w:r>
            <w:r>
              <w:rPr>
                <w:rFonts w:ascii="Times New Roman" w:hAnsi="Times New Roman" w:eastAsia="宋体" w:cs="Times New Roman"/>
                <w:color w:val="auto"/>
              </w:rPr>
              <w:t>，开采标高：1100m～1500m，矿区范围拐点坐标及见表</w:t>
            </w:r>
            <w:r>
              <w:rPr>
                <w:rFonts w:hint="eastAsia" w:ascii="Times New Roman" w:hAnsi="Times New Roman" w:eastAsia="宋体" w:cs="Times New Roman"/>
                <w:color w:val="auto"/>
                <w:lang w:val="en-US" w:eastAsia="zh-CN"/>
              </w:rPr>
              <w:t>2</w:t>
            </w:r>
            <w:r>
              <w:rPr>
                <w:rFonts w:ascii="Times New Roman" w:hAnsi="Times New Roman" w:eastAsia="宋体" w:cs="Times New Roman"/>
                <w:color w:val="auto"/>
              </w:rPr>
              <w:t>-1</w:t>
            </w:r>
            <w:r>
              <w:rPr>
                <w:rFonts w:hint="eastAsia" w:ascii="Times New Roman" w:hAnsi="Times New Roman" w:eastAsia="宋体" w:cs="Times New Roman"/>
                <w:color w:val="auto"/>
                <w:lang w:eastAsia="zh-CN"/>
              </w:rPr>
              <w:t>。</w:t>
            </w:r>
          </w:p>
          <w:tbl>
            <w:tblPr>
              <w:tblStyle w:val="31"/>
              <w:tblW w:w="5000" w:type="pct"/>
              <w:jc w:val="center"/>
              <w:tblLayout w:type="autofit"/>
              <w:tblCellMar>
                <w:top w:w="0" w:type="dxa"/>
                <w:left w:w="108" w:type="dxa"/>
                <w:bottom w:w="0" w:type="dxa"/>
                <w:right w:w="108" w:type="dxa"/>
              </w:tblCellMar>
            </w:tblPr>
            <w:tblGrid>
              <w:gridCol w:w="756"/>
              <w:gridCol w:w="636"/>
              <w:gridCol w:w="1221"/>
              <w:gridCol w:w="1567"/>
              <w:gridCol w:w="752"/>
              <w:gridCol w:w="1440"/>
              <w:gridCol w:w="1565"/>
            </w:tblGrid>
            <w:tr w14:paraId="7C74582B">
              <w:tblPrEx>
                <w:tblCellMar>
                  <w:top w:w="0" w:type="dxa"/>
                  <w:left w:w="108" w:type="dxa"/>
                  <w:bottom w:w="0" w:type="dxa"/>
                  <w:right w:w="108" w:type="dxa"/>
                </w:tblCellMar>
              </w:tblPrEx>
              <w:trPr>
                <w:trHeight w:val="284" w:hRule="atLeast"/>
                <w:tblHeader/>
                <w:jc w:val="center"/>
              </w:trPr>
              <w:tc>
                <w:tcPr>
                  <w:tcW w:w="5000" w:type="pct"/>
                  <w:gridSpan w:val="7"/>
                  <w:tcBorders>
                    <w:bottom w:val="single" w:color="auto" w:sz="4" w:space="0"/>
                  </w:tcBorders>
                  <w:noWrap w:val="0"/>
                  <w:vAlign w:val="top"/>
                </w:tcPr>
                <w:p w14:paraId="0894260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bookmarkStart w:id="3" w:name="_Hlk95726290"/>
                  <w:r>
                    <w:rPr>
                      <w:rFonts w:hint="default" w:ascii="Times New Roman" w:hAnsi="Times New Roman" w:cs="Times New Roman"/>
                      <w:b/>
                      <w:bCs/>
                      <w:color w:val="auto"/>
                      <w:sz w:val="24"/>
                      <w:szCs w:val="24"/>
                    </w:rPr>
                    <w:t>表</w:t>
                  </w: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-1</w:t>
                  </w:r>
                  <w:r>
                    <w:rPr>
                      <w:rFonts w:hint="eastAsia" w:ascii="Times New Roman" w:hAnsi="Times New Roman" w:cs="Times New Roman"/>
                      <w:b/>
                      <w:bCs/>
                      <w:color w:val="auto"/>
                      <w:sz w:val="24"/>
                      <w:szCs w:val="24"/>
                    </w:rPr>
                    <w:t xml:space="preserve">  </w:t>
                  </w:r>
                  <w:r>
                    <w:rPr>
                      <w:rFonts w:hint="default" w:ascii="Times New Roman" w:hAnsi="Times New Roman" w:cs="Times New Roman"/>
                      <w:b/>
                      <w:bCs/>
                      <w:color w:val="auto"/>
                      <w:sz w:val="24"/>
                      <w:szCs w:val="24"/>
                    </w:rPr>
                    <w:t>芒市金矿采矿权拐点坐标</w:t>
                  </w:r>
                </w:p>
              </w:tc>
            </w:tr>
            <w:tr w14:paraId="046867AD">
              <w:tblPrEx>
                <w:tblCellMar>
                  <w:top w:w="0" w:type="dxa"/>
                  <w:left w:w="108" w:type="dxa"/>
                  <w:bottom w:w="0" w:type="dxa"/>
                  <w:right w:w="108" w:type="dxa"/>
                </w:tblCellMar>
              </w:tblPrEx>
              <w:trPr>
                <w:trHeight w:val="284" w:hRule="atLeast"/>
                <w:tblHeader/>
                <w:jc w:val="center"/>
              </w:trPr>
              <w:tc>
                <w:tcPr>
                  <w:tcW w:w="480" w:type="pct"/>
                  <w:vMerge w:val="restart"/>
                  <w:tcBorders>
                    <w:top w:val="single" w:color="auto" w:sz="4" w:space="0"/>
                    <w:left w:val="single" w:color="auto" w:sz="4" w:space="0"/>
                    <w:right w:val="single" w:color="auto" w:sz="4" w:space="0"/>
                  </w:tcBorders>
                  <w:noWrap w:val="0"/>
                  <w:vAlign w:val="top"/>
                </w:tcPr>
                <w:p w14:paraId="55A5ADF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矿段</w:t>
                  </w:r>
                </w:p>
                <w:p w14:paraId="32E3BD1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名称</w:t>
                  </w:r>
                </w:p>
              </w:tc>
              <w:tc>
                <w:tcPr>
                  <w:tcW w:w="2144" w:type="pct"/>
                  <w:gridSpan w:val="3"/>
                  <w:tcBorders>
                    <w:top w:val="single" w:color="auto" w:sz="4" w:space="0"/>
                    <w:left w:val="single" w:color="auto" w:sz="4" w:space="0"/>
                    <w:bottom w:val="single" w:color="auto" w:sz="4" w:space="0"/>
                    <w:right w:val="single" w:color="auto" w:sz="4" w:space="0"/>
                  </w:tcBorders>
                  <w:noWrap/>
                  <w:vAlign w:val="center"/>
                </w:tcPr>
                <w:p w14:paraId="380AE4E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国家2000直角坐标</w:t>
                  </w:r>
                </w:p>
              </w:tc>
              <w:tc>
                <w:tcPr>
                  <w:tcW w:w="2376" w:type="pct"/>
                  <w:gridSpan w:val="3"/>
                  <w:tcBorders>
                    <w:top w:val="single" w:color="auto" w:sz="4" w:space="0"/>
                    <w:left w:val="nil"/>
                    <w:bottom w:val="single" w:color="auto" w:sz="4" w:space="0"/>
                    <w:right w:val="single" w:color="auto" w:sz="4" w:space="0"/>
                  </w:tcBorders>
                  <w:noWrap/>
                  <w:vAlign w:val="center"/>
                </w:tcPr>
                <w:p w14:paraId="6B86006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西安80直角坐标系</w:t>
                  </w:r>
                </w:p>
              </w:tc>
            </w:tr>
            <w:tr w14:paraId="5D682C3A">
              <w:tblPrEx>
                <w:tblCellMar>
                  <w:top w:w="0" w:type="dxa"/>
                  <w:left w:w="108" w:type="dxa"/>
                  <w:bottom w:w="0" w:type="dxa"/>
                  <w:right w:w="108" w:type="dxa"/>
                </w:tblCellMar>
              </w:tblPrEx>
              <w:trPr>
                <w:trHeight w:val="284" w:hRule="atLeast"/>
                <w:tblHeader/>
                <w:jc w:val="center"/>
              </w:trPr>
              <w:tc>
                <w:tcPr>
                  <w:tcW w:w="480" w:type="pct"/>
                  <w:vMerge w:val="continue"/>
                  <w:tcBorders>
                    <w:left w:val="single" w:color="auto" w:sz="4" w:space="0"/>
                    <w:bottom w:val="single" w:color="auto" w:sz="4" w:space="0"/>
                    <w:right w:val="single" w:color="auto" w:sz="4" w:space="0"/>
                  </w:tcBorders>
                  <w:noWrap w:val="0"/>
                  <w:vAlign w:val="top"/>
                </w:tcPr>
                <w:p w14:paraId="735675B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c>
                <w:tcPr>
                  <w:tcW w:w="381" w:type="pct"/>
                  <w:tcBorders>
                    <w:top w:val="nil"/>
                    <w:left w:val="single" w:color="auto" w:sz="4" w:space="0"/>
                    <w:bottom w:val="single" w:color="auto" w:sz="4" w:space="0"/>
                    <w:right w:val="single" w:color="auto" w:sz="4" w:space="0"/>
                  </w:tcBorders>
                  <w:noWrap/>
                  <w:vAlign w:val="center"/>
                </w:tcPr>
                <w:p w14:paraId="3A98417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773" w:type="pct"/>
                  <w:tcBorders>
                    <w:top w:val="nil"/>
                    <w:left w:val="nil"/>
                    <w:bottom w:val="single" w:color="auto" w:sz="4" w:space="0"/>
                    <w:right w:val="single" w:color="auto" w:sz="4" w:space="0"/>
                  </w:tcBorders>
                  <w:noWrap/>
                  <w:vAlign w:val="center"/>
                </w:tcPr>
                <w:p w14:paraId="1DEB7E4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X</w:t>
                  </w:r>
                </w:p>
              </w:tc>
              <w:tc>
                <w:tcPr>
                  <w:tcW w:w="990" w:type="pct"/>
                  <w:tcBorders>
                    <w:top w:val="nil"/>
                    <w:left w:val="nil"/>
                    <w:bottom w:val="single" w:color="auto" w:sz="4" w:space="0"/>
                    <w:right w:val="single" w:color="auto" w:sz="4" w:space="0"/>
                  </w:tcBorders>
                  <w:noWrap/>
                  <w:vAlign w:val="center"/>
                </w:tcPr>
                <w:p w14:paraId="10D6D2A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Y</w:t>
                  </w:r>
                </w:p>
              </w:tc>
              <w:tc>
                <w:tcPr>
                  <w:tcW w:w="477" w:type="pct"/>
                  <w:tcBorders>
                    <w:top w:val="nil"/>
                    <w:left w:val="nil"/>
                    <w:bottom w:val="single" w:color="auto" w:sz="4" w:space="0"/>
                    <w:right w:val="single" w:color="auto" w:sz="4" w:space="0"/>
                  </w:tcBorders>
                  <w:noWrap/>
                  <w:vAlign w:val="center"/>
                </w:tcPr>
                <w:p w14:paraId="065DC16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910" w:type="pct"/>
                  <w:tcBorders>
                    <w:top w:val="nil"/>
                    <w:left w:val="nil"/>
                    <w:bottom w:val="single" w:color="auto" w:sz="4" w:space="0"/>
                    <w:right w:val="single" w:color="auto" w:sz="4" w:space="0"/>
                  </w:tcBorders>
                  <w:noWrap/>
                  <w:vAlign w:val="center"/>
                </w:tcPr>
                <w:p w14:paraId="13CBC0E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X</w:t>
                  </w:r>
                </w:p>
              </w:tc>
              <w:tc>
                <w:tcPr>
                  <w:tcW w:w="989" w:type="pct"/>
                  <w:tcBorders>
                    <w:top w:val="nil"/>
                    <w:left w:val="nil"/>
                    <w:bottom w:val="single" w:color="auto" w:sz="4" w:space="0"/>
                    <w:right w:val="single" w:color="auto" w:sz="4" w:space="0"/>
                  </w:tcBorders>
                  <w:noWrap/>
                  <w:vAlign w:val="center"/>
                </w:tcPr>
                <w:p w14:paraId="5F62BC9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Y</w:t>
                  </w:r>
                </w:p>
              </w:tc>
            </w:tr>
            <w:tr w14:paraId="016194E5">
              <w:tblPrEx>
                <w:tblCellMar>
                  <w:top w:w="0" w:type="dxa"/>
                  <w:left w:w="108" w:type="dxa"/>
                  <w:bottom w:w="0" w:type="dxa"/>
                  <w:right w:w="108" w:type="dxa"/>
                </w:tblCellMar>
              </w:tblPrEx>
              <w:trPr>
                <w:trHeight w:val="284" w:hRule="atLeast"/>
                <w:jc w:val="center"/>
              </w:trPr>
              <w:tc>
                <w:tcPr>
                  <w:tcW w:w="480" w:type="pct"/>
                  <w:vMerge w:val="restart"/>
                  <w:tcBorders>
                    <w:top w:val="nil"/>
                    <w:left w:val="single" w:color="auto" w:sz="4" w:space="0"/>
                    <w:right w:val="single" w:color="auto" w:sz="4" w:space="0"/>
                  </w:tcBorders>
                  <w:noWrap w:val="0"/>
                  <w:vAlign w:val="center"/>
                </w:tcPr>
                <w:p w14:paraId="7DE99F7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麦</w:t>
                  </w:r>
                </w:p>
                <w:p w14:paraId="1548FF5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窝</w:t>
                  </w:r>
                </w:p>
                <w:p w14:paraId="1A8532D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坝</w:t>
                  </w:r>
                </w:p>
                <w:p w14:paraId="1F0621E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矿</w:t>
                  </w:r>
                </w:p>
                <w:p w14:paraId="03E0382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段</w:t>
                  </w:r>
                </w:p>
              </w:tc>
              <w:tc>
                <w:tcPr>
                  <w:tcW w:w="381" w:type="pct"/>
                  <w:tcBorders>
                    <w:top w:val="nil"/>
                    <w:left w:val="single" w:color="auto" w:sz="4" w:space="0"/>
                    <w:bottom w:val="single" w:color="auto" w:sz="4" w:space="0"/>
                    <w:right w:val="single" w:color="auto" w:sz="4" w:space="0"/>
                  </w:tcBorders>
                  <w:noWrap/>
                  <w:vAlign w:val="center"/>
                </w:tcPr>
                <w:p w14:paraId="4B204D3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773" w:type="pct"/>
                  <w:tcBorders>
                    <w:top w:val="nil"/>
                    <w:left w:val="nil"/>
                    <w:bottom w:val="single" w:color="auto" w:sz="4" w:space="0"/>
                    <w:right w:val="single" w:color="auto" w:sz="4" w:space="0"/>
                  </w:tcBorders>
                  <w:noWrap/>
                  <w:vAlign w:val="center"/>
                </w:tcPr>
                <w:p w14:paraId="06604B4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2689694.05</w:t>
                  </w:r>
                </w:p>
              </w:tc>
              <w:tc>
                <w:tcPr>
                  <w:tcW w:w="990" w:type="pct"/>
                  <w:tcBorders>
                    <w:top w:val="nil"/>
                    <w:left w:val="nil"/>
                    <w:bottom w:val="single" w:color="auto" w:sz="4" w:space="0"/>
                    <w:right w:val="single" w:color="auto" w:sz="4" w:space="0"/>
                  </w:tcBorders>
                  <w:noWrap/>
                  <w:vAlign w:val="center"/>
                </w:tcPr>
                <w:p w14:paraId="3DB3B49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33435486.70</w:t>
                  </w:r>
                </w:p>
              </w:tc>
              <w:tc>
                <w:tcPr>
                  <w:tcW w:w="477" w:type="pct"/>
                  <w:tcBorders>
                    <w:top w:val="nil"/>
                    <w:left w:val="nil"/>
                    <w:bottom w:val="single" w:color="auto" w:sz="4" w:space="0"/>
                    <w:right w:val="single" w:color="auto" w:sz="4" w:space="0"/>
                  </w:tcBorders>
                  <w:noWrap/>
                  <w:vAlign w:val="center"/>
                </w:tcPr>
                <w:p w14:paraId="4D3FAFF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910" w:type="pct"/>
                  <w:tcBorders>
                    <w:top w:val="nil"/>
                    <w:left w:val="nil"/>
                    <w:bottom w:val="single" w:color="auto" w:sz="4" w:space="0"/>
                    <w:right w:val="single" w:color="auto" w:sz="4" w:space="0"/>
                  </w:tcBorders>
                  <w:noWrap/>
                  <w:vAlign w:val="center"/>
                </w:tcPr>
                <w:p w14:paraId="60CC891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2689686.13</w:t>
                  </w:r>
                </w:p>
              </w:tc>
              <w:tc>
                <w:tcPr>
                  <w:tcW w:w="989" w:type="pct"/>
                  <w:tcBorders>
                    <w:top w:val="nil"/>
                    <w:left w:val="nil"/>
                    <w:bottom w:val="single" w:color="auto" w:sz="4" w:space="0"/>
                    <w:right w:val="single" w:color="auto" w:sz="4" w:space="0"/>
                  </w:tcBorders>
                  <w:noWrap/>
                  <w:vAlign w:val="center"/>
                </w:tcPr>
                <w:p w14:paraId="47C84EE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33435378.13</w:t>
                  </w:r>
                </w:p>
              </w:tc>
            </w:tr>
            <w:tr w14:paraId="3B7A65EE">
              <w:tblPrEx>
                <w:tblCellMar>
                  <w:top w:w="0" w:type="dxa"/>
                  <w:left w:w="108" w:type="dxa"/>
                  <w:bottom w:w="0" w:type="dxa"/>
                  <w:right w:w="108" w:type="dxa"/>
                </w:tblCellMar>
              </w:tblPrEx>
              <w:trPr>
                <w:trHeight w:val="284" w:hRule="atLeast"/>
                <w:jc w:val="center"/>
              </w:trPr>
              <w:tc>
                <w:tcPr>
                  <w:tcW w:w="480" w:type="pct"/>
                  <w:vMerge w:val="continue"/>
                  <w:tcBorders>
                    <w:left w:val="single" w:color="auto" w:sz="4" w:space="0"/>
                    <w:right w:val="single" w:color="auto" w:sz="4" w:space="0"/>
                  </w:tcBorders>
                  <w:noWrap w:val="0"/>
                  <w:vAlign w:val="center"/>
                </w:tcPr>
                <w:p w14:paraId="055E127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c>
                <w:tcPr>
                  <w:tcW w:w="381" w:type="pct"/>
                  <w:tcBorders>
                    <w:top w:val="nil"/>
                    <w:left w:val="single" w:color="auto" w:sz="4" w:space="0"/>
                    <w:bottom w:val="single" w:color="auto" w:sz="4" w:space="0"/>
                    <w:right w:val="single" w:color="auto" w:sz="4" w:space="0"/>
                  </w:tcBorders>
                  <w:noWrap/>
                  <w:vAlign w:val="center"/>
                </w:tcPr>
                <w:p w14:paraId="02CDE5E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w:t>
                  </w:r>
                </w:p>
              </w:tc>
              <w:tc>
                <w:tcPr>
                  <w:tcW w:w="773" w:type="pct"/>
                  <w:tcBorders>
                    <w:top w:val="nil"/>
                    <w:left w:val="nil"/>
                    <w:bottom w:val="single" w:color="auto" w:sz="4" w:space="0"/>
                    <w:right w:val="single" w:color="auto" w:sz="4" w:space="0"/>
                  </w:tcBorders>
                  <w:noWrap/>
                  <w:vAlign w:val="center"/>
                </w:tcPr>
                <w:p w14:paraId="1F1A989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2690151.06</w:t>
                  </w:r>
                </w:p>
              </w:tc>
              <w:tc>
                <w:tcPr>
                  <w:tcW w:w="990" w:type="pct"/>
                  <w:tcBorders>
                    <w:top w:val="nil"/>
                    <w:left w:val="nil"/>
                    <w:bottom w:val="single" w:color="auto" w:sz="4" w:space="0"/>
                    <w:right w:val="single" w:color="auto" w:sz="4" w:space="0"/>
                  </w:tcBorders>
                  <w:noWrap/>
                  <w:vAlign w:val="center"/>
                </w:tcPr>
                <w:p w14:paraId="6FCACB8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33435728.70</w:t>
                  </w:r>
                </w:p>
              </w:tc>
              <w:tc>
                <w:tcPr>
                  <w:tcW w:w="477" w:type="pct"/>
                  <w:tcBorders>
                    <w:top w:val="nil"/>
                    <w:left w:val="nil"/>
                    <w:bottom w:val="single" w:color="auto" w:sz="4" w:space="0"/>
                    <w:right w:val="single" w:color="auto" w:sz="4" w:space="0"/>
                  </w:tcBorders>
                  <w:noWrap/>
                  <w:vAlign w:val="center"/>
                </w:tcPr>
                <w:p w14:paraId="6E960DF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w:t>
                  </w:r>
                </w:p>
              </w:tc>
              <w:tc>
                <w:tcPr>
                  <w:tcW w:w="910" w:type="pct"/>
                  <w:tcBorders>
                    <w:top w:val="nil"/>
                    <w:left w:val="nil"/>
                    <w:bottom w:val="single" w:color="auto" w:sz="4" w:space="0"/>
                    <w:right w:val="single" w:color="auto" w:sz="4" w:space="0"/>
                  </w:tcBorders>
                  <w:noWrap/>
                  <w:vAlign w:val="center"/>
                </w:tcPr>
                <w:p w14:paraId="50A3536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2690143.13</w:t>
                  </w:r>
                </w:p>
              </w:tc>
              <w:tc>
                <w:tcPr>
                  <w:tcW w:w="989" w:type="pct"/>
                  <w:tcBorders>
                    <w:top w:val="nil"/>
                    <w:left w:val="nil"/>
                    <w:bottom w:val="single" w:color="auto" w:sz="4" w:space="0"/>
                    <w:right w:val="single" w:color="auto" w:sz="4" w:space="0"/>
                  </w:tcBorders>
                  <w:noWrap/>
                  <w:vAlign w:val="center"/>
                </w:tcPr>
                <w:p w14:paraId="56C3501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33435620.13</w:t>
                  </w:r>
                </w:p>
              </w:tc>
            </w:tr>
            <w:tr w14:paraId="16482348">
              <w:tblPrEx>
                <w:tblCellMar>
                  <w:top w:w="0" w:type="dxa"/>
                  <w:left w:w="108" w:type="dxa"/>
                  <w:bottom w:w="0" w:type="dxa"/>
                  <w:right w:w="108" w:type="dxa"/>
                </w:tblCellMar>
              </w:tblPrEx>
              <w:trPr>
                <w:trHeight w:val="284" w:hRule="atLeast"/>
                <w:jc w:val="center"/>
              </w:trPr>
              <w:tc>
                <w:tcPr>
                  <w:tcW w:w="480" w:type="pct"/>
                  <w:vMerge w:val="continue"/>
                  <w:tcBorders>
                    <w:left w:val="single" w:color="auto" w:sz="4" w:space="0"/>
                    <w:right w:val="single" w:color="auto" w:sz="4" w:space="0"/>
                  </w:tcBorders>
                  <w:noWrap w:val="0"/>
                  <w:vAlign w:val="center"/>
                </w:tcPr>
                <w:p w14:paraId="21F5B5D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c>
                <w:tcPr>
                  <w:tcW w:w="381" w:type="pct"/>
                  <w:tcBorders>
                    <w:top w:val="nil"/>
                    <w:left w:val="single" w:color="auto" w:sz="4" w:space="0"/>
                    <w:bottom w:val="single" w:color="auto" w:sz="4" w:space="0"/>
                    <w:right w:val="single" w:color="auto" w:sz="4" w:space="0"/>
                  </w:tcBorders>
                  <w:noWrap/>
                  <w:vAlign w:val="center"/>
                </w:tcPr>
                <w:p w14:paraId="038D1D6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w:t>
                  </w:r>
                </w:p>
              </w:tc>
              <w:tc>
                <w:tcPr>
                  <w:tcW w:w="773" w:type="pct"/>
                  <w:tcBorders>
                    <w:top w:val="nil"/>
                    <w:left w:val="nil"/>
                    <w:bottom w:val="single" w:color="auto" w:sz="4" w:space="0"/>
                    <w:right w:val="single" w:color="auto" w:sz="4" w:space="0"/>
                  </w:tcBorders>
                  <w:noWrap/>
                  <w:vAlign w:val="center"/>
                </w:tcPr>
                <w:p w14:paraId="50D223C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2690354.06</w:t>
                  </w:r>
                </w:p>
              </w:tc>
              <w:tc>
                <w:tcPr>
                  <w:tcW w:w="990" w:type="pct"/>
                  <w:tcBorders>
                    <w:top w:val="nil"/>
                    <w:left w:val="nil"/>
                    <w:bottom w:val="single" w:color="auto" w:sz="4" w:space="0"/>
                    <w:right w:val="single" w:color="auto" w:sz="4" w:space="0"/>
                  </w:tcBorders>
                  <w:noWrap/>
                  <w:vAlign w:val="center"/>
                </w:tcPr>
                <w:p w14:paraId="1EF3B4E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33435996.71</w:t>
                  </w:r>
                </w:p>
              </w:tc>
              <w:tc>
                <w:tcPr>
                  <w:tcW w:w="477" w:type="pct"/>
                  <w:tcBorders>
                    <w:top w:val="nil"/>
                    <w:left w:val="nil"/>
                    <w:bottom w:val="single" w:color="auto" w:sz="4" w:space="0"/>
                    <w:right w:val="single" w:color="auto" w:sz="4" w:space="0"/>
                  </w:tcBorders>
                  <w:noWrap/>
                  <w:vAlign w:val="center"/>
                </w:tcPr>
                <w:p w14:paraId="31C2F2E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w:t>
                  </w:r>
                </w:p>
              </w:tc>
              <w:tc>
                <w:tcPr>
                  <w:tcW w:w="910" w:type="pct"/>
                  <w:tcBorders>
                    <w:top w:val="nil"/>
                    <w:left w:val="nil"/>
                    <w:bottom w:val="single" w:color="auto" w:sz="4" w:space="0"/>
                    <w:right w:val="single" w:color="auto" w:sz="4" w:space="0"/>
                  </w:tcBorders>
                  <w:noWrap/>
                  <w:vAlign w:val="center"/>
                </w:tcPr>
                <w:p w14:paraId="7A46C3C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2690346.13</w:t>
                  </w:r>
                </w:p>
              </w:tc>
              <w:tc>
                <w:tcPr>
                  <w:tcW w:w="989" w:type="pct"/>
                  <w:tcBorders>
                    <w:top w:val="nil"/>
                    <w:left w:val="nil"/>
                    <w:bottom w:val="single" w:color="auto" w:sz="4" w:space="0"/>
                    <w:right w:val="single" w:color="auto" w:sz="4" w:space="0"/>
                  </w:tcBorders>
                  <w:noWrap/>
                  <w:vAlign w:val="center"/>
                </w:tcPr>
                <w:p w14:paraId="7FE291F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33435888.13</w:t>
                  </w:r>
                </w:p>
              </w:tc>
            </w:tr>
            <w:tr w14:paraId="742219B6">
              <w:tblPrEx>
                <w:tblCellMar>
                  <w:top w:w="0" w:type="dxa"/>
                  <w:left w:w="108" w:type="dxa"/>
                  <w:bottom w:w="0" w:type="dxa"/>
                  <w:right w:w="108" w:type="dxa"/>
                </w:tblCellMar>
              </w:tblPrEx>
              <w:trPr>
                <w:trHeight w:val="284" w:hRule="atLeast"/>
                <w:jc w:val="center"/>
              </w:trPr>
              <w:tc>
                <w:tcPr>
                  <w:tcW w:w="480" w:type="pct"/>
                  <w:vMerge w:val="continue"/>
                  <w:tcBorders>
                    <w:left w:val="single" w:color="auto" w:sz="4" w:space="0"/>
                    <w:right w:val="single" w:color="auto" w:sz="4" w:space="0"/>
                  </w:tcBorders>
                  <w:noWrap w:val="0"/>
                  <w:vAlign w:val="center"/>
                </w:tcPr>
                <w:p w14:paraId="3E87936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c>
                <w:tcPr>
                  <w:tcW w:w="381" w:type="pct"/>
                  <w:tcBorders>
                    <w:top w:val="nil"/>
                    <w:left w:val="single" w:color="auto" w:sz="4" w:space="0"/>
                    <w:bottom w:val="single" w:color="auto" w:sz="4" w:space="0"/>
                    <w:right w:val="single" w:color="auto" w:sz="4" w:space="0"/>
                  </w:tcBorders>
                  <w:noWrap/>
                  <w:vAlign w:val="center"/>
                </w:tcPr>
                <w:p w14:paraId="37E5B19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w:t>
                  </w:r>
                </w:p>
              </w:tc>
              <w:tc>
                <w:tcPr>
                  <w:tcW w:w="773" w:type="pct"/>
                  <w:tcBorders>
                    <w:top w:val="nil"/>
                    <w:left w:val="nil"/>
                    <w:bottom w:val="single" w:color="auto" w:sz="4" w:space="0"/>
                    <w:right w:val="single" w:color="auto" w:sz="4" w:space="0"/>
                  </w:tcBorders>
                  <w:noWrap/>
                  <w:vAlign w:val="center"/>
                </w:tcPr>
                <w:p w14:paraId="78B9ABE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2690214.06</w:t>
                  </w:r>
                </w:p>
              </w:tc>
              <w:tc>
                <w:tcPr>
                  <w:tcW w:w="990" w:type="pct"/>
                  <w:tcBorders>
                    <w:top w:val="nil"/>
                    <w:left w:val="nil"/>
                    <w:bottom w:val="single" w:color="auto" w:sz="4" w:space="0"/>
                    <w:right w:val="single" w:color="auto" w:sz="4" w:space="0"/>
                  </w:tcBorders>
                  <w:noWrap/>
                  <w:vAlign w:val="center"/>
                </w:tcPr>
                <w:p w14:paraId="3AB03FD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33436196.71</w:t>
                  </w:r>
                </w:p>
              </w:tc>
              <w:tc>
                <w:tcPr>
                  <w:tcW w:w="477" w:type="pct"/>
                  <w:tcBorders>
                    <w:top w:val="nil"/>
                    <w:left w:val="nil"/>
                    <w:bottom w:val="single" w:color="auto" w:sz="4" w:space="0"/>
                    <w:right w:val="single" w:color="auto" w:sz="4" w:space="0"/>
                  </w:tcBorders>
                  <w:noWrap/>
                  <w:vAlign w:val="center"/>
                </w:tcPr>
                <w:p w14:paraId="44D4791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w:t>
                  </w:r>
                </w:p>
              </w:tc>
              <w:tc>
                <w:tcPr>
                  <w:tcW w:w="910" w:type="pct"/>
                  <w:tcBorders>
                    <w:top w:val="nil"/>
                    <w:left w:val="nil"/>
                    <w:bottom w:val="single" w:color="auto" w:sz="4" w:space="0"/>
                    <w:right w:val="single" w:color="auto" w:sz="4" w:space="0"/>
                  </w:tcBorders>
                  <w:noWrap/>
                  <w:vAlign w:val="center"/>
                </w:tcPr>
                <w:p w14:paraId="29F7984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2690206.13</w:t>
                  </w:r>
                </w:p>
              </w:tc>
              <w:tc>
                <w:tcPr>
                  <w:tcW w:w="989" w:type="pct"/>
                  <w:tcBorders>
                    <w:top w:val="nil"/>
                    <w:left w:val="nil"/>
                    <w:bottom w:val="single" w:color="auto" w:sz="4" w:space="0"/>
                    <w:right w:val="single" w:color="auto" w:sz="4" w:space="0"/>
                  </w:tcBorders>
                  <w:noWrap/>
                  <w:vAlign w:val="center"/>
                </w:tcPr>
                <w:p w14:paraId="197DAA7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33436088.13</w:t>
                  </w:r>
                </w:p>
              </w:tc>
            </w:tr>
            <w:tr w14:paraId="6CFCBEF9">
              <w:tblPrEx>
                <w:tblCellMar>
                  <w:top w:w="0" w:type="dxa"/>
                  <w:left w:w="108" w:type="dxa"/>
                  <w:bottom w:w="0" w:type="dxa"/>
                  <w:right w:w="108" w:type="dxa"/>
                </w:tblCellMar>
              </w:tblPrEx>
              <w:trPr>
                <w:trHeight w:val="284" w:hRule="atLeast"/>
                <w:jc w:val="center"/>
              </w:trPr>
              <w:tc>
                <w:tcPr>
                  <w:tcW w:w="480" w:type="pct"/>
                  <w:vMerge w:val="continue"/>
                  <w:tcBorders>
                    <w:left w:val="single" w:color="auto" w:sz="4" w:space="0"/>
                    <w:right w:val="single" w:color="auto" w:sz="4" w:space="0"/>
                  </w:tcBorders>
                  <w:noWrap w:val="0"/>
                  <w:vAlign w:val="center"/>
                </w:tcPr>
                <w:p w14:paraId="1169584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c>
                <w:tcPr>
                  <w:tcW w:w="381" w:type="pct"/>
                  <w:tcBorders>
                    <w:top w:val="nil"/>
                    <w:left w:val="single" w:color="auto" w:sz="4" w:space="0"/>
                    <w:bottom w:val="single" w:color="auto" w:sz="4" w:space="0"/>
                    <w:right w:val="single" w:color="auto" w:sz="4" w:space="0"/>
                  </w:tcBorders>
                  <w:noWrap/>
                  <w:vAlign w:val="center"/>
                </w:tcPr>
                <w:p w14:paraId="4F40AB8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w:t>
                  </w:r>
                </w:p>
              </w:tc>
              <w:tc>
                <w:tcPr>
                  <w:tcW w:w="773" w:type="pct"/>
                  <w:tcBorders>
                    <w:top w:val="nil"/>
                    <w:left w:val="nil"/>
                    <w:bottom w:val="single" w:color="auto" w:sz="4" w:space="0"/>
                    <w:right w:val="single" w:color="auto" w:sz="4" w:space="0"/>
                  </w:tcBorders>
                  <w:noWrap/>
                  <w:vAlign w:val="center"/>
                </w:tcPr>
                <w:p w14:paraId="3D14FF6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2689544.05</w:t>
                  </w:r>
                </w:p>
              </w:tc>
              <w:tc>
                <w:tcPr>
                  <w:tcW w:w="990" w:type="pct"/>
                  <w:tcBorders>
                    <w:top w:val="nil"/>
                    <w:left w:val="nil"/>
                    <w:bottom w:val="single" w:color="auto" w:sz="4" w:space="0"/>
                    <w:right w:val="single" w:color="auto" w:sz="4" w:space="0"/>
                  </w:tcBorders>
                  <w:noWrap/>
                  <w:vAlign w:val="center"/>
                </w:tcPr>
                <w:p w14:paraId="3E2BFA1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33435586.70</w:t>
                  </w:r>
                </w:p>
              </w:tc>
              <w:tc>
                <w:tcPr>
                  <w:tcW w:w="477" w:type="pct"/>
                  <w:tcBorders>
                    <w:top w:val="nil"/>
                    <w:left w:val="nil"/>
                    <w:bottom w:val="single" w:color="auto" w:sz="4" w:space="0"/>
                    <w:right w:val="single" w:color="auto" w:sz="4" w:space="0"/>
                  </w:tcBorders>
                  <w:noWrap/>
                  <w:vAlign w:val="center"/>
                </w:tcPr>
                <w:p w14:paraId="1117239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w:t>
                  </w:r>
                </w:p>
              </w:tc>
              <w:tc>
                <w:tcPr>
                  <w:tcW w:w="910" w:type="pct"/>
                  <w:tcBorders>
                    <w:top w:val="nil"/>
                    <w:left w:val="nil"/>
                    <w:bottom w:val="single" w:color="auto" w:sz="4" w:space="0"/>
                    <w:right w:val="single" w:color="auto" w:sz="4" w:space="0"/>
                  </w:tcBorders>
                  <w:noWrap/>
                  <w:vAlign w:val="center"/>
                </w:tcPr>
                <w:p w14:paraId="544B1F9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2689536.13</w:t>
                  </w:r>
                </w:p>
              </w:tc>
              <w:tc>
                <w:tcPr>
                  <w:tcW w:w="989" w:type="pct"/>
                  <w:tcBorders>
                    <w:top w:val="nil"/>
                    <w:left w:val="nil"/>
                    <w:bottom w:val="single" w:color="auto" w:sz="4" w:space="0"/>
                    <w:right w:val="single" w:color="auto" w:sz="4" w:space="0"/>
                  </w:tcBorders>
                  <w:noWrap/>
                  <w:vAlign w:val="center"/>
                </w:tcPr>
                <w:p w14:paraId="675479F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33435478.13</w:t>
                  </w:r>
                </w:p>
              </w:tc>
            </w:tr>
            <w:tr w14:paraId="31632D83">
              <w:tblPrEx>
                <w:tblCellMar>
                  <w:top w:w="0" w:type="dxa"/>
                  <w:left w:w="108" w:type="dxa"/>
                  <w:bottom w:w="0" w:type="dxa"/>
                  <w:right w:w="108" w:type="dxa"/>
                </w:tblCellMar>
              </w:tblPrEx>
              <w:trPr>
                <w:trHeight w:val="284" w:hRule="atLeast"/>
                <w:jc w:val="center"/>
              </w:trPr>
              <w:tc>
                <w:tcPr>
                  <w:tcW w:w="480" w:type="pct"/>
                  <w:vMerge w:val="continue"/>
                  <w:tcBorders>
                    <w:left w:val="single" w:color="auto" w:sz="4" w:space="0"/>
                    <w:right w:val="single" w:color="auto" w:sz="4" w:space="0"/>
                  </w:tcBorders>
                  <w:noWrap w:val="0"/>
                  <w:vAlign w:val="center"/>
                </w:tcPr>
                <w:p w14:paraId="6C50F3E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c>
                <w:tcPr>
                  <w:tcW w:w="381" w:type="pct"/>
                  <w:tcBorders>
                    <w:top w:val="nil"/>
                    <w:left w:val="single" w:color="auto" w:sz="4" w:space="0"/>
                    <w:bottom w:val="single" w:color="auto" w:sz="4" w:space="0"/>
                    <w:right w:val="single" w:color="auto" w:sz="4" w:space="0"/>
                  </w:tcBorders>
                  <w:noWrap/>
                  <w:vAlign w:val="center"/>
                </w:tcPr>
                <w:p w14:paraId="24343E0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w:t>
                  </w:r>
                </w:p>
              </w:tc>
              <w:tc>
                <w:tcPr>
                  <w:tcW w:w="773" w:type="pct"/>
                  <w:tcBorders>
                    <w:top w:val="nil"/>
                    <w:left w:val="nil"/>
                    <w:bottom w:val="single" w:color="auto" w:sz="4" w:space="0"/>
                    <w:right w:val="single" w:color="auto" w:sz="4" w:space="0"/>
                  </w:tcBorders>
                  <w:noWrap/>
                  <w:vAlign w:val="center"/>
                </w:tcPr>
                <w:p w14:paraId="2D936C1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2689119.77</w:t>
                  </w:r>
                </w:p>
              </w:tc>
              <w:tc>
                <w:tcPr>
                  <w:tcW w:w="990" w:type="pct"/>
                  <w:tcBorders>
                    <w:top w:val="nil"/>
                    <w:left w:val="nil"/>
                    <w:bottom w:val="single" w:color="auto" w:sz="4" w:space="0"/>
                    <w:right w:val="single" w:color="auto" w:sz="4" w:space="0"/>
                  </w:tcBorders>
                  <w:noWrap/>
                  <w:vAlign w:val="center"/>
                </w:tcPr>
                <w:p w14:paraId="5144894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33435393.68</w:t>
                  </w:r>
                </w:p>
              </w:tc>
              <w:tc>
                <w:tcPr>
                  <w:tcW w:w="477" w:type="pct"/>
                  <w:tcBorders>
                    <w:top w:val="nil"/>
                    <w:left w:val="nil"/>
                    <w:bottom w:val="single" w:color="auto" w:sz="4" w:space="0"/>
                    <w:right w:val="single" w:color="auto" w:sz="4" w:space="0"/>
                  </w:tcBorders>
                  <w:noWrap/>
                  <w:vAlign w:val="center"/>
                </w:tcPr>
                <w:p w14:paraId="4E3C5E7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w:t>
                  </w:r>
                </w:p>
              </w:tc>
              <w:tc>
                <w:tcPr>
                  <w:tcW w:w="910" w:type="pct"/>
                  <w:tcBorders>
                    <w:top w:val="nil"/>
                    <w:left w:val="nil"/>
                    <w:bottom w:val="single" w:color="auto" w:sz="4" w:space="0"/>
                    <w:right w:val="single" w:color="auto" w:sz="4" w:space="0"/>
                  </w:tcBorders>
                  <w:noWrap/>
                  <w:vAlign w:val="center"/>
                </w:tcPr>
                <w:p w14:paraId="76C1D70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2689111.85</w:t>
                  </w:r>
                </w:p>
              </w:tc>
              <w:tc>
                <w:tcPr>
                  <w:tcW w:w="989" w:type="pct"/>
                  <w:tcBorders>
                    <w:top w:val="nil"/>
                    <w:left w:val="nil"/>
                    <w:bottom w:val="single" w:color="auto" w:sz="4" w:space="0"/>
                    <w:right w:val="single" w:color="auto" w:sz="4" w:space="0"/>
                  </w:tcBorders>
                  <w:noWrap/>
                  <w:vAlign w:val="center"/>
                </w:tcPr>
                <w:p w14:paraId="254A533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33435285.11</w:t>
                  </w:r>
                </w:p>
              </w:tc>
            </w:tr>
            <w:tr w14:paraId="48750D1E">
              <w:tblPrEx>
                <w:tblCellMar>
                  <w:top w:w="0" w:type="dxa"/>
                  <w:left w:w="108" w:type="dxa"/>
                  <w:bottom w:w="0" w:type="dxa"/>
                  <w:right w:w="108" w:type="dxa"/>
                </w:tblCellMar>
              </w:tblPrEx>
              <w:trPr>
                <w:trHeight w:val="284" w:hRule="atLeast"/>
                <w:jc w:val="center"/>
              </w:trPr>
              <w:tc>
                <w:tcPr>
                  <w:tcW w:w="480" w:type="pct"/>
                  <w:vMerge w:val="continue"/>
                  <w:tcBorders>
                    <w:left w:val="single" w:color="auto" w:sz="4" w:space="0"/>
                    <w:right w:val="single" w:color="auto" w:sz="4" w:space="0"/>
                  </w:tcBorders>
                  <w:noWrap w:val="0"/>
                  <w:vAlign w:val="center"/>
                </w:tcPr>
                <w:p w14:paraId="6820B9C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c>
                <w:tcPr>
                  <w:tcW w:w="381" w:type="pct"/>
                  <w:tcBorders>
                    <w:top w:val="nil"/>
                    <w:left w:val="single" w:color="auto" w:sz="4" w:space="0"/>
                    <w:bottom w:val="single" w:color="auto" w:sz="4" w:space="0"/>
                    <w:right w:val="single" w:color="auto" w:sz="4" w:space="0"/>
                  </w:tcBorders>
                  <w:noWrap/>
                  <w:vAlign w:val="center"/>
                </w:tcPr>
                <w:p w14:paraId="0CB098C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w:t>
                  </w:r>
                </w:p>
              </w:tc>
              <w:tc>
                <w:tcPr>
                  <w:tcW w:w="773" w:type="pct"/>
                  <w:tcBorders>
                    <w:top w:val="nil"/>
                    <w:left w:val="nil"/>
                    <w:bottom w:val="single" w:color="auto" w:sz="4" w:space="0"/>
                    <w:right w:val="single" w:color="auto" w:sz="4" w:space="0"/>
                  </w:tcBorders>
                  <w:noWrap/>
                  <w:vAlign w:val="center"/>
                </w:tcPr>
                <w:p w14:paraId="162DD42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2689122.08</w:t>
                  </w:r>
                </w:p>
              </w:tc>
              <w:tc>
                <w:tcPr>
                  <w:tcW w:w="990" w:type="pct"/>
                  <w:tcBorders>
                    <w:top w:val="nil"/>
                    <w:left w:val="nil"/>
                    <w:bottom w:val="single" w:color="auto" w:sz="4" w:space="0"/>
                    <w:right w:val="single" w:color="auto" w:sz="4" w:space="0"/>
                  </w:tcBorders>
                  <w:noWrap/>
                  <w:vAlign w:val="center"/>
                </w:tcPr>
                <w:p w14:paraId="091CAF2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33434821.69</w:t>
                  </w:r>
                </w:p>
              </w:tc>
              <w:tc>
                <w:tcPr>
                  <w:tcW w:w="477" w:type="pct"/>
                  <w:tcBorders>
                    <w:top w:val="nil"/>
                    <w:left w:val="nil"/>
                    <w:bottom w:val="single" w:color="auto" w:sz="4" w:space="0"/>
                    <w:right w:val="single" w:color="auto" w:sz="4" w:space="0"/>
                  </w:tcBorders>
                  <w:noWrap/>
                  <w:vAlign w:val="center"/>
                </w:tcPr>
                <w:p w14:paraId="4097C24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w:t>
                  </w:r>
                </w:p>
              </w:tc>
              <w:tc>
                <w:tcPr>
                  <w:tcW w:w="910" w:type="pct"/>
                  <w:tcBorders>
                    <w:top w:val="nil"/>
                    <w:left w:val="nil"/>
                    <w:bottom w:val="single" w:color="auto" w:sz="4" w:space="0"/>
                    <w:right w:val="single" w:color="auto" w:sz="4" w:space="0"/>
                  </w:tcBorders>
                  <w:noWrap/>
                  <w:vAlign w:val="center"/>
                </w:tcPr>
                <w:p w14:paraId="229613D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2689114.16</w:t>
                  </w:r>
                </w:p>
              </w:tc>
              <w:tc>
                <w:tcPr>
                  <w:tcW w:w="989" w:type="pct"/>
                  <w:tcBorders>
                    <w:top w:val="nil"/>
                    <w:left w:val="nil"/>
                    <w:bottom w:val="single" w:color="auto" w:sz="4" w:space="0"/>
                    <w:right w:val="single" w:color="auto" w:sz="4" w:space="0"/>
                  </w:tcBorders>
                  <w:noWrap/>
                  <w:vAlign w:val="center"/>
                </w:tcPr>
                <w:p w14:paraId="07B225E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33434713.12</w:t>
                  </w:r>
                </w:p>
              </w:tc>
            </w:tr>
            <w:tr w14:paraId="347CDC92">
              <w:tblPrEx>
                <w:tblCellMar>
                  <w:top w:w="0" w:type="dxa"/>
                  <w:left w:w="108" w:type="dxa"/>
                  <w:bottom w:w="0" w:type="dxa"/>
                  <w:right w:w="108" w:type="dxa"/>
                </w:tblCellMar>
              </w:tblPrEx>
              <w:trPr>
                <w:trHeight w:val="284" w:hRule="atLeast"/>
                <w:jc w:val="center"/>
              </w:trPr>
              <w:tc>
                <w:tcPr>
                  <w:tcW w:w="480" w:type="pct"/>
                  <w:vMerge w:val="continue"/>
                  <w:tcBorders>
                    <w:left w:val="single" w:color="auto" w:sz="4" w:space="0"/>
                    <w:bottom w:val="single" w:color="auto" w:sz="4" w:space="0"/>
                    <w:right w:val="single" w:color="auto" w:sz="4" w:space="0"/>
                  </w:tcBorders>
                  <w:noWrap w:val="0"/>
                  <w:vAlign w:val="center"/>
                </w:tcPr>
                <w:p w14:paraId="48EC15B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c>
                <w:tcPr>
                  <w:tcW w:w="4520" w:type="pct"/>
                  <w:gridSpan w:val="6"/>
                  <w:tcBorders>
                    <w:top w:val="single" w:color="auto" w:sz="4" w:space="0"/>
                    <w:left w:val="single" w:color="auto" w:sz="4" w:space="0"/>
                    <w:bottom w:val="single" w:color="auto" w:sz="4" w:space="0"/>
                    <w:right w:val="single" w:color="auto" w:sz="4" w:space="0"/>
                  </w:tcBorders>
                  <w:noWrap/>
                  <w:vAlign w:val="center"/>
                </w:tcPr>
                <w:p w14:paraId="3B5F51A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开采标高1500-1100m</w:t>
                  </w:r>
                </w:p>
              </w:tc>
            </w:tr>
            <w:tr w14:paraId="34D0B40C">
              <w:tblPrEx>
                <w:tblCellMar>
                  <w:top w:w="0" w:type="dxa"/>
                  <w:left w:w="108" w:type="dxa"/>
                  <w:bottom w:w="0" w:type="dxa"/>
                  <w:right w:w="108" w:type="dxa"/>
                </w:tblCellMar>
              </w:tblPrEx>
              <w:trPr>
                <w:trHeight w:val="284" w:hRule="atLeast"/>
                <w:jc w:val="center"/>
              </w:trPr>
              <w:tc>
                <w:tcPr>
                  <w:tcW w:w="480" w:type="pct"/>
                  <w:vMerge w:val="restart"/>
                  <w:tcBorders>
                    <w:top w:val="nil"/>
                    <w:left w:val="single" w:color="auto" w:sz="4" w:space="0"/>
                    <w:right w:val="single" w:color="auto" w:sz="4" w:space="0"/>
                  </w:tcBorders>
                  <w:noWrap w:val="0"/>
                  <w:vAlign w:val="center"/>
                </w:tcPr>
                <w:p w14:paraId="75CF0FC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果</w:t>
                  </w:r>
                </w:p>
                <w:p w14:paraId="5ED259C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园</w:t>
                  </w:r>
                </w:p>
                <w:p w14:paraId="5D03957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矿</w:t>
                  </w:r>
                </w:p>
                <w:p w14:paraId="7E04B94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段</w:t>
                  </w:r>
                </w:p>
              </w:tc>
              <w:tc>
                <w:tcPr>
                  <w:tcW w:w="381" w:type="pct"/>
                  <w:tcBorders>
                    <w:top w:val="nil"/>
                    <w:left w:val="single" w:color="auto" w:sz="4" w:space="0"/>
                    <w:bottom w:val="single" w:color="auto" w:sz="4" w:space="0"/>
                    <w:right w:val="single" w:color="auto" w:sz="4" w:space="0"/>
                  </w:tcBorders>
                  <w:noWrap/>
                  <w:vAlign w:val="center"/>
                </w:tcPr>
                <w:p w14:paraId="3AF1EF6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8</w:t>
                  </w:r>
                </w:p>
              </w:tc>
              <w:tc>
                <w:tcPr>
                  <w:tcW w:w="773" w:type="pct"/>
                  <w:tcBorders>
                    <w:top w:val="nil"/>
                    <w:left w:val="nil"/>
                    <w:bottom w:val="single" w:color="auto" w:sz="4" w:space="0"/>
                    <w:right w:val="single" w:color="auto" w:sz="4" w:space="0"/>
                  </w:tcBorders>
                  <w:noWrap/>
                  <w:vAlign w:val="center"/>
                </w:tcPr>
                <w:p w14:paraId="5F7CAA6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2691088.27</w:t>
                  </w:r>
                </w:p>
              </w:tc>
              <w:tc>
                <w:tcPr>
                  <w:tcW w:w="990" w:type="pct"/>
                  <w:tcBorders>
                    <w:top w:val="nil"/>
                    <w:left w:val="nil"/>
                    <w:bottom w:val="single" w:color="auto" w:sz="4" w:space="0"/>
                    <w:right w:val="single" w:color="auto" w:sz="4" w:space="0"/>
                  </w:tcBorders>
                  <w:noWrap/>
                  <w:vAlign w:val="center"/>
                </w:tcPr>
                <w:p w14:paraId="006CD54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33436903.1</w:t>
                  </w:r>
                </w:p>
              </w:tc>
              <w:tc>
                <w:tcPr>
                  <w:tcW w:w="477" w:type="pct"/>
                  <w:tcBorders>
                    <w:top w:val="nil"/>
                    <w:left w:val="nil"/>
                    <w:bottom w:val="single" w:color="auto" w:sz="4" w:space="0"/>
                    <w:right w:val="single" w:color="auto" w:sz="4" w:space="0"/>
                  </w:tcBorders>
                  <w:noWrap/>
                  <w:vAlign w:val="center"/>
                </w:tcPr>
                <w:p w14:paraId="3AF535A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8</w:t>
                  </w:r>
                </w:p>
              </w:tc>
              <w:tc>
                <w:tcPr>
                  <w:tcW w:w="910" w:type="pct"/>
                  <w:tcBorders>
                    <w:top w:val="nil"/>
                    <w:left w:val="nil"/>
                    <w:bottom w:val="single" w:color="auto" w:sz="4" w:space="0"/>
                    <w:right w:val="single" w:color="auto" w:sz="4" w:space="0"/>
                  </w:tcBorders>
                  <w:noWrap/>
                  <w:vAlign w:val="center"/>
                </w:tcPr>
                <w:p w14:paraId="59C1050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2691080.34</w:t>
                  </w:r>
                </w:p>
              </w:tc>
              <w:tc>
                <w:tcPr>
                  <w:tcW w:w="989" w:type="pct"/>
                  <w:tcBorders>
                    <w:top w:val="nil"/>
                    <w:left w:val="nil"/>
                    <w:bottom w:val="single" w:color="auto" w:sz="4" w:space="0"/>
                    <w:right w:val="single" w:color="auto" w:sz="4" w:space="0"/>
                  </w:tcBorders>
                  <w:noWrap/>
                  <w:vAlign w:val="center"/>
                </w:tcPr>
                <w:p w14:paraId="6DF37E8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33436794.52</w:t>
                  </w:r>
                </w:p>
              </w:tc>
            </w:tr>
            <w:tr w14:paraId="44C5977F">
              <w:tblPrEx>
                <w:tblCellMar>
                  <w:top w:w="0" w:type="dxa"/>
                  <w:left w:w="108" w:type="dxa"/>
                  <w:bottom w:w="0" w:type="dxa"/>
                  <w:right w:w="108" w:type="dxa"/>
                </w:tblCellMar>
              </w:tblPrEx>
              <w:trPr>
                <w:trHeight w:val="284" w:hRule="atLeast"/>
                <w:jc w:val="center"/>
              </w:trPr>
              <w:tc>
                <w:tcPr>
                  <w:tcW w:w="480" w:type="pct"/>
                  <w:vMerge w:val="continue"/>
                  <w:tcBorders>
                    <w:left w:val="single" w:color="auto" w:sz="4" w:space="0"/>
                    <w:right w:val="single" w:color="auto" w:sz="4" w:space="0"/>
                  </w:tcBorders>
                  <w:noWrap w:val="0"/>
                  <w:vAlign w:val="top"/>
                </w:tcPr>
                <w:p w14:paraId="77CEB24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c>
                <w:tcPr>
                  <w:tcW w:w="381" w:type="pct"/>
                  <w:tcBorders>
                    <w:top w:val="nil"/>
                    <w:left w:val="single" w:color="auto" w:sz="4" w:space="0"/>
                    <w:bottom w:val="single" w:color="auto" w:sz="4" w:space="0"/>
                    <w:right w:val="single" w:color="auto" w:sz="4" w:space="0"/>
                  </w:tcBorders>
                  <w:noWrap/>
                  <w:vAlign w:val="center"/>
                </w:tcPr>
                <w:p w14:paraId="78D1EC7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9</w:t>
                  </w:r>
                </w:p>
              </w:tc>
              <w:tc>
                <w:tcPr>
                  <w:tcW w:w="773" w:type="pct"/>
                  <w:tcBorders>
                    <w:top w:val="nil"/>
                    <w:left w:val="nil"/>
                    <w:bottom w:val="single" w:color="auto" w:sz="4" w:space="0"/>
                    <w:right w:val="single" w:color="auto" w:sz="4" w:space="0"/>
                  </w:tcBorders>
                  <w:noWrap/>
                  <w:vAlign w:val="center"/>
                </w:tcPr>
                <w:p w14:paraId="3E12BAF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2691022.48</w:t>
                  </w:r>
                </w:p>
              </w:tc>
              <w:tc>
                <w:tcPr>
                  <w:tcW w:w="990" w:type="pct"/>
                  <w:tcBorders>
                    <w:top w:val="nil"/>
                    <w:left w:val="nil"/>
                    <w:bottom w:val="single" w:color="auto" w:sz="4" w:space="0"/>
                    <w:right w:val="single" w:color="auto" w:sz="4" w:space="0"/>
                  </w:tcBorders>
                  <w:noWrap/>
                  <w:vAlign w:val="center"/>
                </w:tcPr>
                <w:p w14:paraId="265F6FB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33437021.71</w:t>
                  </w:r>
                </w:p>
              </w:tc>
              <w:tc>
                <w:tcPr>
                  <w:tcW w:w="477" w:type="pct"/>
                  <w:tcBorders>
                    <w:top w:val="nil"/>
                    <w:left w:val="nil"/>
                    <w:bottom w:val="single" w:color="auto" w:sz="4" w:space="0"/>
                    <w:right w:val="single" w:color="auto" w:sz="4" w:space="0"/>
                  </w:tcBorders>
                  <w:noWrap/>
                  <w:vAlign w:val="center"/>
                </w:tcPr>
                <w:p w14:paraId="0743ECC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9</w:t>
                  </w:r>
                </w:p>
              </w:tc>
              <w:tc>
                <w:tcPr>
                  <w:tcW w:w="910" w:type="pct"/>
                  <w:tcBorders>
                    <w:top w:val="nil"/>
                    <w:left w:val="nil"/>
                    <w:bottom w:val="single" w:color="auto" w:sz="4" w:space="0"/>
                    <w:right w:val="single" w:color="auto" w:sz="4" w:space="0"/>
                  </w:tcBorders>
                  <w:noWrap/>
                  <w:vAlign w:val="center"/>
                </w:tcPr>
                <w:p w14:paraId="3F85F1D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2691014.55</w:t>
                  </w:r>
                </w:p>
              </w:tc>
              <w:tc>
                <w:tcPr>
                  <w:tcW w:w="989" w:type="pct"/>
                  <w:tcBorders>
                    <w:top w:val="nil"/>
                    <w:left w:val="nil"/>
                    <w:bottom w:val="single" w:color="auto" w:sz="4" w:space="0"/>
                    <w:right w:val="single" w:color="auto" w:sz="4" w:space="0"/>
                  </w:tcBorders>
                  <w:noWrap/>
                  <w:vAlign w:val="center"/>
                </w:tcPr>
                <w:p w14:paraId="260A55E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33436913.13</w:t>
                  </w:r>
                </w:p>
              </w:tc>
            </w:tr>
            <w:tr w14:paraId="1D255F4F">
              <w:tblPrEx>
                <w:tblCellMar>
                  <w:top w:w="0" w:type="dxa"/>
                  <w:left w:w="108" w:type="dxa"/>
                  <w:bottom w:w="0" w:type="dxa"/>
                  <w:right w:w="108" w:type="dxa"/>
                </w:tblCellMar>
              </w:tblPrEx>
              <w:trPr>
                <w:trHeight w:val="284" w:hRule="atLeast"/>
                <w:jc w:val="center"/>
              </w:trPr>
              <w:tc>
                <w:tcPr>
                  <w:tcW w:w="480" w:type="pct"/>
                  <w:vMerge w:val="continue"/>
                  <w:tcBorders>
                    <w:left w:val="single" w:color="auto" w:sz="4" w:space="0"/>
                    <w:right w:val="single" w:color="auto" w:sz="4" w:space="0"/>
                  </w:tcBorders>
                  <w:noWrap w:val="0"/>
                  <w:vAlign w:val="top"/>
                </w:tcPr>
                <w:p w14:paraId="38C99CD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c>
                <w:tcPr>
                  <w:tcW w:w="381" w:type="pct"/>
                  <w:tcBorders>
                    <w:top w:val="nil"/>
                    <w:left w:val="single" w:color="auto" w:sz="4" w:space="0"/>
                    <w:bottom w:val="single" w:color="auto" w:sz="4" w:space="0"/>
                    <w:right w:val="single" w:color="auto" w:sz="4" w:space="0"/>
                  </w:tcBorders>
                  <w:noWrap/>
                  <w:vAlign w:val="center"/>
                </w:tcPr>
                <w:p w14:paraId="2DCDD05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c>
                <w:tcPr>
                  <w:tcW w:w="773" w:type="pct"/>
                  <w:tcBorders>
                    <w:top w:val="nil"/>
                    <w:left w:val="nil"/>
                    <w:bottom w:val="single" w:color="auto" w:sz="4" w:space="0"/>
                    <w:right w:val="single" w:color="auto" w:sz="4" w:space="0"/>
                  </w:tcBorders>
                  <w:noWrap/>
                  <w:vAlign w:val="center"/>
                </w:tcPr>
                <w:p w14:paraId="22626B6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2690661.07</w:t>
                  </w:r>
                </w:p>
              </w:tc>
              <w:tc>
                <w:tcPr>
                  <w:tcW w:w="990" w:type="pct"/>
                  <w:tcBorders>
                    <w:top w:val="nil"/>
                    <w:left w:val="nil"/>
                    <w:bottom w:val="single" w:color="auto" w:sz="4" w:space="0"/>
                    <w:right w:val="single" w:color="auto" w:sz="4" w:space="0"/>
                  </w:tcBorders>
                  <w:noWrap/>
                  <w:vAlign w:val="center"/>
                </w:tcPr>
                <w:p w14:paraId="610AD1E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33436536.01</w:t>
                  </w:r>
                </w:p>
              </w:tc>
              <w:tc>
                <w:tcPr>
                  <w:tcW w:w="477" w:type="pct"/>
                  <w:tcBorders>
                    <w:top w:val="nil"/>
                    <w:left w:val="nil"/>
                    <w:bottom w:val="single" w:color="auto" w:sz="4" w:space="0"/>
                    <w:right w:val="single" w:color="auto" w:sz="4" w:space="0"/>
                  </w:tcBorders>
                  <w:noWrap/>
                  <w:vAlign w:val="center"/>
                </w:tcPr>
                <w:p w14:paraId="1B61765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c>
                <w:tcPr>
                  <w:tcW w:w="910" w:type="pct"/>
                  <w:tcBorders>
                    <w:top w:val="nil"/>
                    <w:left w:val="nil"/>
                    <w:bottom w:val="single" w:color="auto" w:sz="4" w:space="0"/>
                    <w:right w:val="single" w:color="auto" w:sz="4" w:space="0"/>
                  </w:tcBorders>
                  <w:noWrap/>
                  <w:vAlign w:val="center"/>
                </w:tcPr>
                <w:p w14:paraId="00DBB80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2690653.14</w:t>
                  </w:r>
                </w:p>
              </w:tc>
              <w:tc>
                <w:tcPr>
                  <w:tcW w:w="989" w:type="pct"/>
                  <w:tcBorders>
                    <w:top w:val="nil"/>
                    <w:left w:val="nil"/>
                    <w:bottom w:val="single" w:color="auto" w:sz="4" w:space="0"/>
                    <w:right w:val="single" w:color="auto" w:sz="4" w:space="0"/>
                  </w:tcBorders>
                  <w:noWrap/>
                  <w:vAlign w:val="center"/>
                </w:tcPr>
                <w:p w14:paraId="782026B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33436427.43</w:t>
                  </w:r>
                </w:p>
              </w:tc>
            </w:tr>
            <w:tr w14:paraId="6D8B1FF5">
              <w:tblPrEx>
                <w:tblCellMar>
                  <w:top w:w="0" w:type="dxa"/>
                  <w:left w:w="108" w:type="dxa"/>
                  <w:bottom w:w="0" w:type="dxa"/>
                  <w:right w:w="108" w:type="dxa"/>
                </w:tblCellMar>
              </w:tblPrEx>
              <w:trPr>
                <w:trHeight w:val="284" w:hRule="atLeast"/>
                <w:jc w:val="center"/>
              </w:trPr>
              <w:tc>
                <w:tcPr>
                  <w:tcW w:w="480" w:type="pct"/>
                  <w:vMerge w:val="continue"/>
                  <w:tcBorders>
                    <w:left w:val="single" w:color="auto" w:sz="4" w:space="0"/>
                    <w:right w:val="single" w:color="auto" w:sz="4" w:space="0"/>
                  </w:tcBorders>
                  <w:noWrap w:val="0"/>
                  <w:vAlign w:val="top"/>
                </w:tcPr>
                <w:p w14:paraId="0566EF6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c>
                <w:tcPr>
                  <w:tcW w:w="381" w:type="pct"/>
                  <w:tcBorders>
                    <w:top w:val="nil"/>
                    <w:left w:val="single" w:color="auto" w:sz="4" w:space="0"/>
                    <w:bottom w:val="single" w:color="auto" w:sz="4" w:space="0"/>
                    <w:right w:val="single" w:color="auto" w:sz="4" w:space="0"/>
                  </w:tcBorders>
                  <w:noWrap/>
                  <w:vAlign w:val="center"/>
                </w:tcPr>
                <w:p w14:paraId="6FAB942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11</w:t>
                  </w:r>
                </w:p>
              </w:tc>
              <w:tc>
                <w:tcPr>
                  <w:tcW w:w="773" w:type="pct"/>
                  <w:tcBorders>
                    <w:top w:val="nil"/>
                    <w:left w:val="nil"/>
                    <w:bottom w:val="single" w:color="auto" w:sz="4" w:space="0"/>
                    <w:right w:val="single" w:color="auto" w:sz="4" w:space="0"/>
                  </w:tcBorders>
                  <w:noWrap/>
                  <w:vAlign w:val="center"/>
                </w:tcPr>
                <w:p w14:paraId="3CEAC1A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2690504.07</w:t>
                  </w:r>
                </w:p>
              </w:tc>
              <w:tc>
                <w:tcPr>
                  <w:tcW w:w="990" w:type="pct"/>
                  <w:tcBorders>
                    <w:top w:val="nil"/>
                    <w:left w:val="nil"/>
                    <w:bottom w:val="single" w:color="auto" w:sz="4" w:space="0"/>
                    <w:right w:val="single" w:color="auto" w:sz="4" w:space="0"/>
                  </w:tcBorders>
                  <w:noWrap/>
                  <w:vAlign w:val="center"/>
                </w:tcPr>
                <w:p w14:paraId="17AB998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33436532.71</w:t>
                  </w:r>
                </w:p>
              </w:tc>
              <w:tc>
                <w:tcPr>
                  <w:tcW w:w="477" w:type="pct"/>
                  <w:tcBorders>
                    <w:top w:val="nil"/>
                    <w:left w:val="nil"/>
                    <w:bottom w:val="single" w:color="auto" w:sz="4" w:space="0"/>
                    <w:right w:val="single" w:color="auto" w:sz="4" w:space="0"/>
                  </w:tcBorders>
                  <w:noWrap/>
                  <w:vAlign w:val="center"/>
                </w:tcPr>
                <w:p w14:paraId="5900609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11</w:t>
                  </w:r>
                </w:p>
              </w:tc>
              <w:tc>
                <w:tcPr>
                  <w:tcW w:w="910" w:type="pct"/>
                  <w:tcBorders>
                    <w:top w:val="nil"/>
                    <w:left w:val="nil"/>
                    <w:bottom w:val="single" w:color="auto" w:sz="4" w:space="0"/>
                    <w:right w:val="single" w:color="auto" w:sz="4" w:space="0"/>
                  </w:tcBorders>
                  <w:noWrap/>
                  <w:vAlign w:val="center"/>
                </w:tcPr>
                <w:p w14:paraId="1C075C5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2690496.14</w:t>
                  </w:r>
                </w:p>
              </w:tc>
              <w:tc>
                <w:tcPr>
                  <w:tcW w:w="989" w:type="pct"/>
                  <w:tcBorders>
                    <w:top w:val="nil"/>
                    <w:left w:val="nil"/>
                    <w:bottom w:val="single" w:color="auto" w:sz="4" w:space="0"/>
                    <w:right w:val="single" w:color="auto" w:sz="4" w:space="0"/>
                  </w:tcBorders>
                  <w:noWrap/>
                  <w:vAlign w:val="center"/>
                </w:tcPr>
                <w:p w14:paraId="5D2BF97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33436424.13</w:t>
                  </w:r>
                </w:p>
              </w:tc>
            </w:tr>
            <w:tr w14:paraId="347D040F">
              <w:tblPrEx>
                <w:tblCellMar>
                  <w:top w:w="0" w:type="dxa"/>
                  <w:left w:w="108" w:type="dxa"/>
                  <w:bottom w:w="0" w:type="dxa"/>
                  <w:right w:w="108" w:type="dxa"/>
                </w:tblCellMar>
              </w:tblPrEx>
              <w:trPr>
                <w:trHeight w:val="284" w:hRule="atLeast"/>
                <w:jc w:val="center"/>
              </w:trPr>
              <w:tc>
                <w:tcPr>
                  <w:tcW w:w="480" w:type="pct"/>
                  <w:vMerge w:val="continue"/>
                  <w:tcBorders>
                    <w:left w:val="single" w:color="auto" w:sz="4" w:space="0"/>
                    <w:right w:val="single" w:color="auto" w:sz="4" w:space="0"/>
                  </w:tcBorders>
                  <w:noWrap w:val="0"/>
                  <w:vAlign w:val="top"/>
                </w:tcPr>
                <w:p w14:paraId="602CF1D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c>
                <w:tcPr>
                  <w:tcW w:w="381" w:type="pct"/>
                  <w:tcBorders>
                    <w:top w:val="nil"/>
                    <w:left w:val="single" w:color="auto" w:sz="4" w:space="0"/>
                    <w:bottom w:val="single" w:color="auto" w:sz="4" w:space="0"/>
                    <w:right w:val="single" w:color="auto" w:sz="4" w:space="0"/>
                  </w:tcBorders>
                  <w:noWrap/>
                  <w:vAlign w:val="center"/>
                </w:tcPr>
                <w:p w14:paraId="48311A3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12</w:t>
                  </w:r>
                </w:p>
              </w:tc>
              <w:tc>
                <w:tcPr>
                  <w:tcW w:w="773" w:type="pct"/>
                  <w:tcBorders>
                    <w:top w:val="nil"/>
                    <w:left w:val="nil"/>
                    <w:bottom w:val="single" w:color="auto" w:sz="4" w:space="0"/>
                    <w:right w:val="single" w:color="auto" w:sz="4" w:space="0"/>
                  </w:tcBorders>
                  <w:noWrap/>
                  <w:vAlign w:val="center"/>
                </w:tcPr>
                <w:p w14:paraId="7129D47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2690371.07</w:t>
                  </w:r>
                </w:p>
              </w:tc>
              <w:tc>
                <w:tcPr>
                  <w:tcW w:w="990" w:type="pct"/>
                  <w:tcBorders>
                    <w:top w:val="nil"/>
                    <w:left w:val="nil"/>
                    <w:bottom w:val="single" w:color="auto" w:sz="4" w:space="0"/>
                    <w:right w:val="single" w:color="auto" w:sz="4" w:space="0"/>
                  </w:tcBorders>
                  <w:noWrap/>
                  <w:vAlign w:val="center"/>
                </w:tcPr>
                <w:p w14:paraId="68D5B66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33436291.31</w:t>
                  </w:r>
                </w:p>
              </w:tc>
              <w:tc>
                <w:tcPr>
                  <w:tcW w:w="477" w:type="pct"/>
                  <w:tcBorders>
                    <w:top w:val="nil"/>
                    <w:left w:val="nil"/>
                    <w:bottom w:val="single" w:color="auto" w:sz="4" w:space="0"/>
                    <w:right w:val="single" w:color="auto" w:sz="4" w:space="0"/>
                  </w:tcBorders>
                  <w:noWrap/>
                  <w:vAlign w:val="center"/>
                </w:tcPr>
                <w:p w14:paraId="73D3534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12</w:t>
                  </w:r>
                </w:p>
              </w:tc>
              <w:tc>
                <w:tcPr>
                  <w:tcW w:w="910" w:type="pct"/>
                  <w:tcBorders>
                    <w:top w:val="nil"/>
                    <w:left w:val="nil"/>
                    <w:bottom w:val="single" w:color="auto" w:sz="4" w:space="0"/>
                    <w:right w:val="single" w:color="auto" w:sz="4" w:space="0"/>
                  </w:tcBorders>
                  <w:noWrap/>
                  <w:vAlign w:val="center"/>
                </w:tcPr>
                <w:p w14:paraId="78CBD10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2690363.14</w:t>
                  </w:r>
                </w:p>
              </w:tc>
              <w:tc>
                <w:tcPr>
                  <w:tcW w:w="989" w:type="pct"/>
                  <w:tcBorders>
                    <w:top w:val="nil"/>
                    <w:left w:val="nil"/>
                    <w:bottom w:val="single" w:color="auto" w:sz="4" w:space="0"/>
                    <w:right w:val="single" w:color="auto" w:sz="4" w:space="0"/>
                  </w:tcBorders>
                  <w:noWrap/>
                  <w:vAlign w:val="center"/>
                </w:tcPr>
                <w:p w14:paraId="6C15A05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33436182.73</w:t>
                  </w:r>
                </w:p>
              </w:tc>
            </w:tr>
            <w:tr w14:paraId="105FFC24">
              <w:tblPrEx>
                <w:tblCellMar>
                  <w:top w:w="0" w:type="dxa"/>
                  <w:left w:w="108" w:type="dxa"/>
                  <w:bottom w:w="0" w:type="dxa"/>
                  <w:right w:w="108" w:type="dxa"/>
                </w:tblCellMar>
              </w:tblPrEx>
              <w:trPr>
                <w:trHeight w:val="284" w:hRule="atLeast"/>
                <w:jc w:val="center"/>
              </w:trPr>
              <w:tc>
                <w:tcPr>
                  <w:tcW w:w="480" w:type="pct"/>
                  <w:vMerge w:val="continue"/>
                  <w:tcBorders>
                    <w:left w:val="single" w:color="auto" w:sz="4" w:space="0"/>
                    <w:right w:val="single" w:color="auto" w:sz="4" w:space="0"/>
                  </w:tcBorders>
                  <w:noWrap w:val="0"/>
                  <w:vAlign w:val="top"/>
                </w:tcPr>
                <w:p w14:paraId="4E00529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c>
                <w:tcPr>
                  <w:tcW w:w="381" w:type="pct"/>
                  <w:tcBorders>
                    <w:top w:val="nil"/>
                    <w:left w:val="single" w:color="auto" w:sz="4" w:space="0"/>
                    <w:bottom w:val="single" w:color="auto" w:sz="4" w:space="0"/>
                    <w:right w:val="single" w:color="auto" w:sz="4" w:space="0"/>
                  </w:tcBorders>
                  <w:noWrap/>
                  <w:vAlign w:val="center"/>
                </w:tcPr>
                <w:p w14:paraId="25F2A40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13</w:t>
                  </w:r>
                </w:p>
              </w:tc>
              <w:tc>
                <w:tcPr>
                  <w:tcW w:w="773" w:type="pct"/>
                  <w:tcBorders>
                    <w:top w:val="nil"/>
                    <w:left w:val="nil"/>
                    <w:bottom w:val="single" w:color="auto" w:sz="4" w:space="0"/>
                    <w:right w:val="single" w:color="auto" w:sz="4" w:space="0"/>
                  </w:tcBorders>
                  <w:noWrap/>
                  <w:vAlign w:val="center"/>
                </w:tcPr>
                <w:p w14:paraId="4A636C6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2690410.07</w:t>
                  </w:r>
                </w:p>
              </w:tc>
              <w:tc>
                <w:tcPr>
                  <w:tcW w:w="990" w:type="pct"/>
                  <w:tcBorders>
                    <w:top w:val="nil"/>
                    <w:left w:val="nil"/>
                    <w:bottom w:val="single" w:color="auto" w:sz="4" w:space="0"/>
                    <w:right w:val="single" w:color="auto" w:sz="4" w:space="0"/>
                  </w:tcBorders>
                  <w:noWrap/>
                  <w:vAlign w:val="center"/>
                </w:tcPr>
                <w:p w14:paraId="3FB1006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33436264.51</w:t>
                  </w:r>
                </w:p>
              </w:tc>
              <w:tc>
                <w:tcPr>
                  <w:tcW w:w="477" w:type="pct"/>
                  <w:tcBorders>
                    <w:top w:val="nil"/>
                    <w:left w:val="nil"/>
                    <w:bottom w:val="single" w:color="auto" w:sz="4" w:space="0"/>
                    <w:right w:val="single" w:color="auto" w:sz="4" w:space="0"/>
                  </w:tcBorders>
                  <w:noWrap/>
                  <w:vAlign w:val="center"/>
                </w:tcPr>
                <w:p w14:paraId="5175998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13</w:t>
                  </w:r>
                </w:p>
              </w:tc>
              <w:tc>
                <w:tcPr>
                  <w:tcW w:w="910" w:type="pct"/>
                  <w:tcBorders>
                    <w:top w:val="nil"/>
                    <w:left w:val="nil"/>
                    <w:bottom w:val="single" w:color="auto" w:sz="4" w:space="0"/>
                    <w:right w:val="single" w:color="auto" w:sz="4" w:space="0"/>
                  </w:tcBorders>
                  <w:noWrap/>
                  <w:vAlign w:val="center"/>
                </w:tcPr>
                <w:p w14:paraId="30615A7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2690402.14</w:t>
                  </w:r>
                </w:p>
              </w:tc>
              <w:tc>
                <w:tcPr>
                  <w:tcW w:w="989" w:type="pct"/>
                  <w:tcBorders>
                    <w:top w:val="nil"/>
                    <w:left w:val="nil"/>
                    <w:bottom w:val="single" w:color="auto" w:sz="4" w:space="0"/>
                    <w:right w:val="single" w:color="auto" w:sz="4" w:space="0"/>
                  </w:tcBorders>
                  <w:noWrap/>
                  <w:vAlign w:val="center"/>
                </w:tcPr>
                <w:p w14:paraId="2BC4F95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33436155.93</w:t>
                  </w:r>
                </w:p>
              </w:tc>
            </w:tr>
            <w:tr w14:paraId="22D41D79">
              <w:tblPrEx>
                <w:tblCellMar>
                  <w:top w:w="0" w:type="dxa"/>
                  <w:left w:w="108" w:type="dxa"/>
                  <w:bottom w:w="0" w:type="dxa"/>
                  <w:right w:w="108" w:type="dxa"/>
                </w:tblCellMar>
              </w:tblPrEx>
              <w:trPr>
                <w:trHeight w:val="284" w:hRule="atLeast"/>
                <w:jc w:val="center"/>
              </w:trPr>
              <w:tc>
                <w:tcPr>
                  <w:tcW w:w="480" w:type="pct"/>
                  <w:vMerge w:val="continue"/>
                  <w:tcBorders>
                    <w:left w:val="single" w:color="auto" w:sz="4" w:space="0"/>
                    <w:right w:val="single" w:color="auto" w:sz="4" w:space="0"/>
                  </w:tcBorders>
                  <w:noWrap w:val="0"/>
                  <w:vAlign w:val="top"/>
                </w:tcPr>
                <w:p w14:paraId="65EB699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c>
                <w:tcPr>
                  <w:tcW w:w="381" w:type="pct"/>
                  <w:tcBorders>
                    <w:top w:val="nil"/>
                    <w:left w:val="single" w:color="auto" w:sz="4" w:space="0"/>
                    <w:bottom w:val="single" w:color="auto" w:sz="4" w:space="0"/>
                    <w:right w:val="single" w:color="auto" w:sz="4" w:space="0"/>
                  </w:tcBorders>
                  <w:noWrap/>
                  <w:vAlign w:val="center"/>
                </w:tcPr>
                <w:p w14:paraId="5304875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14</w:t>
                  </w:r>
                </w:p>
              </w:tc>
              <w:tc>
                <w:tcPr>
                  <w:tcW w:w="773" w:type="pct"/>
                  <w:tcBorders>
                    <w:top w:val="nil"/>
                    <w:left w:val="nil"/>
                    <w:bottom w:val="single" w:color="auto" w:sz="4" w:space="0"/>
                    <w:right w:val="single" w:color="auto" w:sz="4" w:space="0"/>
                  </w:tcBorders>
                  <w:noWrap/>
                  <w:vAlign w:val="center"/>
                </w:tcPr>
                <w:p w14:paraId="27057AF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2690716.07</w:t>
                  </w:r>
                </w:p>
              </w:tc>
              <w:tc>
                <w:tcPr>
                  <w:tcW w:w="990" w:type="pct"/>
                  <w:tcBorders>
                    <w:top w:val="nil"/>
                    <w:left w:val="nil"/>
                    <w:bottom w:val="single" w:color="auto" w:sz="4" w:space="0"/>
                    <w:right w:val="single" w:color="auto" w:sz="4" w:space="0"/>
                  </w:tcBorders>
                  <w:noWrap/>
                  <w:vAlign w:val="center"/>
                </w:tcPr>
                <w:p w14:paraId="332809A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33436283.7</w:t>
                  </w:r>
                </w:p>
              </w:tc>
              <w:tc>
                <w:tcPr>
                  <w:tcW w:w="477" w:type="pct"/>
                  <w:tcBorders>
                    <w:top w:val="nil"/>
                    <w:left w:val="nil"/>
                    <w:bottom w:val="single" w:color="auto" w:sz="4" w:space="0"/>
                    <w:right w:val="single" w:color="auto" w:sz="4" w:space="0"/>
                  </w:tcBorders>
                  <w:noWrap/>
                  <w:vAlign w:val="center"/>
                </w:tcPr>
                <w:p w14:paraId="5B8E6AF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14</w:t>
                  </w:r>
                </w:p>
              </w:tc>
              <w:tc>
                <w:tcPr>
                  <w:tcW w:w="910" w:type="pct"/>
                  <w:tcBorders>
                    <w:top w:val="nil"/>
                    <w:left w:val="nil"/>
                    <w:bottom w:val="single" w:color="auto" w:sz="4" w:space="0"/>
                    <w:right w:val="single" w:color="auto" w:sz="4" w:space="0"/>
                  </w:tcBorders>
                  <w:noWrap/>
                  <w:vAlign w:val="center"/>
                </w:tcPr>
                <w:p w14:paraId="20025B8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2690708.14</w:t>
                  </w:r>
                </w:p>
              </w:tc>
              <w:tc>
                <w:tcPr>
                  <w:tcW w:w="989" w:type="pct"/>
                  <w:tcBorders>
                    <w:top w:val="nil"/>
                    <w:left w:val="nil"/>
                    <w:bottom w:val="single" w:color="auto" w:sz="4" w:space="0"/>
                    <w:right w:val="single" w:color="auto" w:sz="4" w:space="0"/>
                  </w:tcBorders>
                  <w:noWrap/>
                  <w:vAlign w:val="center"/>
                </w:tcPr>
                <w:p w14:paraId="313D72E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33436175.12</w:t>
                  </w:r>
                </w:p>
              </w:tc>
            </w:tr>
            <w:tr w14:paraId="1440777D">
              <w:trPr>
                <w:trHeight w:val="284" w:hRule="atLeast"/>
                <w:jc w:val="center"/>
              </w:trPr>
              <w:tc>
                <w:tcPr>
                  <w:tcW w:w="480" w:type="pct"/>
                  <w:vMerge w:val="continue"/>
                  <w:tcBorders>
                    <w:left w:val="single" w:color="auto" w:sz="4" w:space="0"/>
                    <w:right w:val="single" w:color="auto" w:sz="4" w:space="0"/>
                  </w:tcBorders>
                  <w:noWrap w:val="0"/>
                  <w:vAlign w:val="top"/>
                </w:tcPr>
                <w:p w14:paraId="00E6353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c>
                <w:tcPr>
                  <w:tcW w:w="381" w:type="pct"/>
                  <w:tcBorders>
                    <w:top w:val="nil"/>
                    <w:left w:val="single" w:color="auto" w:sz="4" w:space="0"/>
                    <w:bottom w:val="single" w:color="auto" w:sz="4" w:space="0"/>
                    <w:right w:val="single" w:color="auto" w:sz="4" w:space="0"/>
                  </w:tcBorders>
                  <w:noWrap/>
                  <w:vAlign w:val="center"/>
                </w:tcPr>
                <w:p w14:paraId="14711D9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15</w:t>
                  </w:r>
                </w:p>
              </w:tc>
              <w:tc>
                <w:tcPr>
                  <w:tcW w:w="773" w:type="pct"/>
                  <w:tcBorders>
                    <w:top w:val="nil"/>
                    <w:left w:val="nil"/>
                    <w:bottom w:val="single" w:color="auto" w:sz="4" w:space="0"/>
                    <w:right w:val="single" w:color="auto" w:sz="4" w:space="0"/>
                  </w:tcBorders>
                  <w:noWrap/>
                  <w:vAlign w:val="center"/>
                </w:tcPr>
                <w:p w14:paraId="4AEE16E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2690921.57</w:t>
                  </w:r>
                </w:p>
              </w:tc>
              <w:tc>
                <w:tcPr>
                  <w:tcW w:w="990" w:type="pct"/>
                  <w:tcBorders>
                    <w:top w:val="nil"/>
                    <w:left w:val="nil"/>
                    <w:bottom w:val="single" w:color="auto" w:sz="4" w:space="0"/>
                    <w:right w:val="single" w:color="auto" w:sz="4" w:space="0"/>
                  </w:tcBorders>
                  <w:noWrap/>
                  <w:vAlign w:val="center"/>
                </w:tcPr>
                <w:p w14:paraId="42638DF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33436434.2</w:t>
                  </w:r>
                </w:p>
              </w:tc>
              <w:tc>
                <w:tcPr>
                  <w:tcW w:w="477" w:type="pct"/>
                  <w:tcBorders>
                    <w:top w:val="nil"/>
                    <w:left w:val="nil"/>
                    <w:bottom w:val="single" w:color="auto" w:sz="4" w:space="0"/>
                    <w:right w:val="single" w:color="auto" w:sz="4" w:space="0"/>
                  </w:tcBorders>
                  <w:noWrap/>
                  <w:vAlign w:val="center"/>
                </w:tcPr>
                <w:p w14:paraId="127E746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15</w:t>
                  </w:r>
                </w:p>
              </w:tc>
              <w:tc>
                <w:tcPr>
                  <w:tcW w:w="910" w:type="pct"/>
                  <w:tcBorders>
                    <w:top w:val="nil"/>
                    <w:left w:val="nil"/>
                    <w:bottom w:val="single" w:color="auto" w:sz="4" w:space="0"/>
                    <w:right w:val="single" w:color="auto" w:sz="4" w:space="0"/>
                  </w:tcBorders>
                  <w:noWrap/>
                  <w:vAlign w:val="center"/>
                </w:tcPr>
                <w:p w14:paraId="4C8B05D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2690913.64</w:t>
                  </w:r>
                </w:p>
              </w:tc>
              <w:tc>
                <w:tcPr>
                  <w:tcW w:w="989" w:type="pct"/>
                  <w:tcBorders>
                    <w:top w:val="nil"/>
                    <w:left w:val="nil"/>
                    <w:bottom w:val="single" w:color="auto" w:sz="4" w:space="0"/>
                    <w:right w:val="single" w:color="auto" w:sz="4" w:space="0"/>
                  </w:tcBorders>
                  <w:noWrap/>
                  <w:vAlign w:val="center"/>
                </w:tcPr>
                <w:p w14:paraId="72ED4D1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33436325.62</w:t>
                  </w:r>
                </w:p>
              </w:tc>
            </w:tr>
            <w:tr w14:paraId="280D2EB9">
              <w:tblPrEx>
                <w:tblCellMar>
                  <w:top w:w="0" w:type="dxa"/>
                  <w:left w:w="108" w:type="dxa"/>
                  <w:bottom w:w="0" w:type="dxa"/>
                  <w:right w:w="108" w:type="dxa"/>
                </w:tblCellMar>
              </w:tblPrEx>
              <w:trPr>
                <w:trHeight w:val="284" w:hRule="atLeast"/>
                <w:jc w:val="center"/>
              </w:trPr>
              <w:tc>
                <w:tcPr>
                  <w:tcW w:w="480" w:type="pct"/>
                  <w:vMerge w:val="continue"/>
                  <w:tcBorders>
                    <w:left w:val="single" w:color="auto" w:sz="4" w:space="0"/>
                    <w:right w:val="single" w:color="auto" w:sz="4" w:space="0"/>
                  </w:tcBorders>
                  <w:noWrap w:val="0"/>
                  <w:vAlign w:val="top"/>
                </w:tcPr>
                <w:p w14:paraId="09DCEA3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c>
                <w:tcPr>
                  <w:tcW w:w="381" w:type="pct"/>
                  <w:tcBorders>
                    <w:top w:val="nil"/>
                    <w:left w:val="single" w:color="auto" w:sz="4" w:space="0"/>
                    <w:bottom w:val="single" w:color="auto" w:sz="4" w:space="0"/>
                    <w:right w:val="single" w:color="auto" w:sz="4" w:space="0"/>
                  </w:tcBorders>
                  <w:noWrap/>
                  <w:vAlign w:val="center"/>
                </w:tcPr>
                <w:p w14:paraId="4450B00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16</w:t>
                  </w:r>
                </w:p>
              </w:tc>
              <w:tc>
                <w:tcPr>
                  <w:tcW w:w="773" w:type="pct"/>
                  <w:tcBorders>
                    <w:top w:val="nil"/>
                    <w:left w:val="nil"/>
                    <w:bottom w:val="single" w:color="auto" w:sz="4" w:space="0"/>
                    <w:right w:val="single" w:color="auto" w:sz="4" w:space="0"/>
                  </w:tcBorders>
                  <w:noWrap/>
                  <w:vAlign w:val="center"/>
                </w:tcPr>
                <w:p w14:paraId="170F668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2691000.17</w:t>
                  </w:r>
                </w:p>
              </w:tc>
              <w:tc>
                <w:tcPr>
                  <w:tcW w:w="990" w:type="pct"/>
                  <w:tcBorders>
                    <w:top w:val="nil"/>
                    <w:left w:val="nil"/>
                    <w:bottom w:val="single" w:color="auto" w:sz="4" w:space="0"/>
                    <w:right w:val="single" w:color="auto" w:sz="4" w:space="0"/>
                  </w:tcBorders>
                  <w:noWrap/>
                  <w:vAlign w:val="center"/>
                </w:tcPr>
                <w:p w14:paraId="6F122D2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33436543.1</w:t>
                  </w:r>
                </w:p>
              </w:tc>
              <w:tc>
                <w:tcPr>
                  <w:tcW w:w="477" w:type="pct"/>
                  <w:tcBorders>
                    <w:top w:val="nil"/>
                    <w:left w:val="nil"/>
                    <w:bottom w:val="single" w:color="auto" w:sz="4" w:space="0"/>
                    <w:right w:val="single" w:color="auto" w:sz="4" w:space="0"/>
                  </w:tcBorders>
                  <w:noWrap/>
                  <w:vAlign w:val="center"/>
                </w:tcPr>
                <w:p w14:paraId="1C83680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16</w:t>
                  </w:r>
                </w:p>
              </w:tc>
              <w:tc>
                <w:tcPr>
                  <w:tcW w:w="910" w:type="pct"/>
                  <w:tcBorders>
                    <w:top w:val="nil"/>
                    <w:left w:val="nil"/>
                    <w:bottom w:val="single" w:color="auto" w:sz="4" w:space="0"/>
                    <w:right w:val="single" w:color="auto" w:sz="4" w:space="0"/>
                  </w:tcBorders>
                  <w:noWrap/>
                  <w:vAlign w:val="center"/>
                </w:tcPr>
                <w:p w14:paraId="2EA776F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2690992.24</w:t>
                  </w:r>
                </w:p>
              </w:tc>
              <w:tc>
                <w:tcPr>
                  <w:tcW w:w="989" w:type="pct"/>
                  <w:tcBorders>
                    <w:top w:val="nil"/>
                    <w:left w:val="nil"/>
                    <w:bottom w:val="single" w:color="auto" w:sz="4" w:space="0"/>
                    <w:right w:val="single" w:color="auto" w:sz="4" w:space="0"/>
                  </w:tcBorders>
                  <w:noWrap/>
                  <w:vAlign w:val="center"/>
                </w:tcPr>
                <w:p w14:paraId="367883A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33436434.52</w:t>
                  </w:r>
                </w:p>
              </w:tc>
            </w:tr>
            <w:tr w14:paraId="4FF20181">
              <w:tblPrEx>
                <w:tblCellMar>
                  <w:top w:w="0" w:type="dxa"/>
                  <w:left w:w="108" w:type="dxa"/>
                  <w:bottom w:w="0" w:type="dxa"/>
                  <w:right w:w="108" w:type="dxa"/>
                </w:tblCellMar>
              </w:tblPrEx>
              <w:trPr>
                <w:trHeight w:val="284" w:hRule="atLeast"/>
                <w:jc w:val="center"/>
              </w:trPr>
              <w:tc>
                <w:tcPr>
                  <w:tcW w:w="480" w:type="pct"/>
                  <w:vMerge w:val="continue"/>
                  <w:tcBorders>
                    <w:left w:val="single" w:color="auto" w:sz="4" w:space="0"/>
                    <w:right w:val="single" w:color="auto" w:sz="4" w:space="0"/>
                  </w:tcBorders>
                  <w:noWrap w:val="0"/>
                  <w:vAlign w:val="top"/>
                </w:tcPr>
                <w:p w14:paraId="26A707A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c>
                <w:tcPr>
                  <w:tcW w:w="381" w:type="pct"/>
                  <w:tcBorders>
                    <w:top w:val="nil"/>
                    <w:left w:val="single" w:color="auto" w:sz="4" w:space="0"/>
                    <w:bottom w:val="single" w:color="auto" w:sz="4" w:space="0"/>
                    <w:right w:val="single" w:color="auto" w:sz="4" w:space="0"/>
                  </w:tcBorders>
                  <w:noWrap/>
                  <w:vAlign w:val="center"/>
                </w:tcPr>
                <w:p w14:paraId="13CBE9F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17</w:t>
                  </w:r>
                </w:p>
              </w:tc>
              <w:tc>
                <w:tcPr>
                  <w:tcW w:w="773" w:type="pct"/>
                  <w:tcBorders>
                    <w:top w:val="nil"/>
                    <w:left w:val="nil"/>
                    <w:bottom w:val="single" w:color="auto" w:sz="4" w:space="0"/>
                    <w:right w:val="single" w:color="auto" w:sz="4" w:space="0"/>
                  </w:tcBorders>
                  <w:noWrap/>
                  <w:vAlign w:val="center"/>
                </w:tcPr>
                <w:p w14:paraId="6343013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2691085.07</w:t>
                  </w:r>
                </w:p>
              </w:tc>
              <w:tc>
                <w:tcPr>
                  <w:tcW w:w="990" w:type="pct"/>
                  <w:tcBorders>
                    <w:top w:val="nil"/>
                    <w:left w:val="nil"/>
                    <w:bottom w:val="single" w:color="auto" w:sz="4" w:space="0"/>
                    <w:right w:val="single" w:color="auto" w:sz="4" w:space="0"/>
                  </w:tcBorders>
                  <w:noWrap/>
                  <w:vAlign w:val="center"/>
                </w:tcPr>
                <w:p w14:paraId="73E4CA9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33436816.7</w:t>
                  </w:r>
                </w:p>
              </w:tc>
              <w:tc>
                <w:tcPr>
                  <w:tcW w:w="477" w:type="pct"/>
                  <w:tcBorders>
                    <w:top w:val="nil"/>
                    <w:left w:val="nil"/>
                    <w:bottom w:val="single" w:color="auto" w:sz="4" w:space="0"/>
                    <w:right w:val="single" w:color="auto" w:sz="4" w:space="0"/>
                  </w:tcBorders>
                  <w:noWrap/>
                  <w:vAlign w:val="center"/>
                </w:tcPr>
                <w:p w14:paraId="483FE2C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17</w:t>
                  </w:r>
                </w:p>
              </w:tc>
              <w:tc>
                <w:tcPr>
                  <w:tcW w:w="910" w:type="pct"/>
                  <w:tcBorders>
                    <w:top w:val="nil"/>
                    <w:left w:val="nil"/>
                    <w:bottom w:val="single" w:color="auto" w:sz="4" w:space="0"/>
                    <w:right w:val="single" w:color="auto" w:sz="4" w:space="0"/>
                  </w:tcBorders>
                  <w:noWrap/>
                  <w:vAlign w:val="center"/>
                </w:tcPr>
                <w:p w14:paraId="28E6205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2691077.14</w:t>
                  </w:r>
                </w:p>
              </w:tc>
              <w:tc>
                <w:tcPr>
                  <w:tcW w:w="989" w:type="pct"/>
                  <w:tcBorders>
                    <w:top w:val="nil"/>
                    <w:left w:val="nil"/>
                    <w:bottom w:val="single" w:color="auto" w:sz="4" w:space="0"/>
                    <w:right w:val="single" w:color="auto" w:sz="4" w:space="0"/>
                  </w:tcBorders>
                  <w:noWrap/>
                  <w:vAlign w:val="center"/>
                </w:tcPr>
                <w:p w14:paraId="5DFA93D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33436708.12</w:t>
                  </w:r>
                </w:p>
              </w:tc>
            </w:tr>
            <w:tr w14:paraId="653C073E">
              <w:tblPrEx>
                <w:tblCellMar>
                  <w:top w:w="0" w:type="dxa"/>
                  <w:left w:w="108" w:type="dxa"/>
                  <w:bottom w:w="0" w:type="dxa"/>
                  <w:right w:w="108" w:type="dxa"/>
                </w:tblCellMar>
              </w:tblPrEx>
              <w:trPr>
                <w:trHeight w:val="284" w:hRule="atLeast"/>
                <w:jc w:val="center"/>
              </w:trPr>
              <w:tc>
                <w:tcPr>
                  <w:tcW w:w="480" w:type="pct"/>
                  <w:vMerge w:val="continue"/>
                  <w:tcBorders>
                    <w:left w:val="single" w:color="auto" w:sz="4" w:space="0"/>
                    <w:bottom w:val="single" w:color="auto" w:sz="4" w:space="0"/>
                    <w:right w:val="single" w:color="auto" w:sz="4" w:space="0"/>
                  </w:tcBorders>
                  <w:noWrap w:val="0"/>
                  <w:vAlign w:val="top"/>
                </w:tcPr>
                <w:p w14:paraId="59DBCB7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c>
                <w:tcPr>
                  <w:tcW w:w="4520" w:type="pct"/>
                  <w:gridSpan w:val="6"/>
                  <w:tcBorders>
                    <w:top w:val="single" w:color="auto" w:sz="4" w:space="0"/>
                    <w:left w:val="single" w:color="auto" w:sz="4" w:space="0"/>
                    <w:bottom w:val="single" w:color="auto" w:sz="4" w:space="0"/>
                    <w:right w:val="single" w:color="auto" w:sz="4" w:space="0"/>
                  </w:tcBorders>
                  <w:noWrap/>
                  <w:vAlign w:val="center"/>
                </w:tcPr>
                <w:p w14:paraId="37873BE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开采标高1300-1110m</w:t>
                  </w:r>
                </w:p>
              </w:tc>
            </w:tr>
            <w:tr w14:paraId="706A992F">
              <w:tblPrEx>
                <w:tblCellMar>
                  <w:top w:w="0" w:type="dxa"/>
                  <w:left w:w="108" w:type="dxa"/>
                  <w:bottom w:w="0" w:type="dxa"/>
                  <w:right w:w="108" w:type="dxa"/>
                </w:tblCellMar>
              </w:tblPrEx>
              <w:trPr>
                <w:trHeight w:val="284" w:hRule="atLeast"/>
                <w:jc w:val="center"/>
              </w:trPr>
              <w:tc>
                <w:tcPr>
                  <w:tcW w:w="480" w:type="pct"/>
                  <w:tcBorders>
                    <w:top w:val="single" w:color="auto" w:sz="4" w:space="0"/>
                    <w:left w:val="single" w:color="auto" w:sz="4" w:space="0"/>
                    <w:bottom w:val="single" w:color="auto" w:sz="4" w:space="0"/>
                    <w:right w:val="single" w:color="auto" w:sz="4" w:space="0"/>
                  </w:tcBorders>
                  <w:noWrap w:val="0"/>
                  <w:vAlign w:val="top"/>
                </w:tcPr>
                <w:p w14:paraId="19A51B2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c>
                <w:tcPr>
                  <w:tcW w:w="4520" w:type="pct"/>
                  <w:gridSpan w:val="6"/>
                  <w:tcBorders>
                    <w:top w:val="single" w:color="auto" w:sz="4" w:space="0"/>
                    <w:left w:val="single" w:color="auto" w:sz="4" w:space="0"/>
                    <w:bottom w:val="single" w:color="auto" w:sz="4" w:space="0"/>
                    <w:right w:val="single" w:color="auto" w:sz="4" w:space="0"/>
                  </w:tcBorders>
                  <w:noWrap/>
                  <w:vAlign w:val="center"/>
                </w:tcPr>
                <w:p w14:paraId="1D729A4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总开采标高1500-1100m</w:t>
                  </w:r>
                </w:p>
              </w:tc>
            </w:tr>
            <w:tr w14:paraId="643B9805">
              <w:tblPrEx>
                <w:tblCellMar>
                  <w:top w:w="0" w:type="dxa"/>
                  <w:left w:w="108" w:type="dxa"/>
                  <w:bottom w:w="0" w:type="dxa"/>
                  <w:right w:w="108" w:type="dxa"/>
                </w:tblCellMar>
              </w:tblPrEx>
              <w:trPr>
                <w:trHeight w:val="90" w:hRule="atLeast"/>
                <w:jc w:val="center"/>
              </w:trPr>
              <w:tc>
                <w:tcPr>
                  <w:tcW w:w="480" w:type="pct"/>
                  <w:tcBorders>
                    <w:top w:val="single" w:color="auto" w:sz="4" w:space="0"/>
                    <w:left w:val="single" w:color="auto" w:sz="4" w:space="0"/>
                    <w:bottom w:val="single" w:color="auto" w:sz="4" w:space="0"/>
                    <w:right w:val="single" w:color="auto" w:sz="4" w:space="0"/>
                  </w:tcBorders>
                  <w:noWrap w:val="0"/>
                  <w:vAlign w:val="top"/>
                </w:tcPr>
                <w:p w14:paraId="5000CEB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c>
                <w:tcPr>
                  <w:tcW w:w="4520" w:type="pct"/>
                  <w:gridSpan w:val="6"/>
                  <w:tcBorders>
                    <w:top w:val="single" w:color="auto" w:sz="4" w:space="0"/>
                    <w:left w:val="single" w:color="auto" w:sz="4" w:space="0"/>
                    <w:bottom w:val="single" w:color="auto" w:sz="4" w:space="0"/>
                    <w:right w:val="single" w:color="auto" w:sz="4" w:space="0"/>
                  </w:tcBorders>
                  <w:noWrap/>
                  <w:vAlign w:val="center"/>
                </w:tcPr>
                <w:p w14:paraId="4D75C1B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面积：0.6338</w:t>
                  </w:r>
                  <w:r>
                    <w:rPr>
                      <w:rFonts w:hint="default" w:ascii="Times New Roman" w:hAnsi="Times New Roman" w:cs="Times New Roman"/>
                      <w:color w:val="auto"/>
                      <w:sz w:val="21"/>
                      <w:szCs w:val="21"/>
                    </w:rPr>
                    <w:t>km</w:t>
                  </w:r>
                  <w:r>
                    <w:rPr>
                      <w:rFonts w:hint="default" w:ascii="Times New Roman" w:hAnsi="Times New Roman" w:cs="Times New Roman"/>
                      <w:color w:val="auto"/>
                      <w:sz w:val="21"/>
                      <w:szCs w:val="21"/>
                      <w:vertAlign w:val="superscript"/>
                    </w:rPr>
                    <w:t>2</w:t>
                  </w:r>
                </w:p>
              </w:tc>
            </w:tr>
            <w:bookmarkEnd w:id="3"/>
          </w:tbl>
          <w:p w14:paraId="0A0409EA">
            <w:pPr>
              <w:pStyle w:val="2"/>
              <w:keepNext w:val="0"/>
              <w:keepLines w:val="0"/>
              <w:suppressLineNumbers w:val="0"/>
              <w:spacing w:before="0" w:beforeAutospacing="0" w:after="0" w:afterAutospacing="0"/>
              <w:ind w:left="0" w:right="0"/>
              <w:rPr>
                <w:rFonts w:hint="default" w:cs="Times New Roman"/>
                <w:color w:val="auto"/>
                <w:lang w:val="en-US" w:eastAsia="zh-CN"/>
              </w:rPr>
            </w:pPr>
          </w:p>
        </w:tc>
      </w:tr>
      <w:tr w14:paraId="6185F0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55" w:hRule="atLeast"/>
          <w:jc w:val="center"/>
        </w:trPr>
        <w:tc>
          <w:tcPr>
            <w:tcW w:w="471" w:type="dxa"/>
            <w:tcBorders>
              <w:top w:val="single" w:color="auto" w:sz="4" w:space="0"/>
              <w:left w:val="single" w:color="auto" w:sz="8" w:space="0"/>
              <w:bottom w:val="single" w:color="auto" w:sz="4" w:space="0"/>
              <w:right w:val="single" w:color="auto" w:sz="4" w:space="0"/>
            </w:tcBorders>
            <w:noWrap w:val="0"/>
            <w:vAlign w:val="center"/>
          </w:tcPr>
          <w:p w14:paraId="764A57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4"/>
                <w:highlight w:val="none"/>
              </w:rPr>
            </w:pPr>
            <w:r>
              <w:rPr>
                <w:rFonts w:hint="eastAsia" w:ascii="Times New Roman" w:hAnsi="Times New Roman" w:eastAsia="宋体" w:cs="Times New Roman"/>
                <w:b/>
                <w:bCs/>
                <w:color w:val="auto"/>
                <w:kern w:val="0"/>
                <w:sz w:val="24"/>
                <w:highlight w:val="none"/>
              </w:rPr>
              <w:t>项目组成及规模</w:t>
            </w:r>
          </w:p>
        </w:tc>
        <w:tc>
          <w:tcPr>
            <w:tcW w:w="8153" w:type="dxa"/>
            <w:tcBorders>
              <w:top w:val="single" w:color="auto" w:sz="4" w:space="0"/>
              <w:left w:val="single" w:color="auto" w:sz="4" w:space="0"/>
              <w:bottom w:val="single" w:color="auto" w:sz="4" w:space="0"/>
              <w:right w:val="single" w:color="auto" w:sz="8" w:space="0"/>
            </w:tcBorders>
            <w:noWrap w:val="0"/>
            <w:vAlign w:val="center"/>
          </w:tcPr>
          <w:p w14:paraId="3E3773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1、</w:t>
            </w:r>
            <w:r>
              <w:rPr>
                <w:rFonts w:hint="eastAsia" w:ascii="Times New Roman" w:hAnsi="Times New Roman" w:eastAsia="宋体" w:cs="Times New Roman"/>
                <w:b/>
                <w:bCs/>
                <w:color w:val="auto"/>
                <w:kern w:val="0"/>
                <w:sz w:val="24"/>
                <w:szCs w:val="24"/>
                <w:highlight w:val="none"/>
              </w:rPr>
              <w:t>项目</w:t>
            </w:r>
            <w:r>
              <w:rPr>
                <w:rFonts w:hint="eastAsia" w:ascii="Times New Roman" w:hAnsi="Times New Roman" w:eastAsia="宋体" w:cs="Times New Roman"/>
                <w:b/>
                <w:bCs/>
                <w:color w:val="auto"/>
                <w:kern w:val="0"/>
                <w:sz w:val="24"/>
                <w:szCs w:val="24"/>
                <w:highlight w:val="none"/>
                <w:lang w:val="en-US" w:eastAsia="zh-CN"/>
              </w:rPr>
              <w:t>由来</w:t>
            </w:r>
          </w:p>
          <w:p w14:paraId="35F455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Calibri" w:hAnsi="Calibri" w:eastAsia="宋体" w:cs="Times New Roman"/>
                <w:color w:val="auto"/>
                <w:sz w:val="24"/>
                <w:lang w:val="en-US" w:eastAsia="zh-CN"/>
              </w:rPr>
              <w:t>芒</w:t>
            </w:r>
            <w:r>
              <w:rPr>
                <w:rFonts w:hint="default" w:ascii="Calibri" w:hAnsi="Calibri" w:eastAsia="Calibri" w:cs="Times New Roman"/>
                <w:color w:val="auto"/>
                <w:sz w:val="24"/>
              </w:rPr>
              <w:t>市华盛金矿开发有限公司</w:t>
            </w:r>
            <w:r>
              <w:rPr>
                <w:rFonts w:hint="eastAsia" w:ascii="Times New Roman" w:hAnsi="Times New Roman" w:eastAsia="宋体" w:cs="Times New Roman"/>
                <w:color w:val="auto"/>
                <w:sz w:val="24"/>
                <w:highlight w:val="none"/>
                <w:lang w:val="en-US" w:eastAsia="zh-CN"/>
              </w:rPr>
              <w:t>计划开展“</w:t>
            </w:r>
            <w:r>
              <w:rPr>
                <w:rFonts w:hint="eastAsia" w:ascii="Times New Roman" w:hAnsi="Times New Roman" w:eastAsia="宋体" w:cs="Times New Roman"/>
                <w:color w:val="auto"/>
                <w:sz w:val="24"/>
                <w:lang w:eastAsia="zh-CN"/>
              </w:rPr>
              <w:t>芒市华盛金矿开发有限公司生产勘探项目</w:t>
            </w:r>
            <w:r>
              <w:rPr>
                <w:rFonts w:hint="eastAsia" w:ascii="Times New Roman" w:hAnsi="Times New Roman" w:eastAsia="宋体" w:cs="Times New Roman"/>
                <w:color w:val="auto"/>
                <w:sz w:val="24"/>
                <w:highlight w:val="none"/>
                <w:lang w:val="en-US" w:eastAsia="zh-CN"/>
              </w:rPr>
              <w:t>”，委托四川华锋钻探工程有限责任公司承担钻探工程工作，本次勘查区域位于芒市华盛金矿采矿权范围内，主要利用钻探工程对已经发现的</w:t>
            </w:r>
            <w:r>
              <w:rPr>
                <w:rFonts w:hint="eastAsia" w:ascii="Times New Roman" w:hAnsi="Times New Roman" w:eastAsia="宋体" w:cs="Times New Roman"/>
                <w:color w:val="auto"/>
                <w:kern w:val="0"/>
                <w:sz w:val="24"/>
                <w:highlight w:val="none"/>
                <w:lang w:eastAsia="zh-CN"/>
              </w:rPr>
              <w:t>Ⅶ号矿体</w:t>
            </w:r>
            <w:r>
              <w:rPr>
                <w:rFonts w:hint="eastAsia" w:ascii="Times New Roman" w:hAnsi="Times New Roman" w:eastAsia="宋体" w:cs="Times New Roman"/>
                <w:color w:val="auto"/>
                <w:kern w:val="0"/>
                <w:sz w:val="24"/>
                <w:highlight w:val="none"/>
                <w:lang w:val="en-US" w:eastAsia="zh-CN"/>
              </w:rPr>
              <w:t>进行加密控制，提高矿体的控制程度，为储量核实备案提供依据。该项目计划投入费用为1000万元，本次设计钻探工作量约13110米，设计钻孔41个，主要目的是在矿体进行系统控制，圈定的同时，为进一步查明</w:t>
            </w:r>
            <w:r>
              <w:rPr>
                <w:rFonts w:hint="eastAsia" w:ascii="Times New Roman" w:hAnsi="Times New Roman" w:eastAsia="宋体" w:cs="Times New Roman"/>
                <w:color w:val="auto"/>
                <w:sz w:val="24"/>
                <w:highlight w:val="none"/>
                <w:lang w:val="en-US" w:eastAsia="zh-CN"/>
              </w:rPr>
              <w:t>矿区地层、构造特征及分布、矿体规模及展布，以及成矿控制条件。</w:t>
            </w:r>
          </w:p>
          <w:p w14:paraId="09FFB9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szCs w:val="24"/>
              </w:rPr>
              <w:t>于2</w:t>
            </w:r>
            <w:r>
              <w:rPr>
                <w:rFonts w:hint="eastAsia" w:ascii="Times New Roman" w:hAnsi="Times New Roman" w:cs="Times New Roman"/>
                <w:color w:val="auto"/>
                <w:sz w:val="24"/>
                <w:szCs w:val="24"/>
                <w:lang w:val="en-US" w:eastAsia="zh-CN"/>
              </w:rPr>
              <w:t>022</w:t>
            </w:r>
            <w:r>
              <w:rPr>
                <w:rFonts w:hint="default"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rPr>
              <w:t>日取得了</w:t>
            </w:r>
            <w:r>
              <w:rPr>
                <w:rFonts w:hint="default" w:ascii="Times New Roman" w:hAnsi="Times New Roman" w:cs="Times New Roman"/>
                <w:color w:val="auto"/>
                <w:sz w:val="24"/>
                <w:szCs w:val="24"/>
                <w:lang w:val="en-US" w:eastAsia="zh-CN"/>
              </w:rPr>
              <w:t>芒市发展和改革局</w:t>
            </w:r>
            <w:r>
              <w:rPr>
                <w:rFonts w:hint="default" w:ascii="Times New Roman" w:hAnsi="Times New Roman" w:cs="Times New Roman"/>
                <w:color w:val="auto"/>
                <w:sz w:val="24"/>
                <w:szCs w:val="24"/>
              </w:rPr>
              <w:t>的</w:t>
            </w:r>
            <w:r>
              <w:rPr>
                <w:rFonts w:hint="eastAsia" w:ascii="Times New Roman" w:hAnsi="Times New Roman" w:cs="Times New Roman"/>
                <w:color w:val="auto"/>
                <w:sz w:val="24"/>
                <w:szCs w:val="24"/>
                <w:lang w:val="en-US" w:eastAsia="zh-CN"/>
              </w:rPr>
              <w:t>云南省固定资产投资项目备案证</w:t>
            </w:r>
            <w:r>
              <w:rPr>
                <w:rFonts w:hint="default" w:ascii="Times New Roman" w:hAnsi="Times New Roman" w:cs="Times New Roman"/>
                <w:color w:val="auto"/>
                <w:sz w:val="24"/>
                <w:szCs w:val="24"/>
              </w:rPr>
              <w:t>，备案号</w:t>
            </w:r>
            <w:r>
              <w:rPr>
                <w:rFonts w:hint="eastAsia" w:ascii="Times New Roman" w:hAnsi="Times New Roman" w:cs="Times New Roman"/>
                <w:color w:val="auto"/>
                <w:sz w:val="24"/>
                <w:szCs w:val="24"/>
                <w:lang w:val="en-US" w:eastAsia="zh-CN"/>
              </w:rPr>
              <w:t>[代码]</w:t>
            </w:r>
            <w:r>
              <w:rPr>
                <w:rFonts w:hint="default" w:ascii="Times New Roman" w:hAnsi="Times New Roman" w:cs="Times New Roman"/>
                <w:color w:val="auto"/>
                <w:sz w:val="24"/>
                <w:szCs w:val="24"/>
              </w:rPr>
              <w:t>：</w:t>
            </w:r>
            <w:r>
              <w:rPr>
                <w:rFonts w:hint="eastAsia" w:ascii="Times New Roman" w:hAnsi="Times New Roman" w:cs="Times New Roman"/>
                <w:color w:val="auto"/>
                <w:sz w:val="24"/>
                <w:lang w:eastAsia="zh-CN"/>
              </w:rPr>
              <w:t>2</w:t>
            </w:r>
            <w:r>
              <w:rPr>
                <w:rFonts w:hint="eastAsia" w:ascii="Times New Roman" w:hAnsi="Times New Roman" w:cs="Times New Roman"/>
                <w:color w:val="auto"/>
                <w:sz w:val="24"/>
                <w:lang w:val="en-US" w:eastAsia="zh-CN"/>
              </w:rPr>
              <w:t>203</w:t>
            </w:r>
            <w:r>
              <w:rPr>
                <w:rFonts w:hint="eastAsia" w:ascii="Times New Roman" w:hAnsi="Times New Roman" w:cs="Times New Roman"/>
                <w:color w:val="auto"/>
                <w:sz w:val="24"/>
                <w:lang w:eastAsia="zh-CN"/>
              </w:rPr>
              <w:t>-533103-04-0</w:t>
            </w:r>
            <w:r>
              <w:rPr>
                <w:rFonts w:hint="eastAsia" w:ascii="Times New Roman" w:hAnsi="Times New Roman" w:cs="Times New Roman"/>
                <w:color w:val="auto"/>
                <w:sz w:val="24"/>
                <w:lang w:val="en-US" w:eastAsia="zh-CN"/>
              </w:rPr>
              <w:t>1</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673533</w:t>
            </w:r>
            <w:r>
              <w:rPr>
                <w:rFonts w:hint="eastAsia" w:ascii="Times New Roman" w:hAnsi="Times New Roman" w:cs="Times New Roman"/>
                <w:color w:val="auto"/>
                <w:sz w:val="24"/>
                <w:szCs w:val="24"/>
                <w:lang w:eastAsia="zh-CN"/>
              </w:rPr>
              <w:t>，</w:t>
            </w:r>
            <w:r>
              <w:rPr>
                <w:rFonts w:hint="eastAsia" w:ascii="Times New Roman" w:hAnsi="Times New Roman" w:eastAsia="宋体" w:cs="Times New Roman"/>
                <w:color w:val="auto"/>
                <w:sz w:val="24"/>
                <w:highlight w:val="none"/>
                <w:lang w:val="en-US" w:eastAsia="zh-CN"/>
              </w:rPr>
              <w:t>同意项目建设。</w:t>
            </w:r>
          </w:p>
          <w:p w14:paraId="53D7F5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 w:val="24"/>
                <w:highlight w:val="none"/>
              </w:rPr>
              <w:t>根据《中华人民共和国环境保护法》以及国务院</w:t>
            </w:r>
            <w:r>
              <w:rPr>
                <w:rFonts w:hint="default" w:ascii="Times New Roman" w:hAnsi="Times New Roman" w:eastAsia="宋体" w:cs="Times New Roman"/>
                <w:color w:val="auto"/>
                <w:sz w:val="24"/>
                <w:highlight w:val="none"/>
              </w:rPr>
              <w:t>2017</w:t>
            </w:r>
            <w:r>
              <w:rPr>
                <w:rFonts w:hint="eastAsia" w:ascii="Times New Roman" w:hAnsi="Times New Roman" w:eastAsia="宋体" w:cs="Times New Roman"/>
                <w:color w:val="auto"/>
                <w:sz w:val="24"/>
                <w:highlight w:val="none"/>
              </w:rPr>
              <w:t>第</w:t>
            </w:r>
            <w:r>
              <w:rPr>
                <w:rFonts w:hint="default" w:ascii="Times New Roman" w:hAnsi="Times New Roman" w:eastAsia="宋体" w:cs="Times New Roman"/>
                <w:color w:val="auto"/>
                <w:sz w:val="24"/>
                <w:highlight w:val="none"/>
              </w:rPr>
              <w:t>682</w:t>
            </w:r>
            <w:r>
              <w:rPr>
                <w:rFonts w:hint="eastAsia" w:ascii="Times New Roman" w:hAnsi="Times New Roman" w:eastAsia="宋体" w:cs="Times New Roman"/>
                <w:color w:val="auto"/>
                <w:sz w:val="24"/>
                <w:highlight w:val="none"/>
              </w:rPr>
              <w:t>号文《建设项目环境保护管理条例》、《中华人民共和国环境影响评价法》的有关规定，该项目必须进行环境影响评价。对照《国民经济行业分类》（</w:t>
            </w:r>
            <w:r>
              <w:rPr>
                <w:rFonts w:hint="default" w:ascii="Times New Roman" w:hAnsi="Times New Roman" w:eastAsia="宋体" w:cs="Times New Roman"/>
                <w:color w:val="auto"/>
                <w:sz w:val="24"/>
                <w:highlight w:val="none"/>
              </w:rPr>
              <w:t>GB/T4754-2018)</w:t>
            </w:r>
            <w:r>
              <w:rPr>
                <w:rFonts w:hint="eastAsia" w:ascii="Times New Roman" w:hAnsi="Times New Roman" w:eastAsia="宋体" w:cs="Times New Roman"/>
                <w:color w:val="auto"/>
                <w:sz w:val="24"/>
                <w:highlight w:val="none"/>
              </w:rPr>
              <w:t>，项目应属于</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M7472固体地质勘查</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类项目。按照《建设项目环境影响评价分类管理名录》</w:t>
            </w:r>
            <w:r>
              <w:rPr>
                <w:rFonts w:hint="eastAsia" w:ascii="Times New Roman" w:hAnsi="Times New Roman" w:eastAsia="宋体" w:cs="Times New Roman"/>
                <w:color w:val="auto"/>
                <w:sz w:val="24"/>
                <w:highlight w:val="none"/>
                <w:lang w:eastAsia="zh-CN"/>
              </w:rPr>
              <w:t>（生态环境部</w:t>
            </w:r>
            <w:r>
              <w:rPr>
                <w:rFonts w:hint="eastAsia" w:ascii="Times New Roman" w:hAnsi="Times New Roman" w:eastAsia="宋体" w:cs="Times New Roman"/>
                <w:color w:val="auto"/>
                <w:sz w:val="24"/>
                <w:highlight w:val="none"/>
                <w:lang w:val="en-US" w:eastAsia="zh-CN"/>
              </w:rPr>
              <w:t>部令第16号</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shd w:val="clear" w:color="auto" w:fill="auto"/>
              </w:rPr>
              <w:t>（</w:t>
            </w:r>
            <w:r>
              <w:rPr>
                <w:rFonts w:hint="default" w:ascii="Times New Roman" w:hAnsi="Times New Roman" w:eastAsia="宋体" w:cs="Times New Roman"/>
                <w:color w:val="auto"/>
                <w:sz w:val="24"/>
                <w:highlight w:val="none"/>
                <w:shd w:val="clear" w:color="auto" w:fill="auto"/>
              </w:rPr>
              <w:t>2021</w:t>
            </w:r>
            <w:r>
              <w:rPr>
                <w:rFonts w:hint="eastAsia" w:ascii="Times New Roman" w:hAnsi="Times New Roman" w:eastAsia="宋体" w:cs="Times New Roman"/>
                <w:color w:val="auto"/>
                <w:sz w:val="24"/>
                <w:highlight w:val="none"/>
                <w:shd w:val="clear" w:color="auto" w:fill="auto"/>
              </w:rPr>
              <w:t>年</w:t>
            </w:r>
            <w:r>
              <w:rPr>
                <w:rFonts w:hint="default" w:ascii="Times New Roman" w:hAnsi="Times New Roman" w:eastAsia="宋体" w:cs="Times New Roman"/>
                <w:color w:val="auto"/>
                <w:sz w:val="24"/>
                <w:highlight w:val="none"/>
                <w:shd w:val="clear" w:color="auto" w:fill="auto"/>
              </w:rPr>
              <w:t>1</w:t>
            </w:r>
            <w:r>
              <w:rPr>
                <w:rFonts w:hint="eastAsia" w:ascii="Times New Roman" w:hAnsi="Times New Roman" w:eastAsia="宋体" w:cs="Times New Roman"/>
                <w:color w:val="auto"/>
                <w:sz w:val="24"/>
                <w:highlight w:val="none"/>
                <w:shd w:val="clear" w:color="auto" w:fill="auto"/>
              </w:rPr>
              <w:t>月</w:t>
            </w:r>
            <w:r>
              <w:rPr>
                <w:rFonts w:hint="default" w:ascii="Times New Roman" w:hAnsi="Times New Roman" w:eastAsia="宋体" w:cs="Times New Roman"/>
                <w:color w:val="auto"/>
                <w:sz w:val="24"/>
                <w:highlight w:val="none"/>
                <w:shd w:val="clear" w:color="auto" w:fill="auto"/>
              </w:rPr>
              <w:t>1</w:t>
            </w:r>
            <w:r>
              <w:rPr>
                <w:rFonts w:hint="eastAsia" w:ascii="Times New Roman" w:hAnsi="Times New Roman" w:eastAsia="宋体" w:cs="Times New Roman"/>
                <w:color w:val="auto"/>
                <w:sz w:val="24"/>
                <w:highlight w:val="none"/>
                <w:shd w:val="clear" w:color="auto" w:fill="auto"/>
              </w:rPr>
              <w:t>日施行）</w:t>
            </w:r>
            <w:r>
              <w:rPr>
                <w:rFonts w:hint="eastAsia" w:ascii="Times New Roman" w:hAnsi="Times New Roman" w:eastAsia="宋体" w:cs="Times New Roman"/>
                <w:color w:val="auto"/>
                <w:sz w:val="24"/>
                <w:highlight w:val="none"/>
              </w:rPr>
              <w:t>，本项目属于</w:t>
            </w:r>
            <w:r>
              <w:rPr>
                <w:rFonts w:hint="eastAsia" w:ascii="Times New Roman" w:hAnsi="Times New Roman" w:eastAsia="宋体" w:cs="Times New Roman"/>
                <w:color w:val="auto"/>
                <w:sz w:val="24"/>
                <w:highlight w:val="none"/>
                <w:lang w:eastAsia="zh-CN"/>
              </w:rPr>
              <w:t>“</w:t>
            </w:r>
            <w:r>
              <w:rPr>
                <w:rFonts w:hint="eastAsia" w:ascii="Times New Roman" w:hAnsi="Times New Roman" w:cs="Times New Roman"/>
                <w:color w:val="auto"/>
                <w:sz w:val="24"/>
                <w:lang w:val="en-US" w:eastAsia="zh-CN"/>
              </w:rPr>
              <w:t>四十</w:t>
            </w:r>
            <w:r>
              <w:rPr>
                <w:rFonts w:hint="eastAsia" w:ascii="Times New Roman" w:hAnsi="Times New Roman" w:eastAsia="宋体" w:cs="Times New Roman"/>
                <w:color w:val="auto"/>
                <w:sz w:val="24"/>
                <w:lang w:val="en-US" w:eastAsia="zh-CN"/>
              </w:rPr>
              <w:t>六、专业技术服务业9</w:t>
            </w:r>
            <w:r>
              <w:rPr>
                <w:rFonts w:hint="default" w:ascii="Times New Roman" w:hAnsi="Times New Roman" w:eastAsia="宋体" w:cs="Times New Roman"/>
                <w:color w:val="auto"/>
                <w:sz w:val="24"/>
                <w:lang w:val="en-US" w:eastAsia="zh-CN"/>
              </w:rPr>
              <w:t>9.陆地矿产资源地质勘查（含油气资源勘探）；二氧化碳地质封存</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应编制环境影响评价报告表。受建设单位的委托，我公司承担本项目环境影响报告表的编制工作。接受委托后，我公司技术人员在现场踏勘、环境状况调查、资料收集的基础上，编制完成了本项目环境影响报告表，供建设单位上报审批，并作为</w:t>
            </w:r>
            <w:r>
              <w:rPr>
                <w:rFonts w:hint="eastAsia" w:ascii="Times New Roman" w:hAnsi="Times New Roman" w:eastAsia="宋体" w:cs="Times New Roman"/>
                <w:color w:val="auto"/>
                <w:sz w:val="24"/>
                <w:highlight w:val="none"/>
                <w:lang w:val="en-US" w:eastAsia="zh-CN"/>
              </w:rPr>
              <w:t>生态环境</w:t>
            </w:r>
            <w:r>
              <w:rPr>
                <w:rFonts w:hint="eastAsia" w:ascii="Times New Roman" w:hAnsi="Times New Roman" w:eastAsia="宋体" w:cs="Times New Roman"/>
                <w:color w:val="auto"/>
                <w:sz w:val="24"/>
                <w:highlight w:val="none"/>
              </w:rPr>
              <w:t>部门和建设单位下一步环境管理的技术依据。</w:t>
            </w:r>
          </w:p>
          <w:p w14:paraId="68E804CB">
            <w:pPr>
              <w:keepNext w:val="0"/>
              <w:keepLines w:val="0"/>
              <w:numPr>
                <w:ilvl w:val="0"/>
                <w:numId w:val="0"/>
              </w:numPr>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2、芒市华盛金矿项目基本概况</w:t>
            </w:r>
          </w:p>
          <w:p w14:paraId="4683D85F">
            <w:pPr>
              <w:keepNext w:val="0"/>
              <w:keepLines w:val="0"/>
              <w:suppressLineNumbers w:val="0"/>
              <w:spacing w:before="0" w:beforeAutospacing="0" w:after="0" w:afterAutospacing="0" w:line="360" w:lineRule="auto"/>
              <w:ind w:left="0" w:right="0" w:firstLine="480"/>
              <w:rPr>
                <w:rFonts w:hint="default" w:ascii="Times New Roman" w:hAnsi="Times New Roman" w:eastAsia="Calibri" w:cs="Times New Roman"/>
                <w:color w:val="auto"/>
                <w:sz w:val="24"/>
              </w:rPr>
            </w:pPr>
            <w:r>
              <w:rPr>
                <w:rFonts w:hint="eastAsia" w:ascii="Calibri" w:hAnsi="Calibri" w:eastAsia="宋体" w:cs="Times New Roman"/>
                <w:color w:val="auto"/>
                <w:sz w:val="24"/>
                <w:lang w:val="en-US" w:eastAsia="zh-CN"/>
              </w:rPr>
              <w:t>芒</w:t>
            </w:r>
            <w:r>
              <w:rPr>
                <w:rFonts w:hint="default" w:ascii="Calibri" w:hAnsi="Calibri" w:eastAsia="Calibri" w:cs="Times New Roman"/>
                <w:color w:val="auto"/>
                <w:sz w:val="24"/>
              </w:rPr>
              <w:t>市华盛金矿开发有限公司芒市华盛金矿原名潞西市核工业二</w:t>
            </w:r>
            <w:r>
              <w:rPr>
                <w:rFonts w:hint="default" w:ascii="Times New Roman" w:hAnsi="Times New Roman" w:eastAsia="Calibri" w:cs="Times New Roman"/>
                <w:color w:val="auto"/>
                <w:sz w:val="24"/>
              </w:rPr>
              <w:t>O</w:t>
            </w:r>
            <w:r>
              <w:rPr>
                <w:rFonts w:hint="default" w:ascii="Calibri" w:hAnsi="Calibri" w:eastAsia="Calibri" w:cs="Times New Roman"/>
                <w:color w:val="auto"/>
                <w:sz w:val="24"/>
              </w:rPr>
              <w:t>九芒市华盛金矿，于</w:t>
            </w:r>
            <w:r>
              <w:rPr>
                <w:rFonts w:hint="default" w:ascii="Times New Roman" w:hAnsi="Times New Roman" w:eastAsia="Calibri" w:cs="Times New Roman"/>
                <w:color w:val="auto"/>
                <w:sz w:val="24"/>
              </w:rPr>
              <w:t>2013</w:t>
            </w:r>
            <w:r>
              <w:rPr>
                <w:rFonts w:hint="default" w:ascii="Calibri" w:hAnsi="Calibri" w:eastAsia="Calibri" w:cs="Times New Roman"/>
                <w:color w:val="auto"/>
                <w:sz w:val="24"/>
              </w:rPr>
              <w:t>年</w:t>
            </w:r>
            <w:r>
              <w:rPr>
                <w:rFonts w:hint="default" w:ascii="Times New Roman" w:hAnsi="Times New Roman" w:eastAsia="Calibri" w:cs="Times New Roman"/>
                <w:color w:val="auto"/>
                <w:sz w:val="24"/>
              </w:rPr>
              <w:t>3</w:t>
            </w:r>
            <w:r>
              <w:rPr>
                <w:rFonts w:hint="default" w:ascii="Calibri" w:hAnsi="Calibri" w:eastAsia="Calibri" w:cs="Times New Roman"/>
                <w:color w:val="auto"/>
                <w:sz w:val="24"/>
              </w:rPr>
              <w:t>月更名为芒市华盛金矿开发有限公司芒市华盛金矿（以下简称</w:t>
            </w:r>
            <w:r>
              <w:rPr>
                <w:rFonts w:hint="default" w:ascii="Times New Roman" w:hAnsi="Times New Roman" w:eastAsia="Calibri" w:cs="Times New Roman"/>
                <w:color w:val="auto"/>
                <w:sz w:val="24"/>
              </w:rPr>
              <w:t>“</w:t>
            </w:r>
            <w:r>
              <w:rPr>
                <w:rFonts w:hint="default" w:ascii="Calibri" w:hAnsi="Calibri" w:eastAsia="Calibri" w:cs="Times New Roman"/>
                <w:color w:val="auto"/>
                <w:sz w:val="24"/>
              </w:rPr>
              <w:t>芒市华盛金矿</w:t>
            </w:r>
            <w:r>
              <w:rPr>
                <w:rFonts w:hint="default" w:ascii="Times New Roman" w:hAnsi="Times New Roman" w:eastAsia="Calibri" w:cs="Times New Roman"/>
                <w:color w:val="auto"/>
                <w:sz w:val="24"/>
              </w:rPr>
              <w:t>”</w:t>
            </w:r>
            <w:r>
              <w:rPr>
                <w:rFonts w:hint="default" w:ascii="Calibri" w:hAnsi="Calibri" w:eastAsia="Calibri" w:cs="Times New Roman"/>
                <w:color w:val="auto"/>
                <w:sz w:val="24"/>
              </w:rPr>
              <w:t>），项目位于芒市三台山乡勐丹村，与芒市市区直线距离</w:t>
            </w:r>
            <w:r>
              <w:rPr>
                <w:rFonts w:hint="default" w:ascii="Times New Roman" w:hAnsi="Times New Roman" w:eastAsia="Calibri" w:cs="Times New Roman"/>
                <w:color w:val="auto"/>
                <w:sz w:val="24"/>
              </w:rPr>
              <w:t>31km</w:t>
            </w:r>
            <w:r>
              <w:rPr>
                <w:rFonts w:hint="default" w:ascii="Calibri" w:hAnsi="Calibri" w:eastAsia="Calibri" w:cs="Times New Roman"/>
                <w:color w:val="auto"/>
                <w:sz w:val="24"/>
              </w:rPr>
              <w:t>。芒市华盛金矿原为核工业</w:t>
            </w:r>
            <w:r>
              <w:rPr>
                <w:rFonts w:hint="default" w:ascii="Times New Roman" w:hAnsi="Times New Roman" w:eastAsia="Calibri" w:cs="Times New Roman"/>
                <w:color w:val="auto"/>
                <w:sz w:val="24"/>
              </w:rPr>
              <w:t>209</w:t>
            </w:r>
            <w:r>
              <w:rPr>
                <w:rFonts w:hint="default" w:ascii="Calibri" w:hAnsi="Calibri" w:eastAsia="Calibri" w:cs="Times New Roman"/>
                <w:color w:val="auto"/>
                <w:sz w:val="24"/>
              </w:rPr>
              <w:t>地质调查大队下属的集体所有制企业，于</w:t>
            </w:r>
            <w:r>
              <w:rPr>
                <w:rFonts w:hint="default" w:ascii="Times New Roman" w:hAnsi="Times New Roman" w:eastAsia="Calibri" w:cs="Times New Roman"/>
                <w:color w:val="auto"/>
                <w:sz w:val="24"/>
              </w:rPr>
              <w:t>1995</w:t>
            </w:r>
            <w:r>
              <w:rPr>
                <w:rFonts w:hint="default" w:ascii="Calibri" w:hAnsi="Calibri" w:eastAsia="Calibri" w:cs="Times New Roman"/>
                <w:color w:val="auto"/>
                <w:sz w:val="24"/>
              </w:rPr>
              <w:t>年试生产，开采及堆浸规模均为</w:t>
            </w:r>
            <w:r>
              <w:rPr>
                <w:rFonts w:hint="default" w:ascii="Times New Roman" w:hAnsi="Times New Roman" w:eastAsia="Calibri" w:cs="Times New Roman"/>
                <w:color w:val="auto"/>
                <w:sz w:val="24"/>
              </w:rPr>
              <w:t>2</w:t>
            </w:r>
            <w:r>
              <w:rPr>
                <w:rFonts w:hint="default" w:ascii="Calibri" w:hAnsi="Calibri" w:eastAsia="Calibri" w:cs="Times New Roman"/>
                <w:color w:val="auto"/>
                <w:sz w:val="24"/>
              </w:rPr>
              <w:t>万</w:t>
            </w:r>
            <w:r>
              <w:rPr>
                <w:rFonts w:hint="default" w:ascii="Times New Roman" w:hAnsi="Times New Roman" w:eastAsia="Calibri" w:cs="Times New Roman"/>
                <w:color w:val="auto"/>
                <w:sz w:val="24"/>
              </w:rPr>
              <w:t>t/a</w:t>
            </w:r>
            <w:r>
              <w:rPr>
                <w:rFonts w:hint="default" w:ascii="Calibri" w:hAnsi="Calibri" w:eastAsia="Calibri" w:cs="Times New Roman"/>
                <w:color w:val="auto"/>
                <w:sz w:val="24"/>
              </w:rPr>
              <w:t>，</w:t>
            </w:r>
            <w:r>
              <w:rPr>
                <w:rFonts w:hint="default" w:ascii="Times New Roman" w:hAnsi="Times New Roman" w:eastAsia="Calibri" w:cs="Times New Roman"/>
                <w:color w:val="auto"/>
                <w:sz w:val="24"/>
              </w:rPr>
              <w:t>2009</w:t>
            </w:r>
            <w:r>
              <w:rPr>
                <w:rFonts w:hint="default" w:ascii="Calibri" w:hAnsi="Calibri" w:eastAsia="Calibri" w:cs="Times New Roman"/>
                <w:color w:val="auto"/>
                <w:sz w:val="24"/>
              </w:rPr>
              <w:t>年</w:t>
            </w:r>
            <w:r>
              <w:rPr>
                <w:rFonts w:hint="default" w:ascii="Times New Roman" w:hAnsi="Times New Roman" w:eastAsia="Calibri" w:cs="Times New Roman"/>
                <w:color w:val="auto"/>
                <w:sz w:val="24"/>
              </w:rPr>
              <w:t>9</w:t>
            </w:r>
            <w:r>
              <w:rPr>
                <w:rFonts w:hint="default" w:ascii="Calibri" w:hAnsi="Calibri" w:eastAsia="Calibri" w:cs="Times New Roman"/>
                <w:color w:val="auto"/>
                <w:sz w:val="24"/>
              </w:rPr>
              <w:t>月对项目进行了一次扩建，开采及堆浸规模均扩建至</w:t>
            </w:r>
            <w:r>
              <w:rPr>
                <w:rFonts w:hint="default" w:ascii="Times New Roman" w:hAnsi="Times New Roman" w:eastAsia="Calibri" w:cs="Times New Roman"/>
                <w:color w:val="auto"/>
                <w:sz w:val="24"/>
              </w:rPr>
              <w:t>5</w:t>
            </w:r>
            <w:r>
              <w:rPr>
                <w:rFonts w:hint="default" w:ascii="Calibri" w:hAnsi="Calibri" w:eastAsia="Calibri" w:cs="Times New Roman"/>
                <w:color w:val="auto"/>
                <w:sz w:val="24"/>
              </w:rPr>
              <w:t>万</w:t>
            </w:r>
            <w:r>
              <w:rPr>
                <w:rFonts w:hint="default" w:ascii="Times New Roman" w:hAnsi="Times New Roman" w:eastAsia="Calibri" w:cs="Times New Roman"/>
                <w:color w:val="auto"/>
                <w:sz w:val="24"/>
              </w:rPr>
              <w:t>t/a</w:t>
            </w:r>
            <w:r>
              <w:rPr>
                <w:rFonts w:hint="default" w:ascii="Calibri" w:hAnsi="Calibri" w:eastAsia="Calibri" w:cs="Times New Roman"/>
                <w:color w:val="auto"/>
                <w:sz w:val="24"/>
              </w:rPr>
              <w:t>，</w:t>
            </w:r>
            <w:r>
              <w:rPr>
                <w:rFonts w:hint="default" w:ascii="Times New Roman" w:hAnsi="Times New Roman" w:eastAsia="Calibri" w:cs="Times New Roman"/>
                <w:color w:val="auto"/>
                <w:sz w:val="24"/>
              </w:rPr>
              <w:t>2014</w:t>
            </w:r>
            <w:r>
              <w:rPr>
                <w:rFonts w:hint="default" w:ascii="Calibri" w:hAnsi="Calibri" w:eastAsia="Calibri" w:cs="Times New Roman"/>
                <w:color w:val="auto"/>
                <w:sz w:val="24"/>
              </w:rPr>
              <w:t>年进行了再次扩建，采矿和堆浸规模均扩建至</w:t>
            </w:r>
            <w:r>
              <w:rPr>
                <w:rFonts w:hint="default" w:ascii="Times New Roman" w:hAnsi="Times New Roman" w:eastAsia="Calibri" w:cs="Times New Roman"/>
                <w:color w:val="auto"/>
                <w:sz w:val="24"/>
              </w:rPr>
              <w:t>10</w:t>
            </w:r>
            <w:r>
              <w:rPr>
                <w:rFonts w:hint="default" w:ascii="Calibri" w:hAnsi="Calibri" w:eastAsia="Calibri" w:cs="Times New Roman"/>
                <w:color w:val="auto"/>
                <w:sz w:val="24"/>
              </w:rPr>
              <w:t>万</w:t>
            </w:r>
            <w:r>
              <w:rPr>
                <w:rFonts w:hint="default" w:ascii="Times New Roman" w:hAnsi="Times New Roman" w:eastAsia="Calibri" w:cs="Times New Roman"/>
                <w:color w:val="auto"/>
                <w:sz w:val="24"/>
              </w:rPr>
              <w:t>t/a</w:t>
            </w:r>
            <w:r>
              <w:rPr>
                <w:rFonts w:hint="default" w:ascii="Calibri" w:hAnsi="Calibri" w:eastAsia="Calibri" w:cs="Times New Roman"/>
                <w:color w:val="auto"/>
                <w:sz w:val="24"/>
              </w:rPr>
              <w:t>，开采方式由原来的露天开采改为露天</w:t>
            </w:r>
            <w:r>
              <w:rPr>
                <w:rFonts w:hint="default" w:ascii="Times New Roman" w:hAnsi="Times New Roman" w:eastAsia="Calibri" w:cs="Times New Roman"/>
                <w:color w:val="auto"/>
                <w:sz w:val="24"/>
              </w:rPr>
              <w:t>+</w:t>
            </w:r>
            <w:r>
              <w:rPr>
                <w:rFonts w:hint="default" w:ascii="Calibri" w:hAnsi="Calibri" w:eastAsia="Calibri" w:cs="Times New Roman"/>
                <w:color w:val="auto"/>
                <w:sz w:val="24"/>
              </w:rPr>
              <w:t>地下开采。</w:t>
            </w:r>
          </w:p>
          <w:p w14:paraId="1D73D262">
            <w:pPr>
              <w:keepNext w:val="0"/>
              <w:keepLines w:val="0"/>
              <w:suppressLineNumbers w:val="0"/>
              <w:spacing w:before="0" w:beforeAutospacing="0" w:after="0" w:afterAutospacing="0" w:line="360" w:lineRule="auto"/>
              <w:ind w:left="0" w:right="0" w:firstLine="480"/>
              <w:rPr>
                <w:rFonts w:hint="default" w:ascii="Times New Roman" w:hAnsi="Times New Roman" w:eastAsia="Calibri" w:cs="Times New Roman"/>
                <w:color w:val="auto"/>
                <w:sz w:val="24"/>
              </w:rPr>
            </w:pPr>
            <w:r>
              <w:rPr>
                <w:rFonts w:hint="default" w:ascii="Calibri" w:hAnsi="Calibri" w:eastAsia="Calibri" w:cs="Times New Roman"/>
                <w:color w:val="auto"/>
                <w:sz w:val="24"/>
              </w:rPr>
              <w:t>芒市华盛金矿采矿许可证（有效期</w:t>
            </w:r>
            <w:r>
              <w:rPr>
                <w:rFonts w:hint="default" w:ascii="Times New Roman" w:hAnsi="Times New Roman" w:eastAsia="Calibri" w:cs="Times New Roman"/>
                <w:color w:val="auto"/>
                <w:sz w:val="24"/>
              </w:rPr>
              <w:t>2015</w:t>
            </w:r>
            <w:r>
              <w:rPr>
                <w:rFonts w:hint="default" w:ascii="Calibri" w:hAnsi="Calibri" w:eastAsia="Calibri" w:cs="Times New Roman"/>
                <w:color w:val="auto"/>
                <w:sz w:val="24"/>
              </w:rPr>
              <w:t>年</w:t>
            </w:r>
            <w:r>
              <w:rPr>
                <w:rFonts w:hint="default" w:ascii="Times New Roman" w:hAnsi="Times New Roman" w:eastAsia="Calibri" w:cs="Times New Roman"/>
                <w:color w:val="auto"/>
                <w:sz w:val="24"/>
              </w:rPr>
              <w:t>7</w:t>
            </w:r>
            <w:r>
              <w:rPr>
                <w:rFonts w:hint="default" w:ascii="Calibri" w:hAnsi="Calibri" w:eastAsia="Calibri" w:cs="Times New Roman"/>
                <w:color w:val="auto"/>
                <w:sz w:val="24"/>
              </w:rPr>
              <w:t>月</w:t>
            </w:r>
            <w:r>
              <w:rPr>
                <w:rFonts w:hint="default" w:ascii="Times New Roman" w:hAnsi="Times New Roman" w:eastAsia="Calibri" w:cs="Times New Roman"/>
                <w:color w:val="auto"/>
                <w:sz w:val="24"/>
              </w:rPr>
              <w:t>11</w:t>
            </w:r>
            <w:r>
              <w:rPr>
                <w:rFonts w:hint="default" w:ascii="Calibri" w:hAnsi="Calibri" w:eastAsia="Calibri" w:cs="Times New Roman"/>
                <w:color w:val="auto"/>
                <w:sz w:val="24"/>
              </w:rPr>
              <w:t>日至</w:t>
            </w:r>
            <w:r>
              <w:rPr>
                <w:rFonts w:hint="default" w:ascii="Times New Roman" w:hAnsi="Times New Roman" w:eastAsia="Calibri" w:cs="Times New Roman"/>
                <w:color w:val="auto"/>
                <w:sz w:val="24"/>
              </w:rPr>
              <w:t>2025</w:t>
            </w:r>
            <w:r>
              <w:rPr>
                <w:rFonts w:hint="default" w:ascii="Calibri" w:hAnsi="Calibri" w:eastAsia="Calibri" w:cs="Times New Roman"/>
                <w:color w:val="auto"/>
                <w:sz w:val="24"/>
              </w:rPr>
              <w:t>年</w:t>
            </w:r>
            <w:r>
              <w:rPr>
                <w:rFonts w:hint="default" w:ascii="Times New Roman" w:hAnsi="Times New Roman" w:eastAsia="Calibri" w:cs="Times New Roman"/>
                <w:color w:val="auto"/>
                <w:sz w:val="24"/>
              </w:rPr>
              <w:t>7</w:t>
            </w:r>
            <w:r>
              <w:rPr>
                <w:rFonts w:hint="default" w:ascii="Calibri" w:hAnsi="Calibri" w:eastAsia="Calibri" w:cs="Times New Roman"/>
                <w:color w:val="auto"/>
                <w:sz w:val="24"/>
              </w:rPr>
              <w:t>月</w:t>
            </w:r>
            <w:r>
              <w:rPr>
                <w:rFonts w:hint="default" w:ascii="Times New Roman" w:hAnsi="Times New Roman" w:eastAsia="Calibri" w:cs="Times New Roman"/>
                <w:color w:val="auto"/>
                <w:sz w:val="24"/>
              </w:rPr>
              <w:t>11</w:t>
            </w:r>
            <w:r>
              <w:rPr>
                <w:rFonts w:hint="default" w:ascii="Calibri" w:hAnsi="Calibri" w:eastAsia="Calibri" w:cs="Times New Roman"/>
                <w:color w:val="auto"/>
                <w:sz w:val="24"/>
              </w:rPr>
              <w:t>日）证号为</w:t>
            </w:r>
            <w:r>
              <w:rPr>
                <w:rFonts w:hint="default" w:ascii="Times New Roman" w:hAnsi="Times New Roman" w:eastAsia="Calibri" w:cs="Times New Roman"/>
                <w:color w:val="auto"/>
                <w:sz w:val="24"/>
              </w:rPr>
              <w:t>C5300002009114120045284</w:t>
            </w:r>
            <w:r>
              <w:rPr>
                <w:rFonts w:hint="default" w:ascii="Calibri" w:hAnsi="Calibri" w:eastAsia="Calibri" w:cs="Times New Roman"/>
                <w:color w:val="auto"/>
                <w:sz w:val="24"/>
              </w:rPr>
              <w:t>，由</w:t>
            </w:r>
            <w:r>
              <w:rPr>
                <w:rFonts w:hint="default" w:ascii="Times New Roman" w:hAnsi="Times New Roman" w:eastAsia="Calibri" w:cs="Times New Roman"/>
                <w:color w:val="auto"/>
                <w:sz w:val="24"/>
              </w:rPr>
              <w:t>17</w:t>
            </w:r>
            <w:r>
              <w:rPr>
                <w:rFonts w:hint="default" w:ascii="Calibri" w:hAnsi="Calibri" w:eastAsia="Calibri" w:cs="Times New Roman"/>
                <w:color w:val="auto"/>
                <w:sz w:val="24"/>
              </w:rPr>
              <w:t>个拐点圈定，矿区面积</w:t>
            </w:r>
            <w:r>
              <w:rPr>
                <w:rFonts w:hint="default" w:ascii="Times New Roman" w:hAnsi="Times New Roman" w:eastAsia="Calibri" w:cs="Times New Roman"/>
                <w:color w:val="auto"/>
                <w:sz w:val="24"/>
              </w:rPr>
              <w:t>0.6338km</w:t>
            </w:r>
            <w:r>
              <w:rPr>
                <w:rFonts w:hint="default" w:ascii="Times New Roman" w:hAnsi="Times New Roman" w:eastAsia="Calibri" w:cs="Times New Roman"/>
                <w:color w:val="auto"/>
                <w:sz w:val="24"/>
                <w:vertAlign w:val="superscript"/>
              </w:rPr>
              <w:t>2</w:t>
            </w:r>
            <w:r>
              <w:rPr>
                <w:rFonts w:hint="default" w:ascii="Calibri" w:hAnsi="Calibri" w:eastAsia="Calibri" w:cs="Times New Roman"/>
                <w:color w:val="auto"/>
                <w:sz w:val="24"/>
              </w:rPr>
              <w:t>，开采标高为</w:t>
            </w:r>
            <w:r>
              <w:rPr>
                <w:rFonts w:hint="default" w:ascii="Times New Roman" w:hAnsi="Times New Roman" w:eastAsia="Calibri" w:cs="Times New Roman"/>
                <w:color w:val="auto"/>
                <w:sz w:val="24"/>
              </w:rPr>
              <w:t>1500m-1100m</w:t>
            </w:r>
            <w:r>
              <w:rPr>
                <w:rFonts w:hint="default" w:ascii="Calibri" w:hAnsi="Calibri" w:eastAsia="Calibri" w:cs="Times New Roman"/>
                <w:color w:val="auto"/>
                <w:sz w:val="24"/>
              </w:rPr>
              <w:t>，开采方式为露天开采</w:t>
            </w:r>
            <w:r>
              <w:rPr>
                <w:rFonts w:hint="default" w:ascii="Times New Roman" w:hAnsi="Times New Roman" w:eastAsia="Calibri" w:cs="Times New Roman"/>
                <w:color w:val="auto"/>
                <w:sz w:val="24"/>
              </w:rPr>
              <w:t>+</w:t>
            </w:r>
            <w:r>
              <w:rPr>
                <w:rFonts w:hint="default" w:ascii="Calibri" w:hAnsi="Calibri" w:eastAsia="Calibri" w:cs="Times New Roman"/>
                <w:color w:val="auto"/>
                <w:sz w:val="24"/>
              </w:rPr>
              <w:t>地下开采，生产规模为</w:t>
            </w:r>
            <w:r>
              <w:rPr>
                <w:rFonts w:hint="default" w:ascii="Times New Roman" w:hAnsi="Times New Roman" w:eastAsia="Calibri" w:cs="Times New Roman"/>
                <w:color w:val="auto"/>
                <w:sz w:val="24"/>
              </w:rPr>
              <w:t>10</w:t>
            </w:r>
            <w:r>
              <w:rPr>
                <w:rFonts w:hint="default" w:ascii="Calibri" w:hAnsi="Calibri" w:eastAsia="Calibri" w:cs="Times New Roman"/>
                <w:color w:val="auto"/>
                <w:sz w:val="24"/>
              </w:rPr>
              <w:t>万</w:t>
            </w:r>
            <w:r>
              <w:rPr>
                <w:rFonts w:hint="default" w:ascii="Times New Roman" w:hAnsi="Times New Roman" w:eastAsia="Calibri" w:cs="Times New Roman"/>
                <w:color w:val="auto"/>
                <w:sz w:val="24"/>
              </w:rPr>
              <w:t>t/a</w:t>
            </w:r>
            <w:r>
              <w:rPr>
                <w:rFonts w:hint="default" w:ascii="Calibri" w:hAnsi="Calibri" w:eastAsia="Calibri" w:cs="Times New Roman"/>
                <w:color w:val="auto"/>
                <w:sz w:val="24"/>
              </w:rPr>
              <w:t>。矿区范围包括麦窝坝矿段和果园矿段</w:t>
            </w:r>
            <w:r>
              <w:rPr>
                <w:rFonts w:hint="default" w:ascii="Times New Roman" w:hAnsi="Times New Roman" w:eastAsia="Calibri" w:cs="Times New Roman"/>
                <w:color w:val="auto"/>
                <w:sz w:val="24"/>
              </w:rPr>
              <w:t>2</w:t>
            </w:r>
            <w:r>
              <w:rPr>
                <w:rFonts w:hint="default" w:ascii="Calibri" w:hAnsi="Calibri" w:eastAsia="Calibri" w:cs="Times New Roman"/>
                <w:color w:val="auto"/>
                <w:sz w:val="24"/>
              </w:rPr>
              <w:t>个矿段，麦窝坝矿段探明的Ⅰ至Ⅵ矿体在</w:t>
            </w:r>
            <w:r>
              <w:rPr>
                <w:rFonts w:hint="default" w:ascii="Times New Roman" w:hAnsi="Times New Roman" w:eastAsia="Calibri" w:cs="Times New Roman"/>
                <w:color w:val="auto"/>
                <w:sz w:val="24"/>
              </w:rPr>
              <w:t>1995</w:t>
            </w:r>
            <w:r>
              <w:rPr>
                <w:rFonts w:hint="default" w:ascii="Calibri" w:hAnsi="Calibri" w:eastAsia="Calibri" w:cs="Times New Roman"/>
                <w:color w:val="auto"/>
                <w:sz w:val="24"/>
              </w:rPr>
              <w:t>年至</w:t>
            </w:r>
            <w:r>
              <w:rPr>
                <w:rFonts w:hint="default" w:ascii="Times New Roman" w:hAnsi="Times New Roman" w:eastAsia="Calibri" w:cs="Times New Roman"/>
                <w:color w:val="auto"/>
                <w:sz w:val="24"/>
              </w:rPr>
              <w:t>2009</w:t>
            </w:r>
            <w:r>
              <w:rPr>
                <w:rFonts w:hint="default" w:ascii="Calibri" w:hAnsi="Calibri" w:eastAsia="Calibri" w:cs="Times New Roman"/>
                <w:color w:val="auto"/>
                <w:sz w:val="24"/>
              </w:rPr>
              <w:t>年期间进行了开采，现状已基本采空；Ⅶ号矿体从</w:t>
            </w:r>
            <w:r>
              <w:rPr>
                <w:rFonts w:hint="default" w:ascii="Times New Roman" w:hAnsi="Times New Roman" w:eastAsia="Calibri" w:cs="Times New Roman"/>
                <w:color w:val="auto"/>
                <w:sz w:val="24"/>
              </w:rPr>
              <w:t>2009</w:t>
            </w:r>
            <w:r>
              <w:rPr>
                <w:rFonts w:hint="default" w:ascii="Calibri" w:hAnsi="Calibri" w:eastAsia="Calibri" w:cs="Times New Roman"/>
                <w:color w:val="auto"/>
                <w:sz w:val="24"/>
              </w:rPr>
              <w:t>年开始进行开采，目前北部和南部露采部分均已开采结束，地下开采部分未进行开采。前期开采共形成了露天采空区</w:t>
            </w:r>
            <w:r>
              <w:rPr>
                <w:rFonts w:hint="default" w:ascii="Times New Roman" w:hAnsi="Times New Roman" w:eastAsia="Calibri" w:cs="Times New Roman"/>
                <w:color w:val="auto"/>
                <w:sz w:val="24"/>
              </w:rPr>
              <w:t>8</w:t>
            </w:r>
            <w:r>
              <w:rPr>
                <w:rFonts w:hint="default" w:ascii="Calibri" w:hAnsi="Calibri" w:eastAsia="Calibri" w:cs="Times New Roman"/>
                <w:color w:val="auto"/>
                <w:sz w:val="24"/>
              </w:rPr>
              <w:t>个（麦窝坝矿段的Ⅰ至Ⅵ矿体、Ⅶ号北部矿体、果园矿段矿体，其中麦窝坝矿段的Ⅰ至Ⅵ矿体采空区已回填）。开采的矿石均运往矿区北部大岗河左岸地带进行堆浸生产，废石部分运往历史采空区进行回填，部分运往现状的</w:t>
            </w:r>
            <w:r>
              <w:rPr>
                <w:rFonts w:hint="default" w:ascii="Times New Roman" w:hAnsi="Times New Roman" w:eastAsia="Calibri" w:cs="Times New Roman"/>
                <w:color w:val="auto"/>
                <w:sz w:val="24"/>
              </w:rPr>
              <w:t>2</w:t>
            </w:r>
            <w:r>
              <w:rPr>
                <w:rFonts w:hint="default" w:ascii="Times New Roman" w:hAnsi="Times New Roman" w:eastAsia="Calibri" w:cs="Times New Roman"/>
                <w:color w:val="auto"/>
                <w:sz w:val="24"/>
                <w:vertAlign w:val="superscript"/>
              </w:rPr>
              <w:t>#</w:t>
            </w:r>
            <w:r>
              <w:rPr>
                <w:rFonts w:hint="default" w:ascii="Calibri" w:hAnsi="Calibri" w:eastAsia="Calibri" w:cs="Times New Roman"/>
                <w:color w:val="auto"/>
                <w:sz w:val="24"/>
              </w:rPr>
              <w:t>排土场内堆存。果园矿段位于大岗河右岸，于</w:t>
            </w:r>
            <w:r>
              <w:rPr>
                <w:rFonts w:hint="default" w:ascii="Times New Roman" w:hAnsi="Times New Roman" w:eastAsia="Calibri" w:cs="Times New Roman"/>
                <w:color w:val="auto"/>
                <w:sz w:val="24"/>
              </w:rPr>
              <w:t>2000</w:t>
            </w:r>
            <w:r>
              <w:rPr>
                <w:rFonts w:hint="default" w:ascii="Calibri" w:hAnsi="Calibri" w:eastAsia="Calibri" w:cs="Times New Roman"/>
                <w:color w:val="auto"/>
                <w:sz w:val="24"/>
              </w:rPr>
              <w:t>年～</w:t>
            </w:r>
            <w:r>
              <w:rPr>
                <w:rFonts w:hint="default" w:ascii="Times New Roman" w:hAnsi="Times New Roman" w:eastAsia="Calibri" w:cs="Times New Roman"/>
                <w:color w:val="auto"/>
                <w:sz w:val="24"/>
              </w:rPr>
              <w:t>2009</w:t>
            </w:r>
            <w:r>
              <w:rPr>
                <w:rFonts w:hint="default" w:ascii="Calibri" w:hAnsi="Calibri" w:eastAsia="Calibri" w:cs="Times New Roman"/>
                <w:color w:val="auto"/>
                <w:sz w:val="24"/>
              </w:rPr>
              <w:t>年期间对其进行开采，废土排往现状排土场及麦窝坝矿段采空区。果园矿段采至</w:t>
            </w:r>
            <w:r>
              <w:rPr>
                <w:rFonts w:hint="default" w:ascii="Times New Roman" w:hAnsi="Times New Roman" w:eastAsia="Calibri" w:cs="Times New Roman"/>
                <w:color w:val="auto"/>
                <w:sz w:val="24"/>
              </w:rPr>
              <w:t>2009</w:t>
            </w:r>
            <w:r>
              <w:rPr>
                <w:rFonts w:hint="default" w:ascii="Calibri" w:hAnsi="Calibri" w:eastAsia="Calibri" w:cs="Times New Roman"/>
                <w:color w:val="auto"/>
                <w:sz w:val="24"/>
              </w:rPr>
              <w:t>年后资源基本枯竭，之后不再对其进行开采。果园矿段采空区和排土场均已进行复垦及植被恢复。</w:t>
            </w:r>
          </w:p>
          <w:p w14:paraId="107AEDA1">
            <w:pPr>
              <w:keepNext w:val="0"/>
              <w:keepLines w:val="0"/>
              <w:suppressLineNumbers w:val="0"/>
              <w:spacing w:before="0" w:beforeAutospacing="0" w:after="0" w:afterAutospacing="0" w:line="360" w:lineRule="auto"/>
              <w:ind w:left="0" w:right="0" w:firstLine="480"/>
              <w:rPr>
                <w:rFonts w:hint="default" w:ascii="Times New Roman" w:hAnsi="Times New Roman" w:eastAsia="Calibri" w:cs="Times New Roman"/>
                <w:color w:val="auto"/>
                <w:sz w:val="24"/>
              </w:rPr>
            </w:pPr>
            <w:r>
              <w:rPr>
                <w:rFonts w:hint="default" w:ascii="Times New Roman" w:hAnsi="Times New Roman" w:eastAsia="Calibri" w:cs="Times New Roman"/>
                <w:color w:val="auto"/>
                <w:sz w:val="24"/>
              </w:rPr>
              <w:t>2012</w:t>
            </w:r>
            <w:r>
              <w:rPr>
                <w:rFonts w:hint="default" w:ascii="Calibri" w:hAnsi="Calibri" w:eastAsia="Calibri" w:cs="Times New Roman"/>
                <w:color w:val="auto"/>
                <w:sz w:val="24"/>
              </w:rPr>
              <w:t>建设单位芒市华盛金矿开发有限公司对矿区进行了储量核实工作，</w:t>
            </w:r>
            <w:r>
              <w:rPr>
                <w:rFonts w:hint="default" w:ascii="Times New Roman" w:hAnsi="Times New Roman" w:eastAsia="Calibri" w:cs="Times New Roman"/>
                <w:color w:val="auto"/>
                <w:sz w:val="24"/>
              </w:rPr>
              <w:t>2013</w:t>
            </w:r>
            <w:r>
              <w:rPr>
                <w:rFonts w:hint="default" w:ascii="Calibri" w:hAnsi="Calibri" w:eastAsia="Calibri" w:cs="Times New Roman"/>
                <w:color w:val="auto"/>
                <w:sz w:val="24"/>
              </w:rPr>
              <w:t>年</w:t>
            </w:r>
            <w:r>
              <w:rPr>
                <w:rFonts w:hint="default" w:ascii="Times New Roman" w:hAnsi="Times New Roman" w:eastAsia="Calibri" w:cs="Times New Roman"/>
                <w:color w:val="auto"/>
                <w:sz w:val="24"/>
              </w:rPr>
              <w:t>7</w:t>
            </w:r>
            <w:r>
              <w:rPr>
                <w:rFonts w:hint="default" w:ascii="Calibri" w:hAnsi="Calibri" w:eastAsia="Calibri" w:cs="Times New Roman"/>
                <w:color w:val="auto"/>
                <w:sz w:val="24"/>
              </w:rPr>
              <w:t>月矿区资源储量核实报告获得云南省国土厅备案（云国土资储备字﹝</w:t>
            </w:r>
            <w:r>
              <w:rPr>
                <w:rFonts w:hint="default" w:ascii="Times New Roman" w:hAnsi="Times New Roman" w:eastAsia="Calibri" w:cs="Times New Roman"/>
                <w:color w:val="auto"/>
                <w:sz w:val="24"/>
              </w:rPr>
              <w:t>2013</w:t>
            </w:r>
            <w:r>
              <w:rPr>
                <w:rFonts w:hint="default" w:ascii="Calibri" w:hAnsi="Calibri" w:eastAsia="Calibri" w:cs="Times New Roman"/>
                <w:color w:val="auto"/>
                <w:sz w:val="24"/>
              </w:rPr>
              <w:t>﹞</w:t>
            </w:r>
            <w:r>
              <w:rPr>
                <w:rFonts w:hint="default" w:ascii="Times New Roman" w:hAnsi="Times New Roman" w:eastAsia="Calibri" w:cs="Times New Roman"/>
                <w:color w:val="auto"/>
                <w:sz w:val="24"/>
              </w:rPr>
              <w:t>124</w:t>
            </w:r>
            <w:r>
              <w:rPr>
                <w:rFonts w:hint="default" w:ascii="Calibri" w:hAnsi="Calibri" w:eastAsia="Calibri" w:cs="Times New Roman"/>
                <w:color w:val="auto"/>
                <w:sz w:val="24"/>
              </w:rPr>
              <w:t>号），</w:t>
            </w:r>
            <w:r>
              <w:rPr>
                <w:rFonts w:hint="default" w:ascii="Times New Roman" w:hAnsi="Times New Roman" w:eastAsia="Calibri" w:cs="Times New Roman"/>
                <w:color w:val="auto"/>
                <w:sz w:val="24"/>
              </w:rPr>
              <w:t>10</w:t>
            </w:r>
            <w:r>
              <w:rPr>
                <w:rFonts w:hint="default" w:ascii="Calibri" w:hAnsi="Calibri" w:eastAsia="Calibri" w:cs="Times New Roman"/>
                <w:color w:val="auto"/>
                <w:sz w:val="24"/>
              </w:rPr>
              <w:t>万吨</w:t>
            </w:r>
            <w:r>
              <w:rPr>
                <w:rFonts w:hint="default" w:ascii="Times New Roman" w:hAnsi="Times New Roman" w:eastAsia="Calibri" w:cs="Times New Roman"/>
                <w:color w:val="auto"/>
                <w:sz w:val="24"/>
              </w:rPr>
              <w:t>/</w:t>
            </w:r>
            <w:r>
              <w:rPr>
                <w:rFonts w:hint="default" w:ascii="Calibri" w:hAnsi="Calibri" w:eastAsia="Calibri" w:cs="Times New Roman"/>
                <w:color w:val="auto"/>
                <w:sz w:val="24"/>
              </w:rPr>
              <w:t>年采选项目设计开采对象主要为麦窝坝矿段Ⅶ号南部矿体，矿体设计采出的资源量为</w:t>
            </w:r>
            <w:r>
              <w:rPr>
                <w:rFonts w:hint="default" w:ascii="Times New Roman" w:hAnsi="Times New Roman" w:eastAsia="Calibri" w:cs="Times New Roman"/>
                <w:color w:val="auto"/>
                <w:sz w:val="24"/>
              </w:rPr>
              <w:t>183.39</w:t>
            </w:r>
            <w:r>
              <w:rPr>
                <w:rFonts w:hint="default" w:ascii="Calibri" w:hAnsi="Calibri" w:eastAsia="Calibri" w:cs="Times New Roman"/>
                <w:color w:val="auto"/>
                <w:sz w:val="24"/>
              </w:rPr>
              <w:t>万</w:t>
            </w:r>
            <w:r>
              <w:rPr>
                <w:rFonts w:hint="default" w:ascii="Times New Roman" w:hAnsi="Times New Roman" w:eastAsia="Calibri" w:cs="Times New Roman"/>
                <w:color w:val="auto"/>
                <w:sz w:val="24"/>
              </w:rPr>
              <w:t>t</w:t>
            </w:r>
            <w:r>
              <w:rPr>
                <w:rFonts w:hint="default" w:ascii="Calibri" w:hAnsi="Calibri" w:eastAsia="Calibri" w:cs="Times New Roman"/>
                <w:color w:val="auto"/>
                <w:sz w:val="24"/>
              </w:rPr>
              <w:t>（露天采矿量为</w:t>
            </w:r>
            <w:r>
              <w:rPr>
                <w:rFonts w:hint="default" w:ascii="Times New Roman" w:hAnsi="Times New Roman" w:eastAsia="Calibri" w:cs="Times New Roman"/>
                <w:color w:val="auto"/>
                <w:sz w:val="24"/>
              </w:rPr>
              <w:t>18.52</w:t>
            </w:r>
            <w:r>
              <w:rPr>
                <w:rFonts w:hint="default" w:ascii="Calibri" w:hAnsi="Calibri" w:eastAsia="Calibri" w:cs="Times New Roman"/>
                <w:color w:val="auto"/>
                <w:sz w:val="24"/>
              </w:rPr>
              <w:t>万</w:t>
            </w:r>
            <w:r>
              <w:rPr>
                <w:rFonts w:hint="default" w:ascii="Times New Roman" w:hAnsi="Times New Roman" w:eastAsia="Calibri" w:cs="Times New Roman"/>
                <w:color w:val="auto"/>
                <w:sz w:val="24"/>
              </w:rPr>
              <w:t>t</w:t>
            </w:r>
            <w:r>
              <w:rPr>
                <w:rFonts w:hint="default" w:ascii="Calibri" w:hAnsi="Calibri" w:eastAsia="Calibri" w:cs="Times New Roman"/>
                <w:color w:val="auto"/>
                <w:sz w:val="24"/>
              </w:rPr>
              <w:t>、地下采矿量为</w:t>
            </w:r>
            <w:r>
              <w:rPr>
                <w:rFonts w:hint="default" w:ascii="Times New Roman" w:hAnsi="Times New Roman" w:eastAsia="Calibri" w:cs="Times New Roman"/>
                <w:color w:val="auto"/>
                <w:sz w:val="24"/>
              </w:rPr>
              <w:t>164.87</w:t>
            </w:r>
            <w:r>
              <w:rPr>
                <w:rFonts w:hint="default" w:ascii="Calibri" w:hAnsi="Calibri" w:eastAsia="Calibri" w:cs="Times New Roman"/>
                <w:color w:val="auto"/>
                <w:sz w:val="24"/>
              </w:rPr>
              <w:t>万</w:t>
            </w:r>
            <w:r>
              <w:rPr>
                <w:rFonts w:hint="default" w:ascii="Times New Roman" w:hAnsi="Times New Roman" w:eastAsia="Calibri" w:cs="Times New Roman"/>
                <w:color w:val="auto"/>
                <w:sz w:val="24"/>
              </w:rPr>
              <w:t>t</w:t>
            </w:r>
            <w:r>
              <w:rPr>
                <w:rFonts w:hint="default" w:ascii="Calibri" w:hAnsi="Calibri" w:eastAsia="Calibri" w:cs="Times New Roman"/>
                <w:color w:val="auto"/>
                <w:sz w:val="24"/>
              </w:rPr>
              <w:t>），</w:t>
            </w:r>
            <w:r>
              <w:rPr>
                <w:rFonts w:hint="default" w:ascii="Times New Roman" w:hAnsi="Times New Roman" w:eastAsia="Calibri" w:cs="Times New Roman"/>
                <w:color w:val="auto"/>
                <w:sz w:val="24"/>
              </w:rPr>
              <w:t>Au</w:t>
            </w:r>
            <w:r>
              <w:rPr>
                <w:rFonts w:hint="default" w:ascii="Calibri" w:hAnsi="Calibri" w:eastAsia="Calibri" w:cs="Times New Roman"/>
                <w:color w:val="auto"/>
                <w:sz w:val="24"/>
              </w:rPr>
              <w:t>平均品位为</w:t>
            </w:r>
            <w:r>
              <w:rPr>
                <w:rFonts w:hint="default" w:ascii="Times New Roman" w:hAnsi="Times New Roman" w:eastAsia="Calibri" w:cs="Times New Roman"/>
                <w:color w:val="auto"/>
                <w:sz w:val="24"/>
              </w:rPr>
              <w:t>0.81g/t</w:t>
            </w:r>
            <w:r>
              <w:rPr>
                <w:rFonts w:hint="default" w:ascii="Calibri" w:hAnsi="Calibri" w:eastAsia="Calibri" w:cs="Times New Roman"/>
                <w:color w:val="auto"/>
                <w:sz w:val="24"/>
              </w:rPr>
              <w:t>，</w:t>
            </w:r>
            <w:r>
              <w:rPr>
                <w:rFonts w:hint="default" w:ascii="Times New Roman" w:hAnsi="Times New Roman" w:eastAsia="Calibri" w:cs="Times New Roman"/>
                <w:color w:val="auto"/>
                <w:sz w:val="24"/>
              </w:rPr>
              <w:t>Au</w:t>
            </w:r>
            <w:r>
              <w:rPr>
                <w:rFonts w:hint="default" w:ascii="Calibri" w:hAnsi="Calibri" w:eastAsia="Calibri" w:cs="Times New Roman"/>
                <w:color w:val="auto"/>
                <w:sz w:val="24"/>
              </w:rPr>
              <w:t>采出量为</w:t>
            </w:r>
            <w:r>
              <w:rPr>
                <w:rFonts w:hint="default" w:ascii="Times New Roman" w:hAnsi="Times New Roman" w:eastAsia="Calibri" w:cs="Times New Roman"/>
                <w:color w:val="auto"/>
                <w:sz w:val="24"/>
              </w:rPr>
              <w:t>1484.9kg</w:t>
            </w:r>
            <w:r>
              <w:rPr>
                <w:rFonts w:hint="default" w:ascii="Calibri" w:hAnsi="Calibri" w:eastAsia="Calibri" w:cs="Times New Roman"/>
                <w:color w:val="auto"/>
                <w:sz w:val="24"/>
              </w:rPr>
              <w:t>。</w:t>
            </w:r>
          </w:p>
          <w:p w14:paraId="2381688E">
            <w:pPr>
              <w:keepNext w:val="0"/>
              <w:keepLines w:val="0"/>
              <w:suppressLineNumbers w:val="0"/>
              <w:spacing w:before="0" w:beforeAutospacing="0" w:after="0" w:afterAutospacing="0" w:line="360" w:lineRule="auto"/>
              <w:ind w:left="0" w:right="0" w:firstLine="480"/>
              <w:rPr>
                <w:rFonts w:hint="default" w:ascii="Times New Roman" w:hAnsi="Times New Roman" w:eastAsia="Calibri" w:cs="Times New Roman"/>
                <w:color w:val="auto"/>
                <w:sz w:val="24"/>
              </w:rPr>
            </w:pPr>
            <w:r>
              <w:rPr>
                <w:rFonts w:hint="default" w:ascii="Calibri" w:hAnsi="Calibri" w:eastAsia="Calibri" w:cs="Times New Roman"/>
                <w:color w:val="auto"/>
                <w:sz w:val="24"/>
              </w:rPr>
              <w:t>芒市华盛金矿开发有限公司于</w:t>
            </w:r>
            <w:r>
              <w:rPr>
                <w:rFonts w:hint="default" w:ascii="Times New Roman" w:hAnsi="Times New Roman" w:eastAsia="Calibri" w:cs="Times New Roman"/>
                <w:color w:val="auto"/>
                <w:sz w:val="24"/>
              </w:rPr>
              <w:t>2013</w:t>
            </w:r>
            <w:r>
              <w:rPr>
                <w:rFonts w:hint="default" w:ascii="Calibri" w:hAnsi="Calibri" w:eastAsia="Calibri" w:cs="Times New Roman"/>
                <w:color w:val="auto"/>
                <w:sz w:val="24"/>
              </w:rPr>
              <w:t>年</w:t>
            </w:r>
            <w:r>
              <w:rPr>
                <w:rFonts w:hint="default" w:ascii="Times New Roman" w:hAnsi="Times New Roman" w:eastAsia="Calibri" w:cs="Times New Roman"/>
                <w:color w:val="auto"/>
                <w:sz w:val="24"/>
              </w:rPr>
              <w:t>9</w:t>
            </w:r>
            <w:r>
              <w:rPr>
                <w:rFonts w:hint="default" w:ascii="Calibri" w:hAnsi="Calibri" w:eastAsia="Calibri" w:cs="Times New Roman"/>
                <w:color w:val="auto"/>
                <w:sz w:val="24"/>
              </w:rPr>
              <w:t>月委托</w:t>
            </w:r>
            <w:r>
              <w:rPr>
                <w:rFonts w:hint="default" w:ascii="Calibri" w:hAnsi="Calibri" w:eastAsia="Calibri" w:cs="Times New Roman"/>
                <w:bCs/>
                <w:color w:val="auto"/>
                <w:sz w:val="24"/>
              </w:rPr>
              <w:t>云南金诚信力合矿山工程设计院有限公司</w:t>
            </w:r>
            <w:r>
              <w:rPr>
                <w:rFonts w:hint="default" w:ascii="Calibri" w:hAnsi="Calibri" w:eastAsia="Calibri" w:cs="Times New Roman"/>
                <w:color w:val="auto"/>
                <w:sz w:val="24"/>
              </w:rPr>
              <w:t>编制完成了《</w:t>
            </w:r>
            <w:bookmarkStart w:id="4" w:name="OLE_LINK1"/>
            <w:bookmarkEnd w:id="4"/>
            <w:r>
              <w:rPr>
                <w:rFonts w:hint="default" w:ascii="Calibri" w:hAnsi="Calibri" w:eastAsia="Calibri" w:cs="Times New Roman"/>
                <w:color w:val="auto"/>
                <w:sz w:val="24"/>
              </w:rPr>
              <w:t>芒市华盛金矿开发有限公司芒市华盛金矿</w:t>
            </w:r>
            <w:r>
              <w:rPr>
                <w:rFonts w:hint="default" w:ascii="Times New Roman" w:hAnsi="Times New Roman" w:eastAsia="Calibri" w:cs="Times New Roman"/>
                <w:color w:val="auto"/>
                <w:sz w:val="24"/>
              </w:rPr>
              <w:t>10</w:t>
            </w:r>
            <w:r>
              <w:rPr>
                <w:rFonts w:hint="default" w:ascii="Calibri" w:hAnsi="Calibri" w:eastAsia="Calibri" w:cs="Times New Roman"/>
                <w:color w:val="auto"/>
                <w:sz w:val="24"/>
              </w:rPr>
              <w:t>万吨</w:t>
            </w:r>
            <w:r>
              <w:rPr>
                <w:rFonts w:hint="default" w:ascii="Times New Roman" w:hAnsi="Times New Roman" w:eastAsia="Calibri" w:cs="Times New Roman"/>
                <w:color w:val="auto"/>
                <w:sz w:val="24"/>
              </w:rPr>
              <w:t>/</w:t>
            </w:r>
            <w:r>
              <w:rPr>
                <w:rFonts w:hint="default" w:ascii="Calibri" w:hAnsi="Calibri" w:eastAsia="Calibri" w:cs="Times New Roman"/>
                <w:color w:val="auto"/>
                <w:sz w:val="24"/>
              </w:rPr>
              <w:t>年采矿工程初步设计》和《芒市华盛金矿开发有限公司</w:t>
            </w:r>
            <w:r>
              <w:rPr>
                <w:rFonts w:hint="default" w:ascii="Times New Roman" w:hAnsi="Times New Roman" w:eastAsia="Calibri" w:cs="Times New Roman"/>
                <w:color w:val="auto"/>
                <w:sz w:val="24"/>
              </w:rPr>
              <w:t>10</w:t>
            </w:r>
            <w:r>
              <w:rPr>
                <w:rFonts w:hint="default" w:ascii="Calibri" w:hAnsi="Calibri" w:eastAsia="Calibri" w:cs="Times New Roman"/>
                <w:color w:val="auto"/>
                <w:sz w:val="24"/>
              </w:rPr>
              <w:t>万吨</w:t>
            </w:r>
            <w:r>
              <w:rPr>
                <w:rFonts w:hint="default" w:ascii="Times New Roman" w:hAnsi="Times New Roman" w:eastAsia="Calibri" w:cs="Times New Roman"/>
                <w:color w:val="auto"/>
                <w:sz w:val="24"/>
              </w:rPr>
              <w:t>/</w:t>
            </w:r>
            <w:r>
              <w:rPr>
                <w:rFonts w:hint="default" w:ascii="Calibri" w:hAnsi="Calibri" w:eastAsia="Calibri" w:cs="Times New Roman"/>
                <w:color w:val="auto"/>
                <w:sz w:val="24"/>
              </w:rPr>
              <w:t>年堆浸场初步设计》，同时委托昆明有色冶金设计研究院股份公司于编制完成了《芒市华盛金矿开发有限公司芒市华盛金矿年产</w:t>
            </w:r>
            <w:r>
              <w:rPr>
                <w:rFonts w:hint="default" w:ascii="Times New Roman" w:hAnsi="Times New Roman" w:eastAsia="Calibri" w:cs="Times New Roman"/>
                <w:color w:val="auto"/>
                <w:sz w:val="24"/>
              </w:rPr>
              <w:t>10</w:t>
            </w:r>
            <w:r>
              <w:rPr>
                <w:rFonts w:hint="default" w:ascii="Calibri" w:hAnsi="Calibri" w:eastAsia="Calibri" w:cs="Times New Roman"/>
                <w:color w:val="auto"/>
                <w:sz w:val="24"/>
              </w:rPr>
              <w:t>万吨金矿石采选项目水土保持方案初步设计报告书》，委托</w:t>
            </w:r>
            <w:r>
              <w:rPr>
                <w:rFonts w:hint="default" w:ascii="Calibri" w:hAnsi="Calibri" w:eastAsia="Calibri" w:cs="Times New Roman"/>
                <w:bCs/>
                <w:color w:val="auto"/>
                <w:sz w:val="24"/>
              </w:rPr>
              <w:t>西南有色昆明勘测设计（院）股份有限公司</w:t>
            </w:r>
            <w:r>
              <w:rPr>
                <w:rFonts w:hint="default" w:ascii="Calibri" w:hAnsi="Calibri" w:eastAsia="Calibri" w:cs="Times New Roman"/>
                <w:color w:val="auto"/>
                <w:sz w:val="24"/>
              </w:rPr>
              <w:t>编制完成了《芒市华盛金矿开发有限公司芒市华盛金矿矿山地质环境保护与恢复治理方案》。</w:t>
            </w:r>
          </w:p>
          <w:p w14:paraId="285AC33D">
            <w:pPr>
              <w:keepNext w:val="0"/>
              <w:keepLines w:val="0"/>
              <w:suppressLineNumbers w:val="0"/>
              <w:spacing w:before="0" w:beforeAutospacing="0" w:after="0" w:afterAutospacing="0" w:line="360" w:lineRule="auto"/>
              <w:ind w:left="0" w:right="0" w:firstLine="480"/>
              <w:rPr>
                <w:rFonts w:hint="default" w:ascii="Times New Roman" w:hAnsi="Times New Roman" w:eastAsia="Calibri" w:cs="Times New Roman"/>
                <w:color w:val="auto"/>
                <w:sz w:val="24"/>
              </w:rPr>
            </w:pPr>
            <w:r>
              <w:rPr>
                <w:rFonts w:hint="default" w:ascii="Times New Roman" w:hAnsi="Times New Roman" w:eastAsia="Calibri" w:cs="Times New Roman"/>
                <w:color w:val="auto"/>
                <w:sz w:val="24"/>
              </w:rPr>
              <w:t>2013</w:t>
            </w:r>
            <w:r>
              <w:rPr>
                <w:rFonts w:hint="default" w:ascii="Calibri" w:hAnsi="Calibri" w:eastAsia="Calibri" w:cs="Times New Roman"/>
                <w:color w:val="auto"/>
                <w:sz w:val="24"/>
              </w:rPr>
              <w:t>年芒市华盛金矿开发有限公司委托云南省地质环境监测院编制完成了《芒市华盛金矿开发有限公司芒市华盛金矿年产</w:t>
            </w:r>
            <w:r>
              <w:rPr>
                <w:rFonts w:hint="default" w:ascii="Times New Roman" w:hAnsi="Times New Roman" w:eastAsia="Calibri" w:cs="Times New Roman"/>
                <w:color w:val="auto"/>
                <w:sz w:val="24"/>
              </w:rPr>
              <w:t>10</w:t>
            </w:r>
            <w:r>
              <w:rPr>
                <w:rFonts w:hint="default" w:ascii="Calibri" w:hAnsi="Calibri" w:eastAsia="Calibri" w:cs="Times New Roman"/>
                <w:color w:val="auto"/>
                <w:sz w:val="24"/>
              </w:rPr>
              <w:t>万吨金矿石采选项目环境影响报告书》，并于</w:t>
            </w:r>
            <w:r>
              <w:rPr>
                <w:rFonts w:hint="default" w:ascii="Times New Roman" w:hAnsi="Times New Roman" w:eastAsia="Calibri" w:cs="Times New Roman"/>
                <w:color w:val="auto"/>
                <w:sz w:val="24"/>
              </w:rPr>
              <w:t>2014</w:t>
            </w:r>
            <w:r>
              <w:rPr>
                <w:rFonts w:hint="default" w:ascii="Calibri" w:hAnsi="Calibri" w:eastAsia="Calibri" w:cs="Times New Roman"/>
                <w:color w:val="auto"/>
                <w:sz w:val="24"/>
              </w:rPr>
              <w:t>年</w:t>
            </w:r>
            <w:r>
              <w:rPr>
                <w:rFonts w:hint="default" w:ascii="Times New Roman" w:hAnsi="Times New Roman" w:eastAsia="Calibri" w:cs="Times New Roman"/>
                <w:color w:val="auto"/>
                <w:sz w:val="24"/>
              </w:rPr>
              <w:t>3</w:t>
            </w:r>
            <w:r>
              <w:rPr>
                <w:rFonts w:hint="default" w:ascii="Calibri" w:hAnsi="Calibri" w:eastAsia="Calibri" w:cs="Times New Roman"/>
                <w:color w:val="auto"/>
                <w:sz w:val="24"/>
              </w:rPr>
              <w:t>月获得云南省环保厅的批复（云环审〔</w:t>
            </w:r>
            <w:r>
              <w:rPr>
                <w:rFonts w:hint="default" w:ascii="Times New Roman" w:hAnsi="Times New Roman" w:eastAsia="Calibri" w:cs="Times New Roman"/>
                <w:color w:val="auto"/>
                <w:sz w:val="24"/>
              </w:rPr>
              <w:t>2014</w:t>
            </w:r>
            <w:r>
              <w:rPr>
                <w:rFonts w:hint="default" w:ascii="Calibri" w:hAnsi="Calibri" w:eastAsia="Calibri" w:cs="Times New Roman"/>
                <w:color w:val="auto"/>
                <w:sz w:val="24"/>
              </w:rPr>
              <w:t>〕</w:t>
            </w:r>
            <w:r>
              <w:rPr>
                <w:rFonts w:hint="default" w:ascii="Times New Roman" w:hAnsi="Times New Roman" w:eastAsia="Calibri" w:cs="Times New Roman"/>
                <w:color w:val="auto"/>
                <w:sz w:val="24"/>
              </w:rPr>
              <w:t>65</w:t>
            </w:r>
            <w:r>
              <w:rPr>
                <w:rFonts w:hint="default" w:ascii="Calibri" w:hAnsi="Calibri" w:eastAsia="Calibri" w:cs="Times New Roman"/>
                <w:color w:val="auto"/>
                <w:sz w:val="24"/>
              </w:rPr>
              <w:t>号）。批复内容：</w:t>
            </w:r>
            <w:r>
              <w:rPr>
                <w:rFonts w:hint="default" w:ascii="Times New Roman" w:hAnsi="Times New Roman" w:eastAsia="Calibri" w:cs="Times New Roman"/>
                <w:color w:val="auto"/>
                <w:sz w:val="24"/>
              </w:rPr>
              <w:t>“</w:t>
            </w:r>
            <w:r>
              <w:rPr>
                <w:rFonts w:hint="default" w:ascii="Calibri" w:hAnsi="Calibri" w:eastAsia="Calibri" w:cs="Times New Roman"/>
                <w:color w:val="auto"/>
                <w:sz w:val="24"/>
              </w:rPr>
              <w:t>该项目位于德宏州芒市三台山乡勐丹村，矿区面积</w:t>
            </w:r>
            <w:r>
              <w:rPr>
                <w:rFonts w:hint="default" w:ascii="Times New Roman" w:hAnsi="Times New Roman" w:eastAsia="Calibri" w:cs="Times New Roman"/>
                <w:color w:val="auto"/>
                <w:sz w:val="24"/>
              </w:rPr>
              <w:t>0.6338km</w:t>
            </w:r>
            <w:r>
              <w:rPr>
                <w:rFonts w:hint="default" w:ascii="Times New Roman" w:hAnsi="Times New Roman" w:eastAsia="Calibri" w:cs="Times New Roman"/>
                <w:color w:val="auto"/>
                <w:sz w:val="24"/>
                <w:vertAlign w:val="superscript"/>
              </w:rPr>
              <w:t>2</w:t>
            </w:r>
            <w:r>
              <w:rPr>
                <w:rFonts w:hint="default" w:ascii="Calibri" w:hAnsi="Calibri" w:eastAsia="Calibri" w:cs="Times New Roman"/>
                <w:color w:val="auto"/>
                <w:sz w:val="24"/>
              </w:rPr>
              <w:t>，包括麦窝坝矿段和果园矿段，开采标高范围分别为</w:t>
            </w:r>
            <w:r>
              <w:rPr>
                <w:rFonts w:hint="default" w:ascii="Times New Roman" w:hAnsi="Times New Roman" w:eastAsia="Calibri" w:cs="Times New Roman"/>
                <w:color w:val="auto"/>
                <w:sz w:val="24"/>
              </w:rPr>
              <w:t>1500</w:t>
            </w:r>
            <w:r>
              <w:rPr>
                <w:rFonts w:hint="default" w:ascii="Calibri" w:hAnsi="Calibri" w:eastAsia="Calibri" w:cs="Times New Roman"/>
                <w:color w:val="auto"/>
                <w:sz w:val="24"/>
              </w:rPr>
              <w:t>～</w:t>
            </w:r>
            <w:r>
              <w:rPr>
                <w:rFonts w:hint="default" w:ascii="Times New Roman" w:hAnsi="Times New Roman" w:eastAsia="Calibri" w:cs="Times New Roman"/>
                <w:color w:val="auto"/>
                <w:sz w:val="24"/>
              </w:rPr>
              <w:t>1100m</w:t>
            </w:r>
            <w:r>
              <w:rPr>
                <w:rFonts w:hint="default" w:ascii="Calibri" w:hAnsi="Calibri" w:eastAsia="Calibri" w:cs="Times New Roman"/>
                <w:color w:val="auto"/>
                <w:sz w:val="24"/>
              </w:rPr>
              <w:t>和</w:t>
            </w:r>
            <w:r>
              <w:rPr>
                <w:rFonts w:hint="default" w:ascii="Times New Roman" w:hAnsi="Times New Roman" w:eastAsia="Calibri" w:cs="Times New Roman"/>
                <w:color w:val="auto"/>
                <w:sz w:val="24"/>
              </w:rPr>
              <w:t>1300</w:t>
            </w:r>
            <w:r>
              <w:rPr>
                <w:rFonts w:hint="default" w:ascii="Calibri" w:hAnsi="Calibri" w:eastAsia="Calibri" w:cs="Times New Roman"/>
                <w:color w:val="auto"/>
                <w:sz w:val="24"/>
              </w:rPr>
              <w:t>～</w:t>
            </w:r>
            <w:r>
              <w:rPr>
                <w:rFonts w:hint="default" w:ascii="Times New Roman" w:hAnsi="Times New Roman" w:eastAsia="Calibri" w:cs="Times New Roman"/>
                <w:color w:val="auto"/>
                <w:sz w:val="24"/>
              </w:rPr>
              <w:t>1110m</w:t>
            </w:r>
            <w:r>
              <w:rPr>
                <w:rFonts w:hint="default" w:ascii="Calibri" w:hAnsi="Calibri" w:eastAsia="Calibri" w:cs="Times New Roman"/>
                <w:color w:val="auto"/>
                <w:sz w:val="24"/>
              </w:rPr>
              <w:t>，矿山服务年限约</w:t>
            </w:r>
            <w:r>
              <w:rPr>
                <w:rFonts w:hint="default" w:ascii="Times New Roman" w:hAnsi="Times New Roman" w:eastAsia="Calibri" w:cs="Times New Roman"/>
                <w:color w:val="auto"/>
                <w:sz w:val="24"/>
              </w:rPr>
              <w:t>21</w:t>
            </w:r>
            <w:r>
              <w:rPr>
                <w:rFonts w:hint="default" w:ascii="Calibri" w:hAnsi="Calibri" w:eastAsia="Calibri" w:cs="Times New Roman"/>
                <w:color w:val="auto"/>
                <w:sz w:val="24"/>
              </w:rPr>
              <w:t>年。拟投资</w:t>
            </w:r>
            <w:r>
              <w:rPr>
                <w:rFonts w:hint="default" w:ascii="Times New Roman" w:hAnsi="Times New Roman" w:eastAsia="Calibri" w:cs="Times New Roman"/>
                <w:color w:val="auto"/>
                <w:sz w:val="24"/>
              </w:rPr>
              <w:t>4846.59</w:t>
            </w:r>
            <w:r>
              <w:rPr>
                <w:rFonts w:hint="default" w:ascii="Calibri" w:hAnsi="Calibri" w:eastAsia="Calibri" w:cs="Times New Roman"/>
                <w:color w:val="auto"/>
                <w:sz w:val="24"/>
              </w:rPr>
              <w:t>万元（其中环保投资</w:t>
            </w:r>
            <w:r>
              <w:rPr>
                <w:rFonts w:hint="default" w:ascii="Times New Roman" w:hAnsi="Times New Roman" w:eastAsia="Calibri" w:cs="Times New Roman"/>
                <w:color w:val="auto"/>
                <w:sz w:val="24"/>
              </w:rPr>
              <w:t>249</w:t>
            </w:r>
            <w:r>
              <w:rPr>
                <w:rFonts w:hint="default" w:ascii="Calibri" w:hAnsi="Calibri" w:eastAsia="Calibri" w:cs="Times New Roman"/>
                <w:color w:val="auto"/>
                <w:sz w:val="24"/>
              </w:rPr>
              <w:t>万元），充分依托现有露天采场和堆浸场（</w:t>
            </w:r>
            <w:r>
              <w:rPr>
                <w:rFonts w:hint="default" w:ascii="Times New Roman" w:hAnsi="Times New Roman" w:eastAsia="Calibri" w:cs="Times New Roman"/>
                <w:color w:val="auto"/>
                <w:sz w:val="24"/>
              </w:rPr>
              <w:t>4</w:t>
            </w:r>
            <w:r>
              <w:rPr>
                <w:rFonts w:hint="default" w:ascii="Calibri" w:hAnsi="Calibri" w:eastAsia="Calibri" w:cs="Times New Roman"/>
                <w:color w:val="auto"/>
                <w:sz w:val="24"/>
              </w:rPr>
              <w:t>个）等设施，建设地下采场、排土场、堆浸场（</w:t>
            </w:r>
            <w:r>
              <w:rPr>
                <w:rFonts w:hint="default" w:ascii="Times New Roman" w:hAnsi="Times New Roman" w:eastAsia="Calibri" w:cs="Times New Roman"/>
                <w:color w:val="auto"/>
                <w:sz w:val="24"/>
              </w:rPr>
              <w:t>1</w:t>
            </w:r>
            <w:r>
              <w:rPr>
                <w:rFonts w:hint="default" w:ascii="Calibri" w:hAnsi="Calibri" w:eastAsia="Calibri" w:cs="Times New Roman"/>
                <w:color w:val="auto"/>
                <w:sz w:val="24"/>
              </w:rPr>
              <w:t>个）、运输道路、生活设施及其他相应公辅设施，针对麦窝坝矿段Ⅶ矿体进行设计开采（先露天开采</w:t>
            </w:r>
            <w:r>
              <w:rPr>
                <w:rFonts w:hint="default" w:ascii="Times New Roman" w:hAnsi="Times New Roman" w:eastAsia="Calibri" w:cs="Times New Roman"/>
                <w:color w:val="auto"/>
                <w:sz w:val="24"/>
              </w:rPr>
              <w:t>2</w:t>
            </w:r>
            <w:r>
              <w:rPr>
                <w:rFonts w:hint="default" w:ascii="Calibri" w:hAnsi="Calibri" w:eastAsia="Calibri" w:cs="Times New Roman"/>
                <w:color w:val="auto"/>
                <w:sz w:val="24"/>
              </w:rPr>
              <w:t>年，再地下开采</w:t>
            </w:r>
            <w:r>
              <w:rPr>
                <w:rFonts w:hint="default" w:ascii="Times New Roman" w:hAnsi="Times New Roman" w:eastAsia="Calibri" w:cs="Times New Roman"/>
                <w:color w:val="auto"/>
                <w:sz w:val="24"/>
              </w:rPr>
              <w:t>19</w:t>
            </w:r>
            <w:r>
              <w:rPr>
                <w:rFonts w:hint="default" w:ascii="Calibri" w:hAnsi="Calibri" w:eastAsia="Calibri" w:cs="Times New Roman"/>
                <w:color w:val="auto"/>
                <w:sz w:val="24"/>
              </w:rPr>
              <w:t>年）和堆浸，形成年采选金矿</w:t>
            </w:r>
            <w:r>
              <w:rPr>
                <w:rFonts w:hint="default" w:ascii="Times New Roman" w:hAnsi="Times New Roman" w:eastAsia="Calibri" w:cs="Times New Roman"/>
                <w:color w:val="auto"/>
                <w:sz w:val="24"/>
              </w:rPr>
              <w:t>10</w:t>
            </w:r>
            <w:r>
              <w:rPr>
                <w:rFonts w:hint="default" w:ascii="Calibri" w:hAnsi="Calibri" w:eastAsia="Calibri" w:cs="Times New Roman"/>
                <w:color w:val="auto"/>
                <w:sz w:val="24"/>
              </w:rPr>
              <w:t>万吨（</w:t>
            </w:r>
            <w:r>
              <w:rPr>
                <w:rFonts w:hint="default" w:ascii="Times New Roman" w:hAnsi="Times New Roman" w:eastAsia="Calibri" w:cs="Times New Roman"/>
                <w:color w:val="auto"/>
                <w:sz w:val="24"/>
              </w:rPr>
              <w:t>333</w:t>
            </w:r>
            <w:r>
              <w:rPr>
                <w:rFonts w:hint="default" w:ascii="Calibri" w:hAnsi="Calibri" w:eastAsia="Calibri" w:cs="Times New Roman"/>
                <w:color w:val="auto"/>
                <w:sz w:val="24"/>
              </w:rPr>
              <w:t>吨</w:t>
            </w:r>
            <w:r>
              <w:rPr>
                <w:rFonts w:hint="default" w:ascii="Times New Roman" w:hAnsi="Times New Roman" w:eastAsia="Calibri" w:cs="Times New Roman"/>
                <w:color w:val="auto"/>
                <w:sz w:val="24"/>
              </w:rPr>
              <w:t>/</w:t>
            </w:r>
            <w:r>
              <w:rPr>
                <w:rFonts w:hint="default" w:ascii="Calibri" w:hAnsi="Calibri" w:eastAsia="Calibri" w:cs="Times New Roman"/>
                <w:color w:val="auto"/>
                <w:sz w:val="24"/>
              </w:rPr>
              <w:t>日）的生产能力，最终产品为载金碳。</w:t>
            </w:r>
            <w:r>
              <w:rPr>
                <w:rFonts w:hint="default" w:ascii="Times New Roman" w:hAnsi="Times New Roman" w:eastAsia="Calibri" w:cs="Times New Roman"/>
                <w:color w:val="auto"/>
                <w:sz w:val="24"/>
              </w:rPr>
              <w:t>”</w:t>
            </w:r>
            <w:r>
              <w:rPr>
                <w:rFonts w:hint="default" w:ascii="Calibri" w:hAnsi="Calibri" w:eastAsia="Calibri" w:cs="Times New Roman"/>
                <w:color w:val="auto"/>
                <w:sz w:val="24"/>
              </w:rPr>
              <w:t>项目实际已建设内容包括露天采场、堆浸场、排土场、运输道路、办公生活设施和其它公辅设施。</w:t>
            </w:r>
          </w:p>
          <w:p w14:paraId="0A4FA3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黑体" w:cs="Times New Roman"/>
                <w:color w:val="auto"/>
                <w:sz w:val="24"/>
                <w:highlight w:val="none"/>
                <w:lang w:val="en-US" w:eastAsia="zh-CN"/>
              </w:rPr>
            </w:pPr>
            <w:r>
              <w:rPr>
                <w:rFonts w:hint="default" w:ascii="Times New Roman" w:hAnsi="Times New Roman" w:eastAsia="Calibri" w:cs="Times New Roman"/>
                <w:color w:val="auto"/>
                <w:sz w:val="24"/>
              </w:rPr>
              <w:t>2015</w:t>
            </w:r>
            <w:r>
              <w:rPr>
                <w:rFonts w:hint="default" w:ascii="Calibri" w:hAnsi="Calibri" w:eastAsia="Calibri" w:cs="Times New Roman"/>
                <w:color w:val="auto"/>
                <w:sz w:val="24"/>
              </w:rPr>
              <w:t>年</w:t>
            </w:r>
            <w:r>
              <w:rPr>
                <w:rFonts w:hint="default" w:ascii="Times New Roman" w:hAnsi="Times New Roman" w:eastAsia="Calibri" w:cs="Times New Roman"/>
                <w:color w:val="auto"/>
                <w:sz w:val="24"/>
              </w:rPr>
              <w:t>6</w:t>
            </w:r>
            <w:r>
              <w:rPr>
                <w:rFonts w:hint="default" w:ascii="Calibri" w:hAnsi="Calibri" w:eastAsia="Calibri" w:cs="Times New Roman"/>
                <w:color w:val="auto"/>
                <w:sz w:val="24"/>
              </w:rPr>
              <w:t>月</w:t>
            </w:r>
            <w:r>
              <w:rPr>
                <w:rFonts w:hint="default" w:ascii="Times New Roman" w:hAnsi="Times New Roman" w:eastAsia="Calibri" w:cs="Times New Roman"/>
                <w:color w:val="auto"/>
                <w:sz w:val="24"/>
              </w:rPr>
              <w:t>1</w:t>
            </w:r>
            <w:r>
              <w:rPr>
                <w:rFonts w:hint="default" w:ascii="Calibri" w:hAnsi="Calibri" w:eastAsia="Calibri" w:cs="Times New Roman"/>
                <w:color w:val="auto"/>
                <w:sz w:val="24"/>
              </w:rPr>
              <w:t>日，德宏州环境保护局以《德宏州环境保护局关于同意芒市华盛金矿开发有限公司芒市华盛金矿年产</w:t>
            </w:r>
            <w:r>
              <w:rPr>
                <w:rFonts w:hint="default" w:ascii="Times New Roman" w:hAnsi="Times New Roman" w:eastAsia="Calibri" w:cs="Times New Roman"/>
                <w:color w:val="auto"/>
                <w:sz w:val="24"/>
              </w:rPr>
              <w:t>10</w:t>
            </w:r>
            <w:r>
              <w:rPr>
                <w:rFonts w:hint="default" w:ascii="Calibri" w:hAnsi="Calibri" w:eastAsia="Calibri" w:cs="Times New Roman"/>
                <w:color w:val="auto"/>
                <w:sz w:val="24"/>
              </w:rPr>
              <w:t>万吨金矿石采选项目进行试生产的批复》（德环发〔</w:t>
            </w:r>
            <w:r>
              <w:rPr>
                <w:rFonts w:hint="default" w:ascii="Times New Roman" w:hAnsi="Times New Roman" w:eastAsia="Calibri" w:cs="Times New Roman"/>
                <w:color w:val="auto"/>
                <w:sz w:val="24"/>
              </w:rPr>
              <w:t>2015</w:t>
            </w:r>
            <w:r>
              <w:rPr>
                <w:rFonts w:hint="default" w:ascii="Calibri" w:hAnsi="Calibri" w:eastAsia="Calibri" w:cs="Times New Roman"/>
                <w:color w:val="auto"/>
                <w:sz w:val="24"/>
              </w:rPr>
              <w:t>〕</w:t>
            </w:r>
            <w:r>
              <w:rPr>
                <w:rFonts w:hint="default" w:ascii="Times New Roman" w:hAnsi="Times New Roman" w:eastAsia="Calibri" w:cs="Times New Roman"/>
                <w:color w:val="auto"/>
                <w:sz w:val="24"/>
              </w:rPr>
              <w:t>106</w:t>
            </w:r>
            <w:r>
              <w:rPr>
                <w:rFonts w:hint="default" w:ascii="Calibri" w:hAnsi="Calibri" w:eastAsia="Calibri" w:cs="Times New Roman"/>
                <w:color w:val="auto"/>
                <w:sz w:val="24"/>
              </w:rPr>
              <w:t>号）同意该项目投入试生产，但在规定时限内未完成相关工作，</w:t>
            </w:r>
            <w:r>
              <w:rPr>
                <w:rFonts w:hint="default" w:ascii="Times New Roman" w:hAnsi="Times New Roman" w:eastAsia="Calibri" w:cs="Times New Roman"/>
                <w:color w:val="auto"/>
                <w:sz w:val="24"/>
              </w:rPr>
              <w:t>2015</w:t>
            </w:r>
            <w:r>
              <w:rPr>
                <w:rFonts w:hint="default" w:ascii="Calibri" w:hAnsi="Calibri" w:eastAsia="Calibri" w:cs="Times New Roman"/>
                <w:color w:val="auto"/>
                <w:sz w:val="24"/>
              </w:rPr>
              <w:t>年</w:t>
            </w:r>
            <w:r>
              <w:rPr>
                <w:rFonts w:hint="default" w:ascii="Times New Roman" w:hAnsi="Times New Roman" w:eastAsia="Calibri" w:cs="Times New Roman"/>
                <w:color w:val="auto"/>
                <w:sz w:val="24"/>
              </w:rPr>
              <w:t>11</w:t>
            </w:r>
            <w:r>
              <w:rPr>
                <w:rFonts w:hint="default" w:ascii="Calibri" w:hAnsi="Calibri" w:eastAsia="Calibri" w:cs="Times New Roman"/>
                <w:color w:val="auto"/>
                <w:sz w:val="24"/>
              </w:rPr>
              <w:t>月</w:t>
            </w:r>
            <w:r>
              <w:rPr>
                <w:rFonts w:hint="default" w:ascii="Times New Roman" w:hAnsi="Times New Roman" w:eastAsia="Calibri" w:cs="Times New Roman"/>
                <w:color w:val="auto"/>
                <w:sz w:val="24"/>
              </w:rPr>
              <w:t>12</w:t>
            </w:r>
            <w:r>
              <w:rPr>
                <w:rFonts w:hint="default" w:ascii="Calibri" w:hAnsi="Calibri" w:eastAsia="Calibri" w:cs="Times New Roman"/>
                <w:color w:val="auto"/>
                <w:sz w:val="24"/>
              </w:rPr>
              <w:t>日，德宏州环境保护局以《德宏州环境保护局关于同意芒市华盛金矿开发有限公司芒市华盛金矿年产</w:t>
            </w:r>
            <w:r>
              <w:rPr>
                <w:rFonts w:hint="default" w:ascii="Times New Roman" w:hAnsi="Times New Roman" w:eastAsia="Calibri" w:cs="Times New Roman"/>
                <w:color w:val="auto"/>
                <w:sz w:val="24"/>
              </w:rPr>
              <w:t>10</w:t>
            </w:r>
            <w:r>
              <w:rPr>
                <w:rFonts w:hint="default" w:ascii="Calibri" w:hAnsi="Calibri" w:eastAsia="Calibri" w:cs="Times New Roman"/>
                <w:color w:val="auto"/>
                <w:sz w:val="24"/>
              </w:rPr>
              <w:t>万吨金矿石采选项目延长试生产的批复》（德环函〔</w:t>
            </w:r>
            <w:r>
              <w:rPr>
                <w:rFonts w:hint="default" w:ascii="Times New Roman" w:hAnsi="Times New Roman" w:eastAsia="Calibri" w:cs="Times New Roman"/>
                <w:color w:val="auto"/>
                <w:sz w:val="24"/>
              </w:rPr>
              <w:t>2015</w:t>
            </w:r>
            <w:r>
              <w:rPr>
                <w:rFonts w:hint="default" w:ascii="Calibri" w:hAnsi="Calibri" w:eastAsia="Calibri" w:cs="Times New Roman"/>
                <w:color w:val="auto"/>
                <w:sz w:val="24"/>
              </w:rPr>
              <w:t>〕</w:t>
            </w:r>
            <w:r>
              <w:rPr>
                <w:rFonts w:hint="default" w:ascii="Times New Roman" w:hAnsi="Times New Roman" w:eastAsia="Calibri" w:cs="Times New Roman"/>
                <w:color w:val="auto"/>
                <w:sz w:val="24"/>
              </w:rPr>
              <w:t>205</w:t>
            </w:r>
            <w:r>
              <w:rPr>
                <w:rFonts w:hint="default" w:ascii="Calibri" w:hAnsi="Calibri" w:eastAsia="Calibri" w:cs="Times New Roman"/>
                <w:color w:val="auto"/>
                <w:sz w:val="24"/>
              </w:rPr>
              <w:t>号）同意试生产延期九个月，至</w:t>
            </w:r>
            <w:r>
              <w:rPr>
                <w:rFonts w:hint="default" w:ascii="Times New Roman" w:hAnsi="Times New Roman" w:eastAsia="Calibri" w:cs="Times New Roman"/>
                <w:color w:val="auto"/>
                <w:sz w:val="24"/>
              </w:rPr>
              <w:t>2016年6月2日止。项目各主要设备运转正常，各项环保设施与主体工程同步建成，露天开采已结束，地下开采部分未开采</w:t>
            </w:r>
            <w:r>
              <w:rPr>
                <w:rFonts w:hint="eastAsia" w:ascii="Times New Roman" w:hAnsi="Times New Roman" w:eastAsia="Calibri" w:cs="Times New Roman"/>
                <w:color w:val="auto"/>
                <w:sz w:val="24"/>
                <w:lang w:val="en-US" w:eastAsia="zh-CN"/>
              </w:rPr>
              <w:t>项目。于2016年11月委托</w:t>
            </w:r>
            <w:r>
              <w:rPr>
                <w:rFonts w:hint="default" w:ascii="Times New Roman" w:hAnsi="Times New Roman" w:eastAsia="Calibri" w:cs="Times New Roman"/>
                <w:color w:val="auto"/>
                <w:sz w:val="24"/>
              </w:rPr>
              <w:t>云南省环境工程评估中心</w:t>
            </w:r>
            <w:r>
              <w:rPr>
                <w:rFonts w:hint="eastAsia" w:ascii="Times New Roman" w:hAnsi="Times New Roman" w:eastAsia="Calibri" w:cs="Times New Roman"/>
                <w:color w:val="auto"/>
                <w:sz w:val="24"/>
                <w:lang w:val="en-US" w:eastAsia="zh-CN"/>
              </w:rPr>
              <w:t>编制完成了《</w:t>
            </w:r>
            <w:r>
              <w:rPr>
                <w:rFonts w:hint="default" w:ascii="Times New Roman" w:hAnsi="Times New Roman" w:eastAsia="Calibri" w:cs="Times New Roman"/>
                <w:color w:val="auto"/>
                <w:sz w:val="24"/>
              </w:rPr>
              <w:t>芒市华盛金矿开发有限公司芒市华盛金矿</w:t>
            </w:r>
            <w:r>
              <w:rPr>
                <w:rFonts w:hint="eastAsia" w:ascii="Times New Roman" w:hAnsi="Times New Roman" w:eastAsia="Calibri" w:cs="Times New Roman"/>
                <w:color w:val="auto"/>
                <w:sz w:val="24"/>
                <w:lang w:val="en-US" w:eastAsia="zh-CN"/>
              </w:rPr>
              <w:t>建设项目</w:t>
            </w:r>
            <w:r>
              <w:rPr>
                <w:rFonts w:hint="default" w:ascii="Times New Roman" w:hAnsi="Times New Roman" w:eastAsia="Calibri" w:cs="Times New Roman"/>
                <w:color w:val="auto"/>
                <w:sz w:val="24"/>
              </w:rPr>
              <w:t>竣工环境保护验收调查报告</w:t>
            </w:r>
            <w:r>
              <w:rPr>
                <w:rFonts w:hint="eastAsia" w:ascii="Times New Roman" w:hAnsi="Times New Roman" w:eastAsia="Calibri" w:cs="Times New Roman"/>
                <w:color w:val="auto"/>
                <w:sz w:val="24"/>
                <w:lang w:val="en-US" w:eastAsia="zh-CN"/>
              </w:rPr>
              <w:t>》，并通过环保竣工验收。</w:t>
            </w:r>
          </w:p>
          <w:p w14:paraId="14376390">
            <w:pPr>
              <w:keepNext w:val="0"/>
              <w:keepLines w:val="0"/>
              <w:numPr>
                <w:ilvl w:val="0"/>
                <w:numId w:val="0"/>
              </w:numPr>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3、矿区以往地质工程</w:t>
            </w:r>
          </w:p>
          <w:p w14:paraId="6667E495">
            <w:pPr>
              <w:pStyle w:val="113"/>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根据建设单位提供的工程资料，华盛金矿的以往地质工程情况如下：</w:t>
            </w:r>
          </w:p>
          <w:p w14:paraId="42B45E7D">
            <w:pPr>
              <w:pStyle w:val="113"/>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1、上世纪七十年代云南省地矿局第一区测大队填制了1：20万地质图、矿产图，为该区从事地质、矿产和其它工作奠定了坚实的基础。</w:t>
            </w:r>
          </w:p>
          <w:p w14:paraId="56BABBAA">
            <w:pPr>
              <w:pStyle w:val="113"/>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1988年核工业地质调查队在开展“高黎贡山南段综合区调”项目时发现了上芒岗金矿及沿上芒岗断裂断续分布长约12km的金矿化带。经勘查，先落实了广令坡段金矿床的工业意义，后经当时的主管局核工业西南地勘局决定，将该带的北段，包括麦窝坝、果园、木令坝划给209队勘查。</w:t>
            </w:r>
          </w:p>
          <w:p w14:paraId="65C28F1E">
            <w:pPr>
              <w:pStyle w:val="113"/>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3、1994年中国核工业西南地质局二0九大队与加拿大通矿务资源公司合作成立“云南宏通地质勘查有限公司”，于1994年12月在云南省潞西县勐戛地区100km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范围内开展多金属矿产风险勘查，并在果园矿段开展详查工作。1995年10月提交“云南省潞西县上芒岗金矿果园矿段详查地质报告”。探获金C+D级矿石量321553t，金金属量545kg，平均品位1.68g/t，平均厚度9.32m。该报告由核工业西南地质局于1995年11月23日审查批准（局地发[1995]166号《云南省潞西县上芒岗金矿果园矿段详查地质报告》审批决议）。并上报省地矿厅，由云南省储委以云储决字[1996]07号审查批准，审批通过的储量为：C+D级矿石量301276t；金属量507kg；平均品位1.683g/t。其中C级矿石量33336t;金属量55Kg；平均品位1.65g/t。D级矿石量267940t；金属量452kg；平均品位1.687g/t。报告提交量略多于批准量的原因，主要是详查圈定的C级块段不尽合理。</w:t>
            </w:r>
          </w:p>
          <w:p w14:paraId="52E4A0E1">
            <w:pPr>
              <w:pStyle w:val="113"/>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该部分资源储量经“核工业二0九芒市金矿”多年开采，</w:t>
            </w:r>
            <w:r>
              <w:rPr>
                <w:rFonts w:hint="eastAsia" w:ascii="Times New Roman" w:hAnsi="Times New Roman" w:eastAsia="宋体" w:cs="Times New Roman"/>
                <w:color w:val="auto"/>
                <w:lang w:eastAsia="zh-CN"/>
              </w:rPr>
              <w:t>截至</w:t>
            </w:r>
            <w:r>
              <w:rPr>
                <w:rFonts w:hint="default" w:ascii="Times New Roman" w:hAnsi="Times New Roman" w:eastAsia="宋体" w:cs="Times New Roman"/>
                <w:color w:val="auto"/>
              </w:rPr>
              <w:t>2009年资源储量核实，果园矿段保有111b+122b+333类矿石量7.37万吨，金金属量97Kg，平均品位1.32g/t。</w:t>
            </w:r>
          </w:p>
          <w:p w14:paraId="5CE0118D">
            <w:pPr>
              <w:pStyle w:val="113"/>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1998年核工业209队在边探边采中先后落实了麦窝坝、果园两段的工业价值，于1999年申办采矿许可证，成立了核工业二0九队芒市金矿，依法开采两个矿段的金矿。</w:t>
            </w:r>
          </w:p>
          <w:p w14:paraId="2234B764">
            <w:pPr>
              <w:pStyle w:val="114"/>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1999年12月，芒市金矿请退休高工杨云估算了麦窝坝矿段的金矿Ⅰ～Ⅴ号矿体的探明资源储量C+D级1620kg，矿石量491473t，平均品位4.15g/t。E级1kg，表外36kg，消耗储量C+D99kg，表外3kg，保有储量C+D628kg，表外31kg，E级10kg。</w:t>
            </w:r>
          </w:p>
          <w:p w14:paraId="1668C4C7">
            <w:pPr>
              <w:pStyle w:val="114"/>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此次储量估算因各种原因，仅使用187个工程的成果，就停止了工作，无报告，更无审批资料。</w:t>
            </w:r>
          </w:p>
          <w:p w14:paraId="575EF61D">
            <w:pPr>
              <w:pStyle w:val="114"/>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4、2000年10月</w:t>
            </w:r>
            <w:bookmarkStart w:id="5" w:name="_Hlk93587402"/>
            <w:r>
              <w:rPr>
                <w:rFonts w:hint="default" w:ascii="Times New Roman" w:hAnsi="Times New Roman" w:eastAsia="宋体" w:cs="Times New Roman"/>
                <w:color w:val="auto"/>
              </w:rPr>
              <w:t>中国科学院地球化学研究所、核工业地质调查队和云南省黄金公司</w:t>
            </w:r>
            <w:bookmarkEnd w:id="5"/>
            <w:r>
              <w:rPr>
                <w:rFonts w:hint="default" w:ascii="Times New Roman" w:hAnsi="Times New Roman" w:eastAsia="宋体" w:cs="Times New Roman"/>
                <w:color w:val="auto"/>
              </w:rPr>
              <w:t>共同完成“云南潞西上芒岗金矿及外围成矿预测和找矿研究”的科研报告，工作区包括麦窝坝、果园区在内，对该区的成矿条件、矿化类型、找矿方向提出许多新的观点。</w:t>
            </w:r>
          </w:p>
          <w:p w14:paraId="017D4B75">
            <w:pPr>
              <w:pStyle w:val="113"/>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5、2009年，芒市金矿委托二0九大队再次进行资源储量核实，专题组在收集完区域背景资料后，于同年4月赴矿山收集勘查原始资料，各次储量计算的资料（图纸、各种表格等），现场核实了勘查工程、矿化特征、采空区位置、堆场、冶炼流程等。按国土资源部颁发的国土资发《固体矿产资源储量核实报告编写规定》及编写提纲，提交了《云南省潞西市芒市金矿资源储量核实报告》。经资源储量核实，按新确定的工业指标，芒市金矿两矿段保有111b+122b+333类工业矿矿石量24.87万t，金属量333kg；低品位矿333类矿石量3.18万t、金属量19kg。并申请注销矿界范围内资源储量111b+122b+333矿石量746825t，品位2.88g/t，金属量2153kg。</w:t>
            </w:r>
          </w:p>
          <w:p w14:paraId="4FBFD9E4">
            <w:pPr>
              <w:pStyle w:val="113"/>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该报告经云南省国土资源厅评审，评审意见书为：云国土资矿评储字［2009］149号。备案文件为：云国土资储备字［2009］176号。</w:t>
            </w:r>
          </w:p>
          <w:p w14:paraId="72E3A6E3">
            <w:pPr>
              <w:pStyle w:val="113"/>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6、上芒岗金成矿带其它矿段属芒市海华矿业有限公司所有，其中广令矿段达勘探程度，1993年云南核工业地质调查队编制了《云南省潞西县上芒岗金矿广令坡矿段勘探报告》；勐莫—洒水坡矿段达勘探程度，2004年云南核工业地质调查队编制了《云南省潞西市上芒岗金矿勐莫—洒水坡矿段勘探报告》；羊石山矿段达详查程度，1995年云南路通地质勘查有限公司提交了《云南省潞西县上芒岗金矿羊石山矿段详查地质报告》。</w:t>
            </w:r>
          </w:p>
          <w:p w14:paraId="01673B62">
            <w:pPr>
              <w:pStyle w:val="115"/>
              <w:keepNext w:val="0"/>
              <w:keepLines w:val="0"/>
              <w:suppressLineNumbers w:val="0"/>
              <w:spacing w:before="0" w:beforeAutospacing="0" w:after="0" w:afterAutospacing="0" w:line="500" w:lineRule="exact"/>
              <w:ind w:left="0" w:right="0" w:firstLine="480" w:firstLineChars="200"/>
              <w:jc w:val="both"/>
              <w:rPr>
                <w:rFonts w:ascii="Times New Roman" w:hAnsi="Times New Roman" w:eastAsia="宋体"/>
                <w:color w:val="auto"/>
              </w:rPr>
            </w:pPr>
            <w:bookmarkStart w:id="6" w:name="_Hlk93589922"/>
            <w:r>
              <w:rPr>
                <w:rFonts w:ascii="Times New Roman" w:hAnsi="Times New Roman" w:eastAsia="宋体"/>
                <w:color w:val="auto"/>
              </w:rPr>
              <w:t>7、2013年3月，四川省核工业地质局二八一大队受华盛金矿委托对芒市金矿资源储量进行核实，并提交了《云南省德宏州芒市金矿资源储量核实报告》。经云国土资储备字〔2013〕124号文登记备案。本次工作是以野外实测和室内综合整理相结合，野外工作时间2012年7月至2012年10月28日，后转入室内，2013年3月提交报告。</w:t>
            </w:r>
          </w:p>
          <w:p w14:paraId="150C63C7">
            <w:pPr>
              <w:pStyle w:val="115"/>
              <w:keepNext w:val="0"/>
              <w:keepLines w:val="0"/>
              <w:suppressLineNumbers w:val="0"/>
              <w:spacing w:before="0" w:beforeAutospacing="0" w:after="0" w:afterAutospacing="0" w:line="500" w:lineRule="exact"/>
              <w:ind w:left="0" w:right="0" w:firstLine="482" w:firstLineChars="200"/>
              <w:jc w:val="both"/>
              <w:rPr>
                <w:rFonts w:hint="eastAsia" w:ascii="Times New Roman" w:hAnsi="Times New Roman" w:eastAsia="宋体"/>
                <w:color w:val="auto"/>
                <w:lang w:eastAsia="zh-CN"/>
              </w:rPr>
            </w:pPr>
            <w:r>
              <w:rPr>
                <w:rFonts w:ascii="Times New Roman" w:hAnsi="Times New Roman" w:eastAsia="宋体"/>
                <w:b/>
                <w:bCs/>
                <w:color w:val="auto"/>
              </w:rPr>
              <w:t>完成主要工作量</w:t>
            </w:r>
            <w:r>
              <w:rPr>
                <w:rFonts w:ascii="Times New Roman" w:hAnsi="Times New Roman" w:eastAsia="宋体"/>
                <w:color w:val="auto"/>
              </w:rPr>
              <w:t>：1</w:t>
            </w:r>
            <w:r>
              <w:rPr>
                <w:rFonts w:hint="eastAsia" w:ascii="宋体" w:hAnsi="宋体" w:eastAsia="宋体" w:cs="宋体"/>
                <w:color w:val="auto"/>
              </w:rPr>
              <w:t>∶</w:t>
            </w:r>
            <w:r>
              <w:rPr>
                <w:rFonts w:ascii="Times New Roman" w:hAnsi="Times New Roman" w:eastAsia="宋体"/>
                <w:color w:val="auto"/>
              </w:rPr>
              <w:t>2000地形测量2.55km</w:t>
            </w:r>
            <w:r>
              <w:rPr>
                <w:rFonts w:ascii="Times New Roman" w:hAnsi="Times New Roman" w:eastAsia="宋体"/>
                <w:color w:val="auto"/>
                <w:vertAlign w:val="superscript"/>
              </w:rPr>
              <w:t>2</w:t>
            </w:r>
            <w:r>
              <w:rPr>
                <w:rFonts w:ascii="Times New Roman" w:hAnsi="Times New Roman" w:eastAsia="宋体"/>
                <w:color w:val="auto"/>
              </w:rPr>
              <w:t>，1:2000地质测量2.00km</w:t>
            </w:r>
            <w:r>
              <w:rPr>
                <w:rFonts w:ascii="Times New Roman" w:hAnsi="Times New Roman" w:eastAsia="宋体"/>
                <w:color w:val="auto"/>
                <w:vertAlign w:val="superscript"/>
              </w:rPr>
              <w:t>2</w:t>
            </w:r>
            <w:r>
              <w:rPr>
                <w:rFonts w:ascii="Times New Roman" w:hAnsi="Times New Roman" w:eastAsia="宋体"/>
                <w:color w:val="auto"/>
              </w:rPr>
              <w:t>，1</w:t>
            </w:r>
            <w:r>
              <w:rPr>
                <w:rFonts w:hint="eastAsia" w:ascii="宋体" w:hAnsi="宋体" w:eastAsia="宋体" w:cs="宋体"/>
                <w:color w:val="auto"/>
              </w:rPr>
              <w:t>∶</w:t>
            </w:r>
            <w:r>
              <w:rPr>
                <w:rFonts w:ascii="Times New Roman" w:hAnsi="Times New Roman" w:eastAsia="宋体"/>
                <w:color w:val="auto"/>
              </w:rPr>
              <w:t>1000勘探线剖面测量6.31km，钻探7581.01m/36孔，1</w:t>
            </w:r>
            <w:r>
              <w:rPr>
                <w:rFonts w:hint="eastAsia" w:ascii="宋体" w:hAnsi="宋体" w:eastAsia="宋体" w:cs="宋体"/>
                <w:color w:val="auto"/>
              </w:rPr>
              <w:t>∶</w:t>
            </w:r>
            <w:r>
              <w:rPr>
                <w:rFonts w:ascii="Times New Roman" w:hAnsi="Times New Roman" w:eastAsia="宋体"/>
                <w:color w:val="auto"/>
              </w:rPr>
              <w:t>2000水工环地质调查0.50km</w:t>
            </w:r>
            <w:r>
              <w:rPr>
                <w:rFonts w:ascii="Times New Roman" w:hAnsi="Times New Roman" w:eastAsia="宋体"/>
                <w:color w:val="auto"/>
                <w:vertAlign w:val="superscript"/>
              </w:rPr>
              <w:t>2</w:t>
            </w:r>
            <w:r>
              <w:rPr>
                <w:rFonts w:ascii="Times New Roman" w:hAnsi="Times New Roman" w:eastAsia="宋体"/>
                <w:color w:val="auto"/>
              </w:rPr>
              <w:t>，Au基本分析1238件，小体重样42件，水文工程地质编录3孔，溪沟水测量3处</w:t>
            </w:r>
            <w:r>
              <w:rPr>
                <w:rFonts w:hint="eastAsia" w:ascii="Times New Roman" w:hAnsi="Times New Roman" w:eastAsia="宋体"/>
                <w:color w:val="auto"/>
                <w:lang w:eastAsia="zh-CN"/>
              </w:rPr>
              <w:t>。</w:t>
            </w:r>
          </w:p>
          <w:p w14:paraId="509EEFA9">
            <w:pPr>
              <w:pStyle w:val="73"/>
              <w:keepNext w:val="0"/>
              <w:keepLines w:val="0"/>
              <w:suppressLineNumbers w:val="0"/>
              <w:spacing w:before="0" w:beforeAutospacing="0" w:after="0" w:afterAutospacing="0" w:line="500" w:lineRule="exact"/>
              <w:ind w:left="0" w:right="0" w:firstLine="482" w:firstLineChars="200"/>
              <w:jc w:val="both"/>
              <w:rPr>
                <w:rFonts w:ascii="Times New Roman" w:hAnsi="Times New Roman" w:eastAsia="宋体" w:cs="Times New Roman"/>
                <w:color w:val="auto"/>
              </w:rPr>
            </w:pPr>
            <w:r>
              <w:rPr>
                <w:rFonts w:ascii="Times New Roman" w:hAnsi="Times New Roman" w:eastAsia="宋体" w:cs="Times New Roman"/>
                <w:b/>
                <w:bCs/>
                <w:color w:val="auto"/>
              </w:rPr>
              <w:t>主要成果</w:t>
            </w:r>
            <w:bookmarkStart w:id="7" w:name="_Hlk95726401"/>
            <w:r>
              <w:rPr>
                <w:rFonts w:hint="eastAsia" w:ascii="Times New Roman" w:hAnsi="Times New Roman" w:eastAsia="宋体" w:cs="Times New Roman"/>
                <w:b/>
                <w:bCs/>
                <w:color w:val="auto"/>
                <w:lang w:eastAsia="zh-CN"/>
              </w:rPr>
              <w:t>：</w:t>
            </w:r>
            <w:r>
              <w:rPr>
                <w:rFonts w:ascii="Times New Roman" w:hAnsi="Times New Roman" w:eastAsia="宋体" w:cs="Times New Roman"/>
                <w:color w:val="auto"/>
              </w:rPr>
              <w:t>该报告经云南省国土资源厅评审，评审意见书为：云国土资矿评储字［20</w:t>
            </w:r>
            <w:r>
              <w:rPr>
                <w:rFonts w:hint="eastAsia" w:ascii="Times New Roman" w:hAnsi="Times New Roman" w:eastAsia="宋体" w:cs="Times New Roman"/>
                <w:color w:val="auto"/>
              </w:rPr>
              <w:t>13</w:t>
            </w:r>
            <w:r>
              <w:rPr>
                <w:rFonts w:ascii="Times New Roman" w:hAnsi="Times New Roman" w:eastAsia="宋体" w:cs="Times New Roman"/>
                <w:color w:val="auto"/>
              </w:rPr>
              <w:t>］1</w:t>
            </w:r>
            <w:r>
              <w:rPr>
                <w:rFonts w:hint="eastAsia" w:ascii="Times New Roman" w:hAnsi="Times New Roman" w:eastAsia="宋体" w:cs="Times New Roman"/>
                <w:color w:val="auto"/>
              </w:rPr>
              <w:t>24</w:t>
            </w:r>
            <w:r>
              <w:rPr>
                <w:rFonts w:ascii="Times New Roman" w:hAnsi="Times New Roman" w:eastAsia="宋体" w:cs="Times New Roman"/>
                <w:color w:val="auto"/>
              </w:rPr>
              <w:t>号。备案文件为：云国土资储备字［20</w:t>
            </w:r>
            <w:r>
              <w:rPr>
                <w:rFonts w:hint="eastAsia" w:ascii="Times New Roman" w:hAnsi="Times New Roman" w:eastAsia="宋体" w:cs="Times New Roman"/>
                <w:color w:val="auto"/>
              </w:rPr>
              <w:t>13</w:t>
            </w:r>
            <w:r>
              <w:rPr>
                <w:rFonts w:ascii="Times New Roman" w:hAnsi="Times New Roman" w:eastAsia="宋体" w:cs="Times New Roman"/>
                <w:color w:val="auto"/>
              </w:rPr>
              <w:t>］1</w:t>
            </w:r>
            <w:r>
              <w:rPr>
                <w:rFonts w:hint="eastAsia" w:ascii="Times New Roman" w:hAnsi="Times New Roman" w:eastAsia="宋体" w:cs="Times New Roman"/>
                <w:color w:val="auto"/>
              </w:rPr>
              <w:t>1</w:t>
            </w:r>
            <w:r>
              <w:rPr>
                <w:rFonts w:ascii="Times New Roman" w:hAnsi="Times New Roman" w:eastAsia="宋体" w:cs="Times New Roman"/>
                <w:color w:val="auto"/>
              </w:rPr>
              <w:t>6号。</w:t>
            </w:r>
            <w:bookmarkEnd w:id="7"/>
            <w:r>
              <w:rPr>
                <w:rFonts w:hint="eastAsia" w:ascii="Times New Roman" w:hAnsi="Times New Roman" w:eastAsia="宋体" w:cs="Times New Roman"/>
                <w:color w:val="auto"/>
                <w:lang w:eastAsia="zh-CN"/>
              </w:rPr>
              <w:t>截至</w:t>
            </w:r>
            <w:r>
              <w:rPr>
                <w:rFonts w:ascii="Times New Roman" w:hAnsi="Times New Roman" w:eastAsia="宋体" w:cs="Times New Roman"/>
                <w:color w:val="auto"/>
              </w:rPr>
              <w:t>2012年10月31日，累计查明资源量（111b+122b+332+333）：矿石量373.11万t，金金属量4823kg，平均品位1.29×10</w:t>
            </w:r>
            <w:r>
              <w:rPr>
                <w:rFonts w:ascii="Times New Roman" w:hAnsi="Times New Roman" w:eastAsia="宋体" w:cs="Times New Roman"/>
                <w:color w:val="auto"/>
                <w:vertAlign w:val="superscript"/>
              </w:rPr>
              <w:t>-6</w:t>
            </w:r>
            <w:r>
              <w:rPr>
                <w:rFonts w:ascii="Times New Roman" w:hAnsi="Times New Roman" w:eastAsia="宋体" w:cs="Times New Roman"/>
                <w:color w:val="auto"/>
              </w:rPr>
              <w:t>。其中工业矿：矿石量359.35万t，金金属量4652kg，平均品位1.29×10</w:t>
            </w:r>
            <w:r>
              <w:rPr>
                <w:rFonts w:ascii="Times New Roman" w:hAnsi="Times New Roman" w:eastAsia="宋体" w:cs="Times New Roman"/>
                <w:color w:val="auto"/>
                <w:vertAlign w:val="superscript"/>
              </w:rPr>
              <w:t>-6</w:t>
            </w:r>
            <w:r>
              <w:rPr>
                <w:rFonts w:ascii="Times New Roman" w:hAnsi="Times New Roman" w:eastAsia="宋体" w:cs="Times New Roman"/>
                <w:color w:val="auto"/>
              </w:rPr>
              <w:t>；低品位矿：矿石量13.76万t，金金属量171kg，平均品位1.24×10</w:t>
            </w:r>
            <w:r>
              <w:rPr>
                <w:rFonts w:ascii="Times New Roman" w:hAnsi="Times New Roman" w:eastAsia="宋体" w:cs="Times New Roman"/>
                <w:color w:val="auto"/>
                <w:vertAlign w:val="superscript"/>
              </w:rPr>
              <w:t>-6</w:t>
            </w:r>
            <w:r>
              <w:rPr>
                <w:rFonts w:ascii="Times New Roman" w:hAnsi="Times New Roman" w:eastAsia="宋体" w:cs="Times New Roman"/>
                <w:color w:val="auto"/>
              </w:rPr>
              <w:t>。</w:t>
            </w:r>
          </w:p>
          <w:p w14:paraId="7E73CEED">
            <w:pPr>
              <w:pStyle w:val="116"/>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矿山累计开采消耗（111b类工业矿+333类原低品位矿）资源量：矿石量130.05万t，金金属量2744kg，平均品位2.10×10</w:t>
            </w:r>
            <w:r>
              <w:rPr>
                <w:rFonts w:hint="default" w:ascii="Times New Roman" w:hAnsi="Times New Roman" w:eastAsia="宋体" w:cs="Times New Roman"/>
                <w:color w:val="auto"/>
                <w:vertAlign w:val="superscript"/>
              </w:rPr>
              <w:t>-6</w:t>
            </w:r>
            <w:r>
              <w:rPr>
                <w:rFonts w:hint="default" w:ascii="Times New Roman" w:hAnsi="Times New Roman" w:eastAsia="宋体" w:cs="Times New Roman"/>
                <w:color w:val="auto"/>
              </w:rPr>
              <w:t>。</w:t>
            </w:r>
          </w:p>
          <w:p w14:paraId="6F2FC8DE">
            <w:pPr>
              <w:pStyle w:val="73"/>
              <w:keepNext w:val="0"/>
              <w:keepLines w:val="0"/>
              <w:suppressLineNumbers w:val="0"/>
              <w:spacing w:before="0" w:beforeAutospacing="0" w:after="0" w:afterAutospacing="0" w:line="500" w:lineRule="exact"/>
              <w:ind w:left="0" w:right="0"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矿山保有资源储量（111b+122b+332+333）矿石量243.06万t，金金属量2079kg，平均品位0.86×10</w:t>
            </w:r>
            <w:r>
              <w:rPr>
                <w:rFonts w:ascii="Times New Roman" w:hAnsi="Times New Roman" w:eastAsia="宋体" w:cs="Times New Roman"/>
                <w:color w:val="auto"/>
                <w:vertAlign w:val="superscript"/>
              </w:rPr>
              <w:t>-6</w:t>
            </w:r>
            <w:r>
              <w:rPr>
                <w:rFonts w:ascii="Times New Roman" w:hAnsi="Times New Roman" w:eastAsia="宋体" w:cs="Times New Roman"/>
                <w:color w:val="auto"/>
              </w:rPr>
              <w:t>。绝大部分为工业矿，低品位矿仅1kg，平均品位0.67×10</w:t>
            </w:r>
            <w:r>
              <w:rPr>
                <w:rFonts w:ascii="Times New Roman" w:hAnsi="Times New Roman" w:eastAsia="宋体" w:cs="Times New Roman"/>
                <w:color w:val="auto"/>
                <w:vertAlign w:val="superscript"/>
              </w:rPr>
              <w:t>-6</w:t>
            </w:r>
            <w:r>
              <w:rPr>
                <w:rFonts w:ascii="Times New Roman" w:hAnsi="Times New Roman" w:eastAsia="宋体" w:cs="Times New Roman"/>
                <w:color w:val="auto"/>
              </w:rPr>
              <w:t>。</w:t>
            </w:r>
          </w:p>
          <w:bookmarkEnd w:id="6"/>
          <w:p w14:paraId="7748A6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4、本次勘探工作部署及设计工作量</w:t>
            </w:r>
          </w:p>
          <w:p w14:paraId="3DE7A339">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bookmarkStart w:id="8" w:name="_Toc422145068"/>
            <w:bookmarkStart w:id="9" w:name="_Toc403549092"/>
            <w:bookmarkStart w:id="10" w:name="_Toc444679983"/>
            <w:bookmarkStart w:id="11" w:name="_Toc424133515"/>
            <w:bookmarkStart w:id="12" w:name="_Toc425329376"/>
            <w:bookmarkStart w:id="13" w:name="_Toc417915257"/>
            <w:bookmarkStart w:id="14" w:name="_Toc470769744"/>
            <w:bookmarkStart w:id="15" w:name="_Toc445733416"/>
            <w:bookmarkStart w:id="16" w:name="_Toc428042860"/>
            <w:bookmarkStart w:id="17" w:name="_Toc437332053"/>
            <w:bookmarkStart w:id="18" w:name="_Toc340774128"/>
            <w:bookmarkStart w:id="19" w:name="_Toc97818809"/>
            <w:bookmarkStart w:id="20" w:name="_Toc426470028"/>
            <w:bookmarkStart w:id="21" w:name="_Toc459197244"/>
            <w:bookmarkStart w:id="22" w:name="_Toc468195588"/>
            <w:bookmarkStart w:id="23" w:name="_Toc458073786"/>
            <w:r>
              <w:rPr>
                <w:rFonts w:hint="eastAsia" w:ascii="Times New Roman" w:hAnsi="Times New Roman" w:eastAsia="宋体" w:cs="Times New Roman"/>
                <w:color w:val="auto"/>
                <w:kern w:val="0"/>
                <w:sz w:val="24"/>
                <w:highlight w:val="none"/>
              </w:rPr>
              <w:t>（一）总体工作部署</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6DDD357E">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根据区内以往地质勘查成果，对已发现的金矿体揭露、控制情况，本次勘查工作主要沿矿体的走向、倾向布置探矿工程进行揭露控制，探矿手段主要采用钻探工程，以达到详细查明矿体的规模、形态、产状、品位、厚度变化特征及伴生有益、有害元素的含量等，估算各类别资源储量。根据已知矿体的赋存/条件指导外围找矿工作，以期在填图工作中发现新的矿体，扩大矿床规模。</w:t>
            </w:r>
          </w:p>
          <w:p w14:paraId="36A5E930">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1.工作部署基本原则</w:t>
            </w:r>
          </w:p>
          <w:p w14:paraId="045C1A7F">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（1）勘查工作必须循序循序渐进原则，即由已知到未知、由表及里、由浅入深、由稀到密的原则。</w:t>
            </w:r>
          </w:p>
          <w:p w14:paraId="1133504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（2）勘查必须以现代地质理论为指导，采用先进的技术装备和勘查方法，提高勘查成果质量。</w:t>
            </w:r>
          </w:p>
          <w:p w14:paraId="6969245B">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（3）勘查必须坚持“综合勘查、综合评价”的原则，做到充分利用、合理保护矿产资源，做好共（伴）生矿产的勘查评价工作。</w:t>
            </w:r>
          </w:p>
          <w:p w14:paraId="741E616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（4）勘查工作必须坚持经济合理原则，正确、合理地选择采用各种勘查技术手段，以最少的投入取得最佳的地质成果。</w:t>
            </w:r>
          </w:p>
          <w:p w14:paraId="1A9813DE">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（5）统一部署，分年度安排，分层次推进，动态调整原则。</w:t>
            </w:r>
          </w:p>
          <w:p w14:paraId="1ACA34D0">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2.勘查对象、范围及手段的选择</w:t>
            </w:r>
          </w:p>
          <w:p w14:paraId="11570B9D">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勘查范围：矿权范围麦窝坝矿段22线以南。</w:t>
            </w:r>
          </w:p>
          <w:p w14:paraId="7E6ABEF1">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勘查对象：</w:t>
            </w:r>
            <w:r>
              <w:rPr>
                <w:rFonts w:hint="eastAsia" w:ascii="Times New Roman" w:hAnsi="Times New Roman" w:eastAsia="宋体" w:cs="Times New Roman"/>
                <w:color w:val="auto"/>
                <w:kern w:val="0"/>
                <w:sz w:val="24"/>
                <w:highlight w:val="none"/>
                <w:lang w:eastAsia="zh-CN"/>
              </w:rPr>
              <w:t>Ⅶ号</w:t>
            </w:r>
            <w:r>
              <w:rPr>
                <w:rFonts w:hint="eastAsia" w:ascii="Times New Roman" w:hAnsi="Times New Roman" w:eastAsia="宋体" w:cs="Times New Roman"/>
                <w:color w:val="auto"/>
                <w:kern w:val="0"/>
                <w:sz w:val="24"/>
                <w:highlight w:val="none"/>
              </w:rPr>
              <w:t>矿体作为本次勘查的主要对象。</w:t>
            </w:r>
          </w:p>
          <w:p w14:paraId="67F02F38">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勘查手段：采用钻孔对其进行系统揭露。</w:t>
            </w:r>
          </w:p>
          <w:p w14:paraId="16B5498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3.总体工作部署</w:t>
            </w:r>
          </w:p>
          <w:p w14:paraId="074F2BFD">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采用钻孔工程对</w:t>
            </w:r>
            <w:r>
              <w:rPr>
                <w:rFonts w:hint="eastAsia" w:ascii="Times New Roman" w:hAnsi="Times New Roman" w:eastAsia="宋体" w:cs="Times New Roman"/>
                <w:color w:val="auto"/>
                <w:kern w:val="0"/>
                <w:sz w:val="24"/>
                <w:highlight w:val="none"/>
                <w:lang w:eastAsia="zh-CN"/>
              </w:rPr>
              <w:t>Ⅶ</w:t>
            </w:r>
            <w:r>
              <w:rPr>
                <w:rFonts w:hint="eastAsia" w:ascii="Times New Roman" w:hAnsi="Times New Roman" w:eastAsia="宋体" w:cs="Times New Roman"/>
                <w:color w:val="auto"/>
                <w:kern w:val="0"/>
                <w:sz w:val="24"/>
                <w:highlight w:val="none"/>
              </w:rPr>
              <w:t>矿体进行控制，目的是查明矿体沿倾斜方向的变化情况。</w:t>
            </w:r>
          </w:p>
          <w:p w14:paraId="47A3BE5C">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4.矿床勘查类型的确定</w:t>
            </w:r>
          </w:p>
          <w:p w14:paraId="3A2FA64A">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根据《固体矿产地质勘查规范总则》GB/T13908—2020、《</w:t>
            </w:r>
            <w:bookmarkStart w:id="24" w:name="_Hlk97806184"/>
            <w:r>
              <w:rPr>
                <w:rFonts w:hint="eastAsia" w:ascii="Times New Roman" w:hAnsi="Times New Roman" w:eastAsia="宋体" w:cs="Times New Roman"/>
                <w:color w:val="auto"/>
                <w:kern w:val="0"/>
                <w:sz w:val="24"/>
                <w:highlight w:val="none"/>
              </w:rPr>
              <w:t>岩金矿地质勘查规范</w:t>
            </w:r>
            <w:bookmarkEnd w:id="24"/>
            <w:r>
              <w:rPr>
                <w:rFonts w:hint="eastAsia" w:ascii="Times New Roman" w:hAnsi="Times New Roman" w:eastAsia="宋体" w:cs="Times New Roman"/>
                <w:color w:val="auto"/>
                <w:kern w:val="0"/>
                <w:sz w:val="24"/>
                <w:highlight w:val="none"/>
              </w:rPr>
              <w:t>》</w:t>
            </w:r>
            <w:bookmarkStart w:id="25" w:name="_Hlk97806191"/>
            <w:r>
              <w:rPr>
                <w:rFonts w:hint="eastAsia" w:ascii="Times New Roman" w:hAnsi="Times New Roman" w:eastAsia="宋体" w:cs="Times New Roman"/>
                <w:color w:val="auto"/>
                <w:kern w:val="0"/>
                <w:sz w:val="24"/>
                <w:highlight w:val="none"/>
              </w:rPr>
              <w:t>DZ/T0205—2020</w:t>
            </w:r>
            <w:bookmarkEnd w:id="25"/>
            <w:r>
              <w:rPr>
                <w:rFonts w:hint="eastAsia" w:ascii="Times New Roman" w:hAnsi="Times New Roman" w:eastAsia="宋体" w:cs="Times New Roman"/>
                <w:color w:val="auto"/>
                <w:kern w:val="0"/>
                <w:sz w:val="24"/>
                <w:highlight w:val="none"/>
              </w:rPr>
              <w:t>等规范。在以住工作成果的基础上，结合矿区地质、矿床客观实际，按矿体的规模、形态变化程度、厚度稳定程度、矿体受构造和脉岩影响程度、主要有用组分分布均匀程度五个主要地质因素，确定勘查类型。</w:t>
            </w:r>
          </w:p>
          <w:p w14:paraId="57639044">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本次勘查主要为</w:t>
            </w:r>
            <w:r>
              <w:rPr>
                <w:rFonts w:hint="eastAsia" w:ascii="Times New Roman" w:hAnsi="Times New Roman" w:eastAsia="宋体" w:cs="Times New Roman"/>
                <w:color w:val="auto"/>
                <w:kern w:val="0"/>
                <w:sz w:val="24"/>
                <w:highlight w:val="none"/>
                <w:lang w:eastAsia="zh-CN"/>
              </w:rPr>
              <w:t>Ⅶ号</w:t>
            </w:r>
            <w:r>
              <w:rPr>
                <w:rFonts w:hint="eastAsia" w:ascii="Times New Roman" w:hAnsi="Times New Roman" w:eastAsia="宋体" w:cs="Times New Roman"/>
                <w:color w:val="auto"/>
                <w:kern w:val="0"/>
                <w:sz w:val="24"/>
                <w:highlight w:val="none"/>
              </w:rPr>
              <w:t>金矿体，该矿体走向长1085m，宽160m，矿体规模为大型；矿体品位变化系数68.75％，有用组分分布均匀；厚度变化系数 64.60％，矿体厚度稳定；矿体形态为似层状，矿体总的较完整，无破坏矿体完整性的成矿后期构造和岩脉，矿体连续性较好，矿体形态简单完整。根据五项地质因素有四项符合第一勘查类型，一项符合第Ⅲ勘查类型，综合分析，</w:t>
            </w:r>
            <w:r>
              <w:rPr>
                <w:rFonts w:hint="eastAsia" w:ascii="Times New Roman" w:hAnsi="Times New Roman" w:eastAsia="宋体" w:cs="Times New Roman"/>
                <w:color w:val="auto"/>
                <w:kern w:val="0"/>
                <w:sz w:val="24"/>
                <w:highlight w:val="none"/>
                <w:lang w:eastAsia="zh-CN"/>
              </w:rPr>
              <w:t>Ⅶ号</w:t>
            </w:r>
            <w:r>
              <w:rPr>
                <w:rFonts w:hint="eastAsia" w:ascii="Times New Roman" w:hAnsi="Times New Roman" w:eastAsia="宋体" w:cs="Times New Roman"/>
                <w:color w:val="auto"/>
                <w:kern w:val="0"/>
                <w:sz w:val="24"/>
                <w:highlight w:val="none"/>
              </w:rPr>
              <w:t>矿体定为第Ⅱ勘查类型偏简单。</w:t>
            </w:r>
          </w:p>
          <w:p w14:paraId="699AC684">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rPr>
              <w:t>5.工程布置</w:t>
            </w:r>
            <w:r>
              <w:rPr>
                <w:rFonts w:hint="eastAsia" w:ascii="Times New Roman" w:hAnsi="Times New Roman" w:eastAsia="宋体" w:cs="Times New Roman"/>
                <w:color w:val="auto"/>
                <w:kern w:val="0"/>
                <w:sz w:val="24"/>
                <w:highlight w:val="none"/>
                <w:lang w:val="en-US" w:eastAsia="zh-CN"/>
              </w:rPr>
              <w:t>内容</w:t>
            </w:r>
          </w:p>
          <w:p w14:paraId="2D161F6F">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为建设绿色矿山，减少矿山地质勘查对环境的破坏，根据矿山实际情况，钻探(含坑内钻)应坚持一孔多用的原则，探矿工程施工前和施工后均进行影像采集，钻探工程施工及其质量要求按有关规程执行。</w:t>
            </w:r>
          </w:p>
          <w:p w14:paraId="4EA7E9D5">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w:t>
            </w:r>
            <w:r>
              <w:rPr>
                <w:rFonts w:hint="eastAsia" w:ascii="Times New Roman" w:hAnsi="Times New Roman" w:eastAsia="宋体"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rPr>
              <w:t>）探矿工程点</w:t>
            </w:r>
          </w:p>
          <w:p w14:paraId="3F1A2AFA">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rPr>
              <w:t>本次探矿工程点共计41个，全为钻孔工程</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rPr>
              <w:t>详见表</w:t>
            </w:r>
            <w:r>
              <w:rPr>
                <w:rFonts w:hint="eastAsia" w:ascii="Times New Roman" w:hAnsi="Times New Roman" w:eastAsia="宋体"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rPr>
              <w:t>-</w:t>
            </w:r>
            <w:r>
              <w:rPr>
                <w:rFonts w:hint="eastAsia" w:ascii="Times New Roman" w:hAnsi="Times New Roman" w:eastAsia="宋体"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eastAsia="zh-CN"/>
              </w:rPr>
              <w:t>。</w:t>
            </w:r>
          </w:p>
          <w:p w14:paraId="1263A406">
            <w:pPr>
              <w:keepNext w:val="0"/>
              <w:keepLines w:val="0"/>
              <w:suppressLineNumbers w:val="0"/>
              <w:adjustRightInd w:val="0"/>
              <w:snapToGrid w:val="0"/>
              <w:spacing w:before="0" w:beforeAutospacing="0" w:after="0" w:afterAutospacing="0" w:line="360" w:lineRule="auto"/>
              <w:ind w:left="0" w:right="0" w:firstLine="482" w:firstLineChars="200"/>
              <w:jc w:val="center"/>
              <w:rPr>
                <w:rFonts w:hint="eastAsia" w:ascii="Times New Roman" w:hAnsi="Times New Roman" w:eastAsia="宋体" w:cs="Times New Roman"/>
                <w:b/>
                <w:bCs/>
                <w:color w:val="auto"/>
                <w:kern w:val="0"/>
                <w:sz w:val="24"/>
                <w:highlight w:val="none"/>
              </w:rPr>
            </w:pPr>
            <w:r>
              <w:rPr>
                <w:rFonts w:hint="eastAsia" w:ascii="Times New Roman" w:hAnsi="Times New Roman" w:eastAsia="宋体" w:cs="Times New Roman"/>
                <w:b/>
                <w:bCs/>
                <w:color w:val="auto"/>
                <w:kern w:val="0"/>
                <w:sz w:val="24"/>
                <w:highlight w:val="none"/>
              </w:rPr>
              <w:t>表</w:t>
            </w:r>
            <w:r>
              <w:rPr>
                <w:rFonts w:hint="eastAsia" w:ascii="Times New Roman" w:hAnsi="Times New Roman" w:eastAsia="宋体" w:cs="Times New Roman"/>
                <w:b/>
                <w:bCs/>
                <w:color w:val="auto"/>
                <w:kern w:val="0"/>
                <w:sz w:val="24"/>
                <w:highlight w:val="none"/>
                <w:lang w:val="en-US" w:eastAsia="zh-CN"/>
              </w:rPr>
              <w:t xml:space="preserve">2-2 </w:t>
            </w:r>
            <w:r>
              <w:rPr>
                <w:rFonts w:hint="eastAsia" w:ascii="Times New Roman" w:hAnsi="Times New Roman" w:eastAsia="宋体" w:cs="Times New Roman"/>
                <w:b/>
                <w:bCs/>
                <w:color w:val="auto"/>
                <w:kern w:val="0"/>
                <w:sz w:val="24"/>
                <w:highlight w:val="none"/>
              </w:rPr>
              <w:t xml:space="preserve"> 探矿工程点统计表</w:t>
            </w:r>
          </w:p>
          <w:tbl>
            <w:tblPr>
              <w:tblStyle w:val="31"/>
              <w:tblW w:w="4892"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1"/>
              <w:gridCol w:w="1291"/>
              <w:gridCol w:w="1293"/>
              <w:gridCol w:w="1293"/>
              <w:gridCol w:w="1294"/>
              <w:gridCol w:w="1294"/>
            </w:tblGrid>
            <w:tr w14:paraId="46081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292" w:type="dxa"/>
                  <w:noWrap w:val="0"/>
                  <w:vAlign w:val="center"/>
                </w:tcPr>
                <w:p w14:paraId="336EF098">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序号</w:t>
                  </w:r>
                </w:p>
              </w:tc>
              <w:tc>
                <w:tcPr>
                  <w:tcW w:w="1291" w:type="dxa"/>
                  <w:noWrap w:val="0"/>
                  <w:vAlign w:val="center"/>
                </w:tcPr>
                <w:p w14:paraId="7C6A7DA1">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第一阶段</w:t>
                  </w:r>
                </w:p>
              </w:tc>
              <w:tc>
                <w:tcPr>
                  <w:tcW w:w="1293" w:type="dxa"/>
                  <w:noWrap w:val="0"/>
                  <w:vAlign w:val="center"/>
                </w:tcPr>
                <w:p w14:paraId="066263CD">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第二阶段</w:t>
                  </w:r>
                </w:p>
              </w:tc>
              <w:tc>
                <w:tcPr>
                  <w:tcW w:w="1293" w:type="dxa"/>
                  <w:noWrap w:val="0"/>
                  <w:vAlign w:val="center"/>
                </w:tcPr>
                <w:p w14:paraId="09657764">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第三阶段</w:t>
                  </w:r>
                </w:p>
              </w:tc>
              <w:tc>
                <w:tcPr>
                  <w:tcW w:w="1294" w:type="dxa"/>
                  <w:noWrap w:val="0"/>
                  <w:vAlign w:val="center"/>
                </w:tcPr>
                <w:p w14:paraId="6E1E4061">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机动组</w:t>
                  </w:r>
                </w:p>
              </w:tc>
              <w:tc>
                <w:tcPr>
                  <w:tcW w:w="1294" w:type="dxa"/>
                  <w:noWrap w:val="0"/>
                  <w:vAlign w:val="center"/>
                </w:tcPr>
                <w:p w14:paraId="23C2C7D2">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合计</w:t>
                  </w:r>
                </w:p>
              </w:tc>
            </w:tr>
            <w:tr w14:paraId="1C0D9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292" w:type="dxa"/>
                  <w:noWrap w:val="0"/>
                  <w:vAlign w:val="center"/>
                </w:tcPr>
                <w:p w14:paraId="6B868A69">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钻孔</w:t>
                  </w:r>
                </w:p>
              </w:tc>
              <w:tc>
                <w:tcPr>
                  <w:tcW w:w="1291" w:type="dxa"/>
                  <w:noWrap w:val="0"/>
                  <w:vAlign w:val="center"/>
                </w:tcPr>
                <w:p w14:paraId="079B7E81">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10</w:t>
                  </w:r>
                </w:p>
              </w:tc>
              <w:tc>
                <w:tcPr>
                  <w:tcW w:w="1293" w:type="dxa"/>
                  <w:noWrap w:val="0"/>
                  <w:vAlign w:val="center"/>
                </w:tcPr>
                <w:p w14:paraId="46A1901A">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13</w:t>
                  </w:r>
                </w:p>
              </w:tc>
              <w:tc>
                <w:tcPr>
                  <w:tcW w:w="1293" w:type="dxa"/>
                  <w:noWrap w:val="0"/>
                  <w:vAlign w:val="center"/>
                </w:tcPr>
                <w:p w14:paraId="0F14F619">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14</w:t>
                  </w:r>
                </w:p>
              </w:tc>
              <w:tc>
                <w:tcPr>
                  <w:tcW w:w="1294" w:type="dxa"/>
                  <w:noWrap w:val="0"/>
                  <w:vAlign w:val="center"/>
                </w:tcPr>
                <w:p w14:paraId="52239AD7">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4</w:t>
                  </w:r>
                </w:p>
              </w:tc>
              <w:tc>
                <w:tcPr>
                  <w:tcW w:w="1294" w:type="dxa"/>
                  <w:noWrap w:val="0"/>
                  <w:vAlign w:val="center"/>
                </w:tcPr>
                <w:p w14:paraId="77350022">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41</w:t>
                  </w:r>
                </w:p>
              </w:tc>
            </w:tr>
            <w:tr w14:paraId="060F4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292" w:type="dxa"/>
                  <w:noWrap w:val="0"/>
                  <w:vAlign w:val="center"/>
                </w:tcPr>
                <w:p w14:paraId="78B2691B">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合计</w:t>
                  </w:r>
                </w:p>
              </w:tc>
              <w:tc>
                <w:tcPr>
                  <w:tcW w:w="1291" w:type="dxa"/>
                  <w:noWrap w:val="0"/>
                  <w:vAlign w:val="center"/>
                </w:tcPr>
                <w:p w14:paraId="4C2BC200">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10</w:t>
                  </w:r>
                </w:p>
              </w:tc>
              <w:tc>
                <w:tcPr>
                  <w:tcW w:w="1293" w:type="dxa"/>
                  <w:noWrap w:val="0"/>
                  <w:vAlign w:val="center"/>
                </w:tcPr>
                <w:p w14:paraId="1550AC34">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13</w:t>
                  </w:r>
                </w:p>
              </w:tc>
              <w:tc>
                <w:tcPr>
                  <w:tcW w:w="1293" w:type="dxa"/>
                  <w:noWrap w:val="0"/>
                  <w:vAlign w:val="center"/>
                </w:tcPr>
                <w:p w14:paraId="1A2DFAA0">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14</w:t>
                  </w:r>
                </w:p>
              </w:tc>
              <w:tc>
                <w:tcPr>
                  <w:tcW w:w="1294" w:type="dxa"/>
                  <w:noWrap w:val="0"/>
                  <w:vAlign w:val="center"/>
                </w:tcPr>
                <w:p w14:paraId="36424416">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4</w:t>
                  </w:r>
                </w:p>
              </w:tc>
              <w:tc>
                <w:tcPr>
                  <w:tcW w:w="1294" w:type="dxa"/>
                  <w:noWrap w:val="0"/>
                  <w:vAlign w:val="center"/>
                </w:tcPr>
                <w:p w14:paraId="7289C4A5">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41</w:t>
                  </w:r>
                </w:p>
              </w:tc>
            </w:tr>
          </w:tbl>
          <w:p w14:paraId="45038C48">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w:t>
            </w:r>
            <w:r>
              <w:rPr>
                <w:rFonts w:hint="eastAsia" w:ascii="Times New Roman" w:hAnsi="Times New Roman" w:eastAsia="宋体"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rPr>
              <w:t>）样品采集</w:t>
            </w:r>
          </w:p>
          <w:p w14:paraId="6E70B1CD">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本次勘查工作拟采取基本分析样11250件。在钻孔中用劈心法采取。分析项目Au，用以准确圈定矿体边界线。</w:t>
            </w:r>
          </w:p>
          <w:p w14:paraId="7D2397C6">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本次勘查工作拟采取小体重样30件。在坑道中用打块法采取。测试项目Cu、湿度和矿石体重。目的是为估算资源量确定矿石的体重参数。</w:t>
            </w:r>
          </w:p>
          <w:p w14:paraId="1272EA98">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勘查区内矿石类型及质量与邻区采矿权内矿石一致，故本次不在进行采集选矿试验样。</w:t>
            </w:r>
          </w:p>
          <w:p w14:paraId="23541FD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w:t>
            </w:r>
            <w:r>
              <w:rPr>
                <w:rFonts w:hint="eastAsia" w:ascii="Times New Roman" w:hAnsi="Times New Roman" w:eastAsia="宋体" w:cs="Times New Roman"/>
                <w:color w:val="auto"/>
                <w:kern w:val="0"/>
                <w:sz w:val="24"/>
                <w:highlight w:val="none"/>
                <w:lang w:val="en-US" w:eastAsia="zh-CN"/>
              </w:rPr>
              <w:t>3</w:t>
            </w:r>
            <w:r>
              <w:rPr>
                <w:rFonts w:hint="eastAsia" w:ascii="Times New Roman" w:hAnsi="Times New Roman" w:eastAsia="宋体" w:cs="Times New Roman"/>
                <w:color w:val="auto"/>
                <w:kern w:val="0"/>
                <w:sz w:val="24"/>
                <w:highlight w:val="none"/>
              </w:rPr>
              <w:t>）报告编制</w:t>
            </w:r>
          </w:p>
          <w:p w14:paraId="6B8F913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2022年10月前提交《云南省芒市金矿生产勘探报告》。</w:t>
            </w:r>
          </w:p>
          <w:p w14:paraId="584C3CF2">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w:t>
            </w:r>
            <w:r>
              <w:rPr>
                <w:rFonts w:hint="eastAsia" w:ascii="Times New Roman" w:hAnsi="Times New Roman" w:eastAsia="宋体"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rPr>
              <w:t>）设计总工作量</w:t>
            </w:r>
          </w:p>
          <w:p w14:paraId="5CCEBA09">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rPr>
              <w:t>根据总体工作布置要求，本次勘探工作设计主要实物工作量为钻探13110m/41孔，基本化学分析11250件及其它地质工作。（详见表</w:t>
            </w:r>
            <w:r>
              <w:rPr>
                <w:rFonts w:hint="eastAsia" w:ascii="Times New Roman" w:hAnsi="Times New Roman" w:eastAsia="宋体" w:cs="Times New Roman"/>
                <w:color w:val="auto"/>
                <w:kern w:val="0"/>
                <w:sz w:val="24"/>
                <w:highlight w:val="none"/>
                <w:lang w:val="en-US" w:eastAsia="zh-CN"/>
              </w:rPr>
              <w:t>2-3</w:t>
            </w:r>
            <w:r>
              <w:rPr>
                <w:rFonts w:hint="eastAsia" w:ascii="Times New Roman" w:hAnsi="Times New Roman" w:eastAsia="宋体" w:cs="Times New Roman"/>
                <w:color w:val="auto"/>
                <w:kern w:val="0"/>
                <w:sz w:val="24"/>
                <w:highlight w:val="none"/>
              </w:rPr>
              <w:t>）</w:t>
            </w:r>
          </w:p>
          <w:p w14:paraId="5C78B94E">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bookmarkStart w:id="26" w:name="_Toc97818810"/>
            <w:bookmarkStart w:id="27" w:name="_Toc470769745"/>
            <w:bookmarkStart w:id="28" w:name="_Toc444679984"/>
            <w:bookmarkStart w:id="29" w:name="_Toc445733417"/>
            <w:bookmarkStart w:id="30" w:name="_Toc458073787"/>
            <w:bookmarkStart w:id="31" w:name="_Toc468195589"/>
            <w:bookmarkStart w:id="32" w:name="_Toc438556997"/>
            <w:bookmarkStart w:id="33" w:name="_Toc459197245"/>
            <w:bookmarkStart w:id="34" w:name="_Toc500423748"/>
            <w:r>
              <w:rPr>
                <w:rFonts w:hint="eastAsia" w:ascii="Times New Roman" w:hAnsi="Times New Roman" w:eastAsia="宋体" w:cs="Times New Roman"/>
                <w:color w:val="auto"/>
                <w:kern w:val="0"/>
                <w:sz w:val="24"/>
                <w:highlight w:val="none"/>
              </w:rPr>
              <w:t>（二）年度工作安排</w:t>
            </w:r>
            <w:bookmarkEnd w:id="26"/>
            <w:bookmarkEnd w:id="27"/>
            <w:bookmarkEnd w:id="28"/>
            <w:bookmarkEnd w:id="29"/>
            <w:bookmarkEnd w:id="30"/>
            <w:bookmarkEnd w:id="31"/>
            <w:bookmarkEnd w:id="32"/>
            <w:bookmarkEnd w:id="33"/>
            <w:bookmarkEnd w:id="34"/>
          </w:p>
          <w:p w14:paraId="5D9932E9">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依据总体部署，本次工作主要分为三个阶段实施，具体如下：</w:t>
            </w:r>
          </w:p>
          <w:p w14:paraId="744D2DC3">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1.第一阶段</w:t>
            </w:r>
          </w:p>
          <w:p w14:paraId="2574AC88">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（1）全面收集区域及工作区已有的地、物、化等资料，进一步加强综合研究，分析研究勘探区成矿地质条件，野外生产资料准备；</w:t>
            </w:r>
          </w:p>
          <w:p w14:paraId="75D8FE2E">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（2）对麦窝坝矿段</w:t>
            </w:r>
            <w:r>
              <w:rPr>
                <w:rFonts w:hint="eastAsia" w:ascii="Times New Roman" w:hAnsi="Times New Roman" w:eastAsia="宋体" w:cs="Times New Roman"/>
                <w:color w:val="auto"/>
                <w:kern w:val="0"/>
                <w:sz w:val="24"/>
                <w:highlight w:val="none"/>
                <w:lang w:eastAsia="zh-CN"/>
              </w:rPr>
              <w:t>Ⅶ</w:t>
            </w:r>
            <w:r>
              <w:rPr>
                <w:rFonts w:hint="eastAsia" w:ascii="Times New Roman" w:hAnsi="Times New Roman" w:eastAsia="宋体" w:cs="Times New Roman"/>
                <w:color w:val="auto"/>
                <w:kern w:val="0"/>
                <w:sz w:val="24"/>
                <w:highlight w:val="none"/>
              </w:rPr>
              <w:t>矿体22线以南，根据已有钻孔工程，利用钻孔工程在其走向及倾向进行验证和初步控制。设计施工钻孔22ZK2401、22ZK2601、22ZKJ2602、22ZK3001、22ZK3002、22ZK3102、22ZK3103、22ZK3202、22ZK3203、22ZK3402共计10个钻孔，设计工程量3860m。</w:t>
            </w:r>
          </w:p>
          <w:p w14:paraId="50320E63">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（3）完成相应的采样、加工、测试工作，提交阶段性地质报告，为下一步勘查工作打好基础。</w:t>
            </w:r>
          </w:p>
          <w:p w14:paraId="4E34DF66">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2.第二阶段</w:t>
            </w:r>
          </w:p>
          <w:p w14:paraId="42497AF9">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1）本阶段主要是在J22至J32线之间进行加密控制，探求探明资源量，可根据第一阶段钻孔施工见矿进行部分舍取；设计施工钻孔22ZKJ2601、22ZK2801、22ZK2802、22ZK2803、22ZKJ3002、22ZKJ3003、22ZKJ3004、22ZKJ3101、22ZKJ3102、22ZKJ3103、22ZKJ3201、22ZKJ3202、22ZKJ3203共计13个钻孔，设计工程量4000m。</w:t>
            </w:r>
          </w:p>
          <w:p w14:paraId="693F984F">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（2）完成相应的采样、加工、测试工作，提交阶段性地质报告，为下一步勘查工作打好基础。</w:t>
            </w:r>
          </w:p>
          <w:p w14:paraId="1FE56B63">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3.第三阶段</w:t>
            </w:r>
          </w:p>
          <w:p w14:paraId="15B15A58">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1）根据前两个阶段施工情况，本阶段主要探求控制资源量，同时可也做为矿区范围内的资源量进行封边摸底控制。设计施工钻孔22ZK2201、22ZKJ2401、22ZKJ2402、22ZKJ2403、22ZKJ2603、22ZK3003、22ZK3101、22ZK3104、22ZK3201、22ZK3204、22ZK3401、22ZK3403、22ZK3601、22ZK3602、22ZK2016、22ZK2018、22ZK1815、22ZK1817共计18个钻孔，设计工程量5250m。其中22ZK2016、22ZK2018、22ZK1815、22ZK1817为机动组（580m/4孔）。</w:t>
            </w:r>
          </w:p>
          <w:p w14:paraId="72BB93C6">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（2）完成相应的采样、加工、测试工作，对所收集的原始资料进行整理，提交探槽编录、坑道编录及各类原始资料；</w:t>
            </w:r>
          </w:p>
          <w:p w14:paraId="48878371">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（3）编制地质勘查报告，要求内容齐全、重点突出、数据准确，质量符合《固体矿产勘查/矿山闭坑地质报告编写规范》(DZ/T0033-2002)的要求。</w:t>
            </w:r>
          </w:p>
          <w:p w14:paraId="745A6C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sz w:val="24"/>
                <w:szCs w:val="36"/>
                <w:lang w:val="en-US" w:eastAsia="zh-CN"/>
              </w:rPr>
              <w:t>5</w:t>
            </w:r>
            <w:r>
              <w:rPr>
                <w:rFonts w:hint="eastAsia" w:ascii="Times New Roman" w:hAnsi="Times New Roman" w:eastAsia="宋体" w:cs="Times New Roman"/>
                <w:b/>
                <w:bCs/>
                <w:color w:val="auto"/>
                <w:kern w:val="0"/>
                <w:sz w:val="24"/>
                <w:szCs w:val="24"/>
                <w:highlight w:val="none"/>
                <w:lang w:val="en-US" w:eastAsia="zh-CN"/>
              </w:rPr>
              <w:t>、项目工程组成</w:t>
            </w:r>
          </w:p>
          <w:p w14:paraId="28389144">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rPr>
            </w:pPr>
            <w:r>
              <w:rPr>
                <w:rFonts w:hint="eastAsia" w:ascii="Times New Roman" w:hAnsi="宋体" w:cs="Times New Roman"/>
                <w:color w:val="auto"/>
                <w:sz w:val="24"/>
              </w:rPr>
              <w:t>根据</w:t>
            </w:r>
            <w:r>
              <w:rPr>
                <w:rFonts w:hint="eastAsia" w:ascii="Times New Roman" w:hAnsi="宋体" w:eastAsia="宋体" w:cs="Times New Roman"/>
                <w:color w:val="auto"/>
                <w:sz w:val="24"/>
              </w:rPr>
              <w:t>《云南省</w:t>
            </w:r>
            <w:r>
              <w:rPr>
                <w:rFonts w:hint="eastAsia" w:ascii="Times New Roman" w:hAnsi="宋体" w:eastAsia="宋体" w:cs="Times New Roman"/>
                <w:color w:val="auto"/>
                <w:sz w:val="24"/>
                <w:lang w:val="en-US" w:eastAsia="zh-CN"/>
              </w:rPr>
              <w:t>德宏州</w:t>
            </w:r>
            <w:r>
              <w:rPr>
                <w:rFonts w:hint="eastAsia" w:ascii="Times New Roman" w:hAnsi="宋体" w:eastAsia="宋体" w:cs="Times New Roman"/>
                <w:color w:val="auto"/>
                <w:sz w:val="24"/>
              </w:rPr>
              <w:t>芒市金矿麦窝坝矿段实施方案》</w:t>
            </w:r>
            <w:r>
              <w:rPr>
                <w:rFonts w:hint="eastAsia" w:ascii="Times New Roman" w:hAnsi="宋体" w:cs="Times New Roman"/>
                <w:color w:val="auto"/>
                <w:sz w:val="24"/>
              </w:rPr>
              <w:t>中提供的资料，项目勘探周期</w:t>
            </w:r>
            <w:r>
              <w:rPr>
                <w:rFonts w:hint="eastAsia" w:ascii="Times New Roman" w:hAnsi="宋体" w:cs="Times New Roman"/>
                <w:color w:val="auto"/>
                <w:sz w:val="24"/>
                <w:lang w:val="en-US" w:eastAsia="zh-CN"/>
              </w:rPr>
              <w:t>2个月</w:t>
            </w:r>
            <w:r>
              <w:rPr>
                <w:rFonts w:hint="eastAsia" w:ascii="Times New Roman" w:hAnsi="宋体" w:cs="Times New Roman"/>
                <w:color w:val="auto"/>
                <w:sz w:val="24"/>
              </w:rPr>
              <w:t>，</w:t>
            </w:r>
            <w:r>
              <w:rPr>
                <w:rFonts w:hint="default" w:ascii="Times New Roman" w:hAnsi="Times New Roman" w:cs="Times New Roman"/>
                <w:color w:val="auto"/>
                <w:sz w:val="24"/>
                <w:szCs w:val="36"/>
              </w:rPr>
              <w:t>本次勘探工作设计主要实物工作量为钻探13110m/41孔，基本化学分析11250件及其它地质工作。</w:t>
            </w:r>
            <w:r>
              <w:rPr>
                <w:rFonts w:hint="eastAsia" w:ascii="Times New Roman" w:hAnsi="宋体" w:cs="Times New Roman"/>
                <w:color w:val="auto"/>
                <w:sz w:val="24"/>
              </w:rPr>
              <w:t>本</w:t>
            </w:r>
            <w:r>
              <w:rPr>
                <w:rFonts w:hint="eastAsia" w:ascii="Times New Roman" w:hAnsi="宋体" w:cs="Times New Roman"/>
                <w:color w:val="auto"/>
                <w:sz w:val="24"/>
                <w:lang w:val="en-US" w:eastAsia="zh-CN"/>
              </w:rPr>
              <w:t>次</w:t>
            </w:r>
            <w:r>
              <w:rPr>
                <w:rFonts w:hint="eastAsia" w:ascii="Times New Roman" w:hAnsi="宋体" w:cs="Times New Roman"/>
                <w:color w:val="auto"/>
                <w:sz w:val="24"/>
              </w:rPr>
              <w:t>探矿项目分为主体工程、辅助工程、公用工程和环保工程。本项目组成内容见表</w:t>
            </w:r>
            <w:r>
              <w:rPr>
                <w:rFonts w:hint="eastAsia" w:ascii="Times New Roman" w:hAnsi="宋体" w:cs="Times New Roman"/>
                <w:color w:val="auto"/>
                <w:sz w:val="24"/>
                <w:lang w:val="en-US" w:eastAsia="zh-CN"/>
              </w:rPr>
              <w:t>2</w:t>
            </w:r>
            <w:r>
              <w:rPr>
                <w:rFonts w:hint="eastAsia" w:ascii="Times New Roman" w:hAnsi="宋体" w:cs="Times New Roman"/>
                <w:color w:val="auto"/>
                <w:sz w:val="24"/>
              </w:rPr>
              <w:t>-4。</w:t>
            </w:r>
          </w:p>
          <w:p w14:paraId="6BD1A9D7">
            <w:pPr>
              <w:keepNext w:val="0"/>
              <w:keepLines w:val="0"/>
              <w:suppressLineNumbers w:val="0"/>
              <w:spacing w:before="0" w:beforeAutospacing="0" w:after="0" w:afterAutospacing="0" w:line="460" w:lineRule="exact"/>
              <w:ind w:left="0" w:right="0" w:firstLine="2891" w:firstLineChars="1200"/>
              <w:rPr>
                <w:rFonts w:hint="eastAsia" w:ascii="Times New Roman" w:hAnsi="宋体" w:eastAsia="Calibri" w:cs="Times New Roman"/>
                <w:b/>
                <w:color w:val="auto"/>
                <w:sz w:val="24"/>
              </w:rPr>
            </w:pPr>
            <w:r>
              <w:rPr>
                <w:rFonts w:hint="eastAsia" w:ascii="Times New Roman" w:hAnsi="宋体" w:cs="Times New Roman"/>
                <w:b/>
                <w:color w:val="auto"/>
                <w:sz w:val="24"/>
              </w:rPr>
              <w:t>表</w:t>
            </w:r>
            <w:r>
              <w:rPr>
                <w:rFonts w:hint="eastAsia" w:ascii="Times New Roman" w:hAnsi="宋体" w:cs="Times New Roman"/>
                <w:b/>
                <w:color w:val="auto"/>
                <w:sz w:val="24"/>
                <w:lang w:val="en-US" w:eastAsia="zh-CN"/>
              </w:rPr>
              <w:t>2</w:t>
            </w:r>
            <w:r>
              <w:rPr>
                <w:rFonts w:hint="eastAsia" w:ascii="Times New Roman" w:hAnsi="宋体" w:cs="Times New Roman"/>
                <w:b/>
                <w:color w:val="auto"/>
                <w:sz w:val="24"/>
              </w:rPr>
              <w:t>-4 项目工程组成表</w:t>
            </w:r>
          </w:p>
          <w:tbl>
            <w:tblPr>
              <w:tblStyle w:val="31"/>
              <w:tblW w:w="0" w:type="auto"/>
              <w:tblInd w:w="1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73"/>
              <w:gridCol w:w="1575"/>
              <w:gridCol w:w="4270"/>
              <w:gridCol w:w="1391"/>
            </w:tblGrid>
            <w:tr w14:paraId="40B56B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248" w:type="dxa"/>
                  <w:gridSpan w:val="2"/>
                  <w:noWrap w:val="0"/>
                  <w:vAlign w:val="center"/>
                </w:tcPr>
                <w:p w14:paraId="24E77F63">
                  <w:pPr>
                    <w:keepNext w:val="0"/>
                    <w:keepLines w:val="0"/>
                    <w:suppressLineNumbers w:val="0"/>
                    <w:spacing w:before="0" w:beforeAutospacing="0" w:after="0" w:afterAutospacing="0"/>
                    <w:ind w:left="0" w:right="0"/>
                    <w:jc w:val="center"/>
                    <w:rPr>
                      <w:rFonts w:hint="eastAsia" w:ascii="Times New Roman" w:hAnsi="宋体" w:cs="Times New Roman"/>
                      <w:b/>
                      <w:color w:val="auto"/>
                      <w:szCs w:val="21"/>
                    </w:rPr>
                  </w:pPr>
                  <w:r>
                    <w:rPr>
                      <w:rFonts w:hint="eastAsia" w:ascii="Times New Roman" w:hAnsi="宋体" w:cs="Times New Roman"/>
                      <w:b/>
                      <w:color w:val="auto"/>
                      <w:szCs w:val="21"/>
                    </w:rPr>
                    <w:t>项目组成</w:t>
                  </w:r>
                </w:p>
              </w:tc>
              <w:tc>
                <w:tcPr>
                  <w:tcW w:w="4270" w:type="dxa"/>
                  <w:noWrap w:val="0"/>
                  <w:vAlign w:val="center"/>
                </w:tcPr>
                <w:p w14:paraId="6DB89D9B">
                  <w:pPr>
                    <w:keepNext w:val="0"/>
                    <w:keepLines w:val="0"/>
                    <w:suppressLineNumbers w:val="0"/>
                    <w:spacing w:before="0" w:beforeAutospacing="0" w:after="0" w:afterAutospacing="0"/>
                    <w:ind w:left="0" w:right="0"/>
                    <w:jc w:val="center"/>
                    <w:rPr>
                      <w:rFonts w:hint="eastAsia" w:ascii="Times New Roman" w:hAnsi="宋体" w:cs="Times New Roman"/>
                      <w:b/>
                      <w:color w:val="auto"/>
                      <w:szCs w:val="21"/>
                    </w:rPr>
                  </w:pPr>
                  <w:r>
                    <w:rPr>
                      <w:rFonts w:hint="eastAsia" w:ascii="Times New Roman" w:hAnsi="宋体" w:cs="Times New Roman"/>
                      <w:b/>
                      <w:color w:val="auto"/>
                      <w:szCs w:val="21"/>
                    </w:rPr>
                    <w:t>主要工程内容</w:t>
                  </w:r>
                </w:p>
              </w:tc>
              <w:tc>
                <w:tcPr>
                  <w:tcW w:w="1391" w:type="dxa"/>
                  <w:noWrap w:val="0"/>
                  <w:vAlign w:val="center"/>
                </w:tcPr>
                <w:p w14:paraId="5D70E4FF">
                  <w:pPr>
                    <w:keepNext w:val="0"/>
                    <w:keepLines w:val="0"/>
                    <w:suppressLineNumbers w:val="0"/>
                    <w:spacing w:before="0" w:beforeAutospacing="0" w:after="0" w:afterAutospacing="0"/>
                    <w:ind w:left="0" w:right="0"/>
                    <w:jc w:val="center"/>
                    <w:rPr>
                      <w:rFonts w:hint="eastAsia" w:ascii="Times New Roman" w:hAnsi="宋体" w:eastAsia="Calibri" w:cs="Times New Roman"/>
                      <w:b/>
                      <w:color w:val="auto"/>
                      <w:szCs w:val="21"/>
                    </w:rPr>
                  </w:pPr>
                  <w:r>
                    <w:rPr>
                      <w:rFonts w:hint="eastAsia" w:ascii="Times New Roman" w:hAnsi="宋体" w:cs="Times New Roman"/>
                      <w:b/>
                      <w:color w:val="auto"/>
                      <w:szCs w:val="21"/>
                    </w:rPr>
                    <w:t>备注</w:t>
                  </w:r>
                </w:p>
              </w:tc>
            </w:tr>
            <w:tr w14:paraId="74072C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73" w:type="dxa"/>
                  <w:noWrap w:val="0"/>
                  <w:vAlign w:val="center"/>
                </w:tcPr>
                <w:p w14:paraId="429F091D">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rPr>
                    <w:t>主体</w:t>
                  </w:r>
                </w:p>
                <w:p w14:paraId="4E3B7EA7">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rPr>
                    <w:t>工程</w:t>
                  </w:r>
                </w:p>
              </w:tc>
              <w:tc>
                <w:tcPr>
                  <w:tcW w:w="1575" w:type="dxa"/>
                  <w:noWrap w:val="0"/>
                  <w:vAlign w:val="center"/>
                </w:tcPr>
                <w:p w14:paraId="138FF1C9">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rPr>
                    <w:t>探矿工程</w:t>
                  </w:r>
                </w:p>
              </w:tc>
              <w:tc>
                <w:tcPr>
                  <w:tcW w:w="4270" w:type="dxa"/>
                  <w:noWrap w:val="0"/>
                  <w:vAlign w:val="center"/>
                </w:tcPr>
                <w:p w14:paraId="27B9B31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color w:val="auto"/>
                      <w:kern w:val="0"/>
                      <w:sz w:val="21"/>
                      <w:szCs w:val="21"/>
                      <w:highlight w:val="none"/>
                    </w:rPr>
                    <w:t>采用钻孔工程对</w:t>
                  </w:r>
                  <w:r>
                    <w:rPr>
                      <w:rFonts w:hint="eastAsia" w:ascii="Times New Roman" w:hAnsi="Times New Roman" w:eastAsia="宋体" w:cs="Times New Roman"/>
                      <w:color w:val="auto"/>
                      <w:kern w:val="0"/>
                      <w:sz w:val="21"/>
                      <w:szCs w:val="21"/>
                      <w:highlight w:val="none"/>
                      <w:lang w:eastAsia="zh-CN"/>
                    </w:rPr>
                    <w:t>Ⅶ</w:t>
                  </w:r>
                  <w:r>
                    <w:rPr>
                      <w:rFonts w:hint="eastAsia" w:ascii="Times New Roman" w:hAnsi="Times New Roman" w:eastAsia="宋体" w:cs="Times New Roman"/>
                      <w:color w:val="auto"/>
                      <w:kern w:val="0"/>
                      <w:sz w:val="21"/>
                      <w:szCs w:val="21"/>
                      <w:highlight w:val="none"/>
                    </w:rPr>
                    <w:t>矿体进行控制</w:t>
                  </w: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设计钻探工作量为131100米，设计钻孔41个。</w:t>
                  </w:r>
                </w:p>
              </w:tc>
              <w:tc>
                <w:tcPr>
                  <w:tcW w:w="1391" w:type="dxa"/>
                  <w:noWrap w:val="0"/>
                  <w:vAlign w:val="center"/>
                </w:tcPr>
                <w:p w14:paraId="15412FFA">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rPr>
                    <w:t>新建</w:t>
                  </w:r>
                </w:p>
              </w:tc>
            </w:tr>
            <w:tr w14:paraId="775F9F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73" w:type="dxa"/>
                  <w:noWrap w:val="0"/>
                  <w:vAlign w:val="center"/>
                </w:tcPr>
                <w:p w14:paraId="072EC6B1">
                  <w:pPr>
                    <w:keepNext w:val="0"/>
                    <w:keepLines w:val="0"/>
                    <w:suppressLineNumbers w:val="0"/>
                    <w:spacing w:before="0" w:beforeAutospacing="0" w:after="0" w:afterAutospacing="0"/>
                    <w:ind w:left="0" w:right="0"/>
                    <w:jc w:val="center"/>
                    <w:rPr>
                      <w:rFonts w:hint="default" w:ascii="Times New Roman" w:hAnsi="宋体" w:eastAsia="宋体" w:cs="Times New Roman"/>
                      <w:bCs/>
                      <w:color w:val="auto"/>
                      <w:szCs w:val="21"/>
                      <w:lang w:val="en-US" w:eastAsia="zh-CN"/>
                    </w:rPr>
                  </w:pPr>
                  <w:r>
                    <w:rPr>
                      <w:rFonts w:hint="eastAsia" w:ascii="Times New Roman" w:hAnsi="宋体" w:cs="Times New Roman"/>
                      <w:bCs/>
                      <w:color w:val="auto"/>
                      <w:szCs w:val="21"/>
                      <w:lang w:val="en-US" w:eastAsia="zh-CN"/>
                    </w:rPr>
                    <w:t>辅助工程</w:t>
                  </w:r>
                </w:p>
              </w:tc>
              <w:tc>
                <w:tcPr>
                  <w:tcW w:w="1575" w:type="dxa"/>
                  <w:noWrap w:val="0"/>
                  <w:vAlign w:val="center"/>
                </w:tcPr>
                <w:p w14:paraId="3E630FBA">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rPr>
                    <w:t>办公生活区</w:t>
                  </w:r>
                </w:p>
              </w:tc>
              <w:tc>
                <w:tcPr>
                  <w:tcW w:w="4270" w:type="dxa"/>
                  <w:noWrap w:val="0"/>
                  <w:vAlign w:val="center"/>
                </w:tcPr>
                <w:p w14:paraId="4B21F790">
                  <w:pPr>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bCs/>
                      <w:color w:val="auto"/>
                      <w:szCs w:val="21"/>
                    </w:rPr>
                  </w:pPr>
                  <w:r>
                    <w:rPr>
                      <w:rFonts w:hint="eastAsia" w:ascii="Times New Roman" w:hAnsi="Times New Roman" w:cs="Times New Roman"/>
                      <w:bCs/>
                      <w:color w:val="auto"/>
                      <w:szCs w:val="21"/>
                    </w:rPr>
                    <w:t>利用现有的办公生活区，主要建设有</w:t>
                  </w:r>
                  <w:r>
                    <w:rPr>
                      <w:rFonts w:hint="default" w:ascii="Calibri" w:hAnsi="Calibri" w:cs="Times New Roman"/>
                      <w:color w:val="auto"/>
                      <w:szCs w:val="21"/>
                    </w:rPr>
                    <w:t>办公室、食堂、宿舍等简单瓦房</w:t>
                  </w:r>
                </w:p>
              </w:tc>
              <w:tc>
                <w:tcPr>
                  <w:tcW w:w="1391" w:type="dxa"/>
                  <w:noWrap w:val="0"/>
                  <w:vAlign w:val="center"/>
                </w:tcPr>
                <w:p w14:paraId="116432E0">
                  <w:pPr>
                    <w:keepNext w:val="0"/>
                    <w:keepLines w:val="0"/>
                    <w:suppressLineNumbers w:val="0"/>
                    <w:spacing w:before="0" w:beforeAutospacing="0" w:after="0" w:afterAutospacing="0"/>
                    <w:ind w:left="0" w:right="0"/>
                    <w:jc w:val="center"/>
                    <w:rPr>
                      <w:rFonts w:hint="default" w:ascii="Times New Roman" w:hAnsi="宋体" w:eastAsia="宋体" w:cs="Times New Roman"/>
                      <w:bCs/>
                      <w:color w:val="auto"/>
                      <w:szCs w:val="21"/>
                      <w:lang w:val="en-US" w:eastAsia="zh-CN"/>
                    </w:rPr>
                  </w:pPr>
                  <w:r>
                    <w:rPr>
                      <w:rFonts w:hint="eastAsia" w:ascii="Times New Roman" w:hAnsi="宋体" w:cs="Times New Roman"/>
                      <w:bCs/>
                      <w:color w:val="auto"/>
                      <w:szCs w:val="21"/>
                    </w:rPr>
                    <w:t>依托</w:t>
                  </w:r>
                  <w:r>
                    <w:rPr>
                      <w:rFonts w:hint="eastAsia" w:ascii="Times New Roman" w:hAnsi="宋体" w:cs="Times New Roman"/>
                      <w:bCs/>
                      <w:color w:val="auto"/>
                      <w:szCs w:val="21"/>
                      <w:lang w:val="en-US" w:eastAsia="zh-CN"/>
                    </w:rPr>
                    <w:t>矿区现有</w:t>
                  </w:r>
                </w:p>
              </w:tc>
            </w:tr>
            <w:tr w14:paraId="397992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73" w:type="dxa"/>
                  <w:vMerge w:val="restart"/>
                  <w:noWrap w:val="0"/>
                  <w:vAlign w:val="center"/>
                </w:tcPr>
                <w:p w14:paraId="530E8764">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rPr>
                    <w:t>公用工程</w:t>
                  </w:r>
                </w:p>
              </w:tc>
              <w:tc>
                <w:tcPr>
                  <w:tcW w:w="1575" w:type="dxa"/>
                  <w:noWrap w:val="0"/>
                  <w:vAlign w:val="center"/>
                </w:tcPr>
                <w:p w14:paraId="3AB84612">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rPr>
                    <w:t>给水系统</w:t>
                  </w:r>
                </w:p>
              </w:tc>
              <w:tc>
                <w:tcPr>
                  <w:tcW w:w="4270" w:type="dxa"/>
                  <w:noWrap w:val="0"/>
                  <w:vAlign w:val="center"/>
                </w:tcPr>
                <w:p w14:paraId="02A08928">
                  <w:pPr>
                    <w:keepNext w:val="0"/>
                    <w:keepLines w:val="0"/>
                    <w:suppressLineNumbers w:val="0"/>
                    <w:spacing w:before="0" w:beforeAutospacing="0" w:after="0" w:afterAutospacing="0"/>
                    <w:ind w:left="0" w:right="0"/>
                    <w:jc w:val="center"/>
                    <w:rPr>
                      <w:rFonts w:hint="default" w:ascii="Times New Roman" w:hAnsi="宋体" w:eastAsia="宋体" w:cs="Times New Roman"/>
                      <w:bCs/>
                      <w:color w:val="auto"/>
                      <w:szCs w:val="21"/>
                      <w:lang w:val="en-US" w:eastAsia="zh-CN"/>
                    </w:rPr>
                  </w:pPr>
                  <w:r>
                    <w:rPr>
                      <w:rFonts w:hint="eastAsia" w:ascii="Times New Roman" w:hAnsi="宋体" w:cs="Times New Roman"/>
                      <w:bCs/>
                      <w:color w:val="auto"/>
                      <w:szCs w:val="21"/>
                    </w:rPr>
                    <w:t>生活用水山泉水，生产用水就近抽取</w:t>
                  </w:r>
                  <w:r>
                    <w:rPr>
                      <w:rFonts w:hint="eastAsia" w:ascii="Times New Roman" w:hAnsi="宋体" w:cs="Times New Roman"/>
                      <w:bCs/>
                      <w:color w:val="auto"/>
                      <w:szCs w:val="21"/>
                      <w:lang w:val="en-US" w:eastAsia="zh-CN"/>
                    </w:rPr>
                    <w:t>淋滤水池水使用</w:t>
                  </w:r>
                </w:p>
              </w:tc>
              <w:tc>
                <w:tcPr>
                  <w:tcW w:w="1391" w:type="dxa"/>
                  <w:noWrap w:val="0"/>
                  <w:vAlign w:val="center"/>
                </w:tcPr>
                <w:p w14:paraId="405CCC9C">
                  <w:pPr>
                    <w:keepNext w:val="0"/>
                    <w:keepLines w:val="0"/>
                    <w:suppressLineNumbers w:val="0"/>
                    <w:spacing w:before="0" w:beforeAutospacing="0" w:after="0" w:afterAutospacing="0"/>
                    <w:ind w:left="0" w:right="0"/>
                    <w:jc w:val="center"/>
                    <w:rPr>
                      <w:rFonts w:hint="eastAsia" w:ascii="Times New Roman" w:hAnsi="宋体" w:eastAsia="Calibri" w:cs="Times New Roman"/>
                      <w:bCs/>
                      <w:color w:val="auto"/>
                      <w:szCs w:val="21"/>
                    </w:rPr>
                  </w:pPr>
                  <w:r>
                    <w:rPr>
                      <w:rFonts w:hint="eastAsia" w:ascii="Times New Roman" w:hAnsi="宋体" w:cs="Times New Roman"/>
                      <w:bCs/>
                      <w:color w:val="auto"/>
                      <w:szCs w:val="21"/>
                    </w:rPr>
                    <w:t>依托现有</w:t>
                  </w:r>
                </w:p>
              </w:tc>
            </w:tr>
            <w:tr w14:paraId="541C08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73" w:type="dxa"/>
                  <w:vMerge w:val="continue"/>
                  <w:noWrap w:val="0"/>
                  <w:vAlign w:val="center"/>
                </w:tcPr>
                <w:p w14:paraId="44EDC77B">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p>
              </w:tc>
              <w:tc>
                <w:tcPr>
                  <w:tcW w:w="1575" w:type="dxa"/>
                  <w:noWrap w:val="0"/>
                  <w:vAlign w:val="center"/>
                </w:tcPr>
                <w:p w14:paraId="50E20A0E">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rPr>
                    <w:t>供电系统</w:t>
                  </w:r>
                </w:p>
              </w:tc>
              <w:tc>
                <w:tcPr>
                  <w:tcW w:w="4270" w:type="dxa"/>
                  <w:noWrap w:val="0"/>
                  <w:vAlign w:val="center"/>
                </w:tcPr>
                <w:p w14:paraId="3D4A0584">
                  <w:pPr>
                    <w:keepNext w:val="0"/>
                    <w:keepLines w:val="0"/>
                    <w:suppressLineNumbers w:val="0"/>
                    <w:adjustRightInd w:val="0"/>
                    <w:snapToGrid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rPr>
                    <w:t>生活用电由农村电网供给，依托现有设施；生产用电拟采用由柴油发电机发电</w:t>
                  </w:r>
                </w:p>
              </w:tc>
              <w:tc>
                <w:tcPr>
                  <w:tcW w:w="1391" w:type="dxa"/>
                  <w:noWrap w:val="0"/>
                  <w:vAlign w:val="center"/>
                </w:tcPr>
                <w:p w14:paraId="64BF1E70">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rPr>
                    <w:t>/</w:t>
                  </w:r>
                </w:p>
              </w:tc>
            </w:tr>
            <w:tr w14:paraId="204C30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673" w:type="dxa"/>
                  <w:vMerge w:val="continue"/>
                  <w:noWrap w:val="0"/>
                  <w:vAlign w:val="center"/>
                </w:tcPr>
                <w:p w14:paraId="1C8C4844">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p>
              </w:tc>
              <w:tc>
                <w:tcPr>
                  <w:tcW w:w="1575" w:type="dxa"/>
                  <w:noWrap w:val="0"/>
                  <w:vAlign w:val="center"/>
                </w:tcPr>
                <w:p w14:paraId="47F21046">
                  <w:pPr>
                    <w:keepNext w:val="0"/>
                    <w:keepLines w:val="0"/>
                    <w:suppressLineNumbers w:val="0"/>
                    <w:spacing w:before="0" w:beforeAutospacing="0" w:after="0" w:afterAutospacing="0"/>
                    <w:ind w:left="0" w:right="0"/>
                    <w:jc w:val="center"/>
                    <w:rPr>
                      <w:rFonts w:hint="eastAsia" w:ascii="Times New Roman" w:hAnsi="宋体" w:eastAsia="Calibri" w:cs="Times New Roman"/>
                      <w:bCs/>
                      <w:color w:val="auto"/>
                      <w:szCs w:val="21"/>
                    </w:rPr>
                  </w:pPr>
                  <w:r>
                    <w:rPr>
                      <w:rFonts w:hint="eastAsia" w:ascii="Times New Roman" w:hAnsi="宋体" w:cs="Times New Roman"/>
                      <w:bCs/>
                      <w:color w:val="auto"/>
                      <w:szCs w:val="21"/>
                    </w:rPr>
                    <w:t>矿区道路</w:t>
                  </w:r>
                </w:p>
              </w:tc>
              <w:tc>
                <w:tcPr>
                  <w:tcW w:w="4270" w:type="dxa"/>
                  <w:noWrap w:val="0"/>
                  <w:vAlign w:val="center"/>
                </w:tcPr>
                <w:p w14:paraId="4086EB06">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rPr>
                    <w:t>工作区已有简易</w:t>
                  </w:r>
                  <w:r>
                    <w:rPr>
                      <w:rFonts w:hint="eastAsia" w:ascii="Times New Roman" w:hAnsi="宋体" w:cs="Times New Roman"/>
                      <w:bCs/>
                      <w:color w:val="auto"/>
                      <w:szCs w:val="21"/>
                      <w:lang w:val="en-US" w:eastAsia="zh-CN"/>
                    </w:rPr>
                    <w:t>道路</w:t>
                  </w:r>
                  <w:r>
                    <w:rPr>
                      <w:rFonts w:hint="eastAsia" w:ascii="Times New Roman" w:hAnsi="宋体" w:cs="Times New Roman"/>
                      <w:bCs/>
                      <w:color w:val="auto"/>
                      <w:szCs w:val="21"/>
                    </w:rPr>
                    <w:t>通往</w:t>
                  </w:r>
                </w:p>
              </w:tc>
              <w:tc>
                <w:tcPr>
                  <w:tcW w:w="1391" w:type="dxa"/>
                  <w:noWrap w:val="0"/>
                  <w:vAlign w:val="center"/>
                </w:tcPr>
                <w:p w14:paraId="181907E8">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lang w:val="en-US" w:eastAsia="zh-CN"/>
                    </w:rPr>
                    <w:t>依托矿区现有</w:t>
                  </w:r>
                </w:p>
              </w:tc>
            </w:tr>
            <w:tr w14:paraId="6C2FBE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73" w:type="dxa"/>
                  <w:vMerge w:val="restart"/>
                  <w:noWrap w:val="0"/>
                  <w:vAlign w:val="center"/>
                </w:tcPr>
                <w:p w14:paraId="541486A7">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rPr>
                    <w:t>环保工程</w:t>
                  </w:r>
                </w:p>
              </w:tc>
              <w:tc>
                <w:tcPr>
                  <w:tcW w:w="1575" w:type="dxa"/>
                  <w:vMerge w:val="restart"/>
                  <w:noWrap w:val="0"/>
                  <w:vAlign w:val="center"/>
                </w:tcPr>
                <w:p w14:paraId="4D975862">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rPr>
                    <w:t>废水</w:t>
                  </w:r>
                </w:p>
              </w:tc>
              <w:tc>
                <w:tcPr>
                  <w:tcW w:w="4270" w:type="dxa"/>
                  <w:noWrap w:val="0"/>
                  <w:vAlign w:val="center"/>
                </w:tcPr>
                <w:p w14:paraId="2B14F66E">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r>
                    <w:rPr>
                      <w:rFonts w:hint="default" w:ascii="Times New Roman" w:hAnsi="Times New Roman" w:cs="Times New Roman"/>
                      <w:color w:val="auto"/>
                      <w:szCs w:val="21"/>
                    </w:rPr>
                    <w:t>生活污水经</w:t>
                  </w:r>
                  <w:r>
                    <w:rPr>
                      <w:rFonts w:hint="eastAsia" w:ascii="Times New Roman" w:hAnsi="Times New Roman" w:cs="Times New Roman"/>
                      <w:color w:val="auto"/>
                      <w:szCs w:val="21"/>
                      <w:lang w:val="en-US" w:eastAsia="zh-CN"/>
                    </w:rPr>
                    <w:t>化粪池（容积30m</w:t>
                  </w:r>
                  <w:r>
                    <w:rPr>
                      <w:rFonts w:hint="eastAsia" w:ascii="Times New Roman" w:hAnsi="Times New Roman" w:cs="Times New Roman"/>
                      <w:color w:val="auto"/>
                      <w:szCs w:val="21"/>
                      <w:vertAlign w:val="superscript"/>
                      <w:lang w:val="en-US" w:eastAsia="zh-CN"/>
                    </w:rPr>
                    <w:t>3</w:t>
                  </w:r>
                  <w:r>
                    <w:rPr>
                      <w:rFonts w:hint="eastAsia" w:ascii="Times New Roman" w:hAnsi="Times New Roman" w:cs="Times New Roman"/>
                      <w:color w:val="auto"/>
                      <w:szCs w:val="21"/>
                      <w:lang w:val="en-US" w:eastAsia="zh-CN"/>
                    </w:rPr>
                    <w:t>）</w:t>
                  </w:r>
                  <w:r>
                    <w:rPr>
                      <w:rFonts w:hint="eastAsia" w:ascii="Times New Roman" w:hAnsi="Times New Roman" w:cs="Times New Roman"/>
                      <w:color w:val="auto"/>
                      <w:szCs w:val="21"/>
                    </w:rPr>
                    <w:t>沉淀发酵后定期清掏</w:t>
                  </w:r>
                  <w:r>
                    <w:rPr>
                      <w:rFonts w:hint="default" w:ascii="Times New Roman" w:hAnsi="Times New Roman" w:cs="Times New Roman"/>
                      <w:color w:val="auto"/>
                      <w:szCs w:val="21"/>
                    </w:rPr>
                    <w:t>用于周围林地施肥</w:t>
                  </w:r>
                </w:p>
              </w:tc>
              <w:tc>
                <w:tcPr>
                  <w:tcW w:w="1391" w:type="dxa"/>
                  <w:noWrap w:val="0"/>
                  <w:vAlign w:val="center"/>
                </w:tcPr>
                <w:p w14:paraId="38BC67E2">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lang w:val="en-US" w:eastAsia="zh-CN"/>
                    </w:rPr>
                    <w:t>依托矿区现有</w:t>
                  </w:r>
                </w:p>
              </w:tc>
            </w:tr>
            <w:tr w14:paraId="7FABFA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73" w:type="dxa"/>
                  <w:vMerge w:val="continue"/>
                  <w:noWrap w:val="0"/>
                  <w:vAlign w:val="center"/>
                </w:tcPr>
                <w:p w14:paraId="24986D9E">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p>
              </w:tc>
              <w:tc>
                <w:tcPr>
                  <w:tcW w:w="1575" w:type="dxa"/>
                  <w:vMerge w:val="continue"/>
                  <w:noWrap w:val="0"/>
                  <w:vAlign w:val="center"/>
                </w:tcPr>
                <w:p w14:paraId="693E32ED">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p>
              </w:tc>
              <w:tc>
                <w:tcPr>
                  <w:tcW w:w="4270" w:type="dxa"/>
                  <w:noWrap w:val="0"/>
                  <w:vAlign w:val="center"/>
                </w:tcPr>
                <w:p w14:paraId="7EF3347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ascii="宋体" w:hAnsi="宋体" w:cs="Arial"/>
                      <w:color w:val="auto"/>
                      <w:sz w:val="22"/>
                      <w:szCs w:val="20"/>
                      <w:lang w:bidi="ar"/>
                    </w:rPr>
                    <w:t>每个钻探设置</w:t>
                  </w:r>
                  <w:r>
                    <w:rPr>
                      <w:rFonts w:hint="default" w:ascii="Times New Roman" w:hAnsi="Times New Roman" w:eastAsia="Times New Roman" w:cs="Arial"/>
                      <w:color w:val="auto"/>
                      <w:sz w:val="22"/>
                      <w:szCs w:val="20"/>
                      <w:lang w:bidi="ar"/>
                    </w:rPr>
                    <w:t>1</w:t>
                  </w:r>
                  <w:r>
                    <w:rPr>
                      <w:rFonts w:hint="eastAsia" w:ascii="宋体" w:hAnsi="宋体" w:cs="Arial"/>
                      <w:color w:val="auto"/>
                      <w:sz w:val="22"/>
                      <w:szCs w:val="20"/>
                      <w:lang w:bidi="ar"/>
                    </w:rPr>
                    <w:t>个容积</w:t>
                  </w:r>
                  <w:r>
                    <w:rPr>
                      <w:rFonts w:hint="default" w:ascii="Times New Roman" w:hAnsi="Times New Roman" w:cs="Times New Roman"/>
                      <w:color w:val="auto"/>
                      <w:sz w:val="22"/>
                      <w:szCs w:val="20"/>
                      <w:lang w:bidi="ar"/>
                    </w:rPr>
                    <w:t>为</w:t>
                  </w:r>
                  <w:r>
                    <w:rPr>
                      <w:rFonts w:hint="default" w:ascii="Times New Roman" w:hAnsi="Times New Roman" w:cs="Times New Roman"/>
                      <w:color w:val="auto"/>
                      <w:sz w:val="22"/>
                      <w:szCs w:val="20"/>
                      <w:lang w:val="en-US" w:eastAsia="zh-CN" w:bidi="ar"/>
                    </w:rPr>
                    <w:t>1.0</w:t>
                  </w:r>
                  <w:r>
                    <w:rPr>
                      <w:rFonts w:hint="default" w:ascii="Times New Roman" w:hAnsi="Times New Roman" w:eastAsia="Times New Roman" w:cs="Times New Roman"/>
                      <w:color w:val="auto"/>
                      <w:sz w:val="22"/>
                      <w:szCs w:val="20"/>
                      <w:lang w:bidi="ar"/>
                    </w:rPr>
                    <w:t>m</w:t>
                  </w:r>
                  <w:r>
                    <w:rPr>
                      <w:rFonts w:hint="default" w:ascii="Times New Roman" w:hAnsi="Times New Roman" w:eastAsia="宋体" w:cs="Times New Roman"/>
                      <w:color w:val="auto"/>
                      <w:sz w:val="22"/>
                      <w:szCs w:val="20"/>
                      <w:vertAlign w:val="superscript"/>
                      <w:lang w:val="en-US" w:eastAsia="zh-CN" w:bidi="ar"/>
                    </w:rPr>
                    <w:t>3</w:t>
                  </w:r>
                  <w:r>
                    <w:rPr>
                      <w:rFonts w:hint="default" w:ascii="Times New Roman" w:hAnsi="Times New Roman" w:cs="Times New Roman"/>
                      <w:color w:val="auto"/>
                      <w:sz w:val="22"/>
                      <w:szCs w:val="20"/>
                      <w:lang w:bidi="ar"/>
                    </w:rPr>
                    <w:t>的沉淀池；钻探平台周围设置截排水沟</w:t>
                  </w:r>
                  <w:r>
                    <w:rPr>
                      <w:rFonts w:hint="default" w:ascii="Times New Roman" w:hAnsi="Times New Roman" w:cs="Times New Roman"/>
                      <w:color w:val="auto"/>
                      <w:sz w:val="22"/>
                      <w:szCs w:val="20"/>
                      <w:lang w:eastAsia="zh-CN" w:bidi="ar"/>
                    </w:rPr>
                    <w:t>。</w:t>
                  </w:r>
                </w:p>
              </w:tc>
              <w:tc>
                <w:tcPr>
                  <w:tcW w:w="1391" w:type="dxa"/>
                  <w:noWrap w:val="0"/>
                  <w:vAlign w:val="center"/>
                </w:tcPr>
                <w:p w14:paraId="5C1B9107">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rPr>
                    <w:t>新建</w:t>
                  </w:r>
                </w:p>
              </w:tc>
            </w:tr>
            <w:tr w14:paraId="5D74EF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73" w:type="dxa"/>
                  <w:vMerge w:val="continue"/>
                  <w:noWrap w:val="0"/>
                  <w:vAlign w:val="center"/>
                </w:tcPr>
                <w:p w14:paraId="72A5A722">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p>
              </w:tc>
              <w:tc>
                <w:tcPr>
                  <w:tcW w:w="1575" w:type="dxa"/>
                  <w:noWrap w:val="0"/>
                  <w:vAlign w:val="center"/>
                </w:tcPr>
                <w:p w14:paraId="0DC01DB4">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rPr>
                    <w:t>废气</w:t>
                  </w:r>
                </w:p>
              </w:tc>
              <w:tc>
                <w:tcPr>
                  <w:tcW w:w="4270" w:type="dxa"/>
                  <w:noWrap w:val="0"/>
                  <w:vAlign w:val="center"/>
                </w:tcPr>
                <w:p w14:paraId="7EE8BD5B">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rPr>
                    <w:t>探点开挖覆土回填</w:t>
                  </w:r>
                  <w:r>
                    <w:rPr>
                      <w:rFonts w:hint="eastAsia" w:ascii="Times New Roman" w:hAnsi="宋体" w:cs="Times New Roman"/>
                      <w:bCs/>
                      <w:color w:val="auto"/>
                      <w:szCs w:val="21"/>
                      <w:lang w:eastAsia="zh-CN"/>
                    </w:rPr>
                    <w:t>，</w:t>
                  </w:r>
                  <w:r>
                    <w:rPr>
                      <w:rFonts w:hint="eastAsia" w:ascii="Times New Roman" w:hAnsi="宋体" w:cs="Times New Roman"/>
                      <w:bCs/>
                      <w:color w:val="auto"/>
                      <w:szCs w:val="21"/>
                    </w:rPr>
                    <w:t>洒水降尘</w:t>
                  </w:r>
                  <w:r>
                    <w:rPr>
                      <w:rFonts w:hint="eastAsia" w:ascii="Times New Roman" w:hAnsi="宋体" w:eastAsia="宋体" w:cs="Times New Roman"/>
                      <w:bCs/>
                      <w:color w:val="auto"/>
                      <w:szCs w:val="21"/>
                      <w:lang w:eastAsia="zh-CN"/>
                    </w:rPr>
                    <w:t>、</w:t>
                  </w:r>
                  <w:r>
                    <w:rPr>
                      <w:rFonts w:hint="eastAsia" w:ascii="Times New Roman" w:hAnsi="宋体" w:eastAsia="宋体" w:cs="Times New Roman"/>
                      <w:bCs/>
                      <w:color w:val="auto"/>
                      <w:szCs w:val="21"/>
                      <w:lang w:val="en-US" w:eastAsia="zh-CN"/>
                    </w:rPr>
                    <w:t>土工布遮盖</w:t>
                  </w:r>
                  <w:r>
                    <w:rPr>
                      <w:rFonts w:hint="eastAsia" w:ascii="Times New Roman" w:hAnsi="宋体" w:cs="Times New Roman"/>
                      <w:bCs/>
                      <w:color w:val="auto"/>
                      <w:szCs w:val="21"/>
                    </w:rPr>
                    <w:t>、</w:t>
                  </w:r>
                  <w:r>
                    <w:rPr>
                      <w:rFonts w:hint="eastAsia" w:ascii="Times New Roman" w:hAnsi="宋体" w:cs="Times New Roman"/>
                      <w:bCs/>
                      <w:color w:val="auto"/>
                      <w:szCs w:val="21"/>
                      <w:lang w:val="en-US" w:eastAsia="zh-CN"/>
                    </w:rPr>
                    <w:t>湿法作业、</w:t>
                  </w:r>
                  <w:r>
                    <w:rPr>
                      <w:rFonts w:hint="eastAsia" w:ascii="Times New Roman" w:hAnsi="宋体" w:cs="Times New Roman"/>
                      <w:bCs/>
                      <w:color w:val="auto"/>
                      <w:szCs w:val="21"/>
                    </w:rPr>
                    <w:t>避免在大风天气进行作业</w:t>
                  </w:r>
                </w:p>
              </w:tc>
              <w:tc>
                <w:tcPr>
                  <w:tcW w:w="1391" w:type="dxa"/>
                  <w:noWrap w:val="0"/>
                  <w:vAlign w:val="center"/>
                </w:tcPr>
                <w:p w14:paraId="4FE0DAAF">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rPr>
                    <w:t>新建</w:t>
                  </w:r>
                </w:p>
              </w:tc>
            </w:tr>
            <w:tr w14:paraId="63FDA8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73" w:type="dxa"/>
                  <w:vMerge w:val="continue"/>
                  <w:noWrap w:val="0"/>
                  <w:vAlign w:val="center"/>
                </w:tcPr>
                <w:p w14:paraId="74D63574">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p>
              </w:tc>
              <w:tc>
                <w:tcPr>
                  <w:tcW w:w="1575" w:type="dxa"/>
                  <w:noWrap w:val="0"/>
                  <w:vAlign w:val="center"/>
                </w:tcPr>
                <w:p w14:paraId="7FD0E0BD">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rPr>
                    <w:t>噪声</w:t>
                  </w:r>
                </w:p>
              </w:tc>
              <w:tc>
                <w:tcPr>
                  <w:tcW w:w="4270" w:type="dxa"/>
                  <w:noWrap w:val="0"/>
                  <w:vAlign w:val="center"/>
                </w:tcPr>
                <w:p w14:paraId="733B65FF">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rPr>
                    <w:t>选用低噪声设备，</w:t>
                  </w:r>
                  <w:r>
                    <w:rPr>
                      <w:rFonts w:hint="eastAsia" w:ascii="Times New Roman" w:hAnsi="宋体" w:cs="Times New Roman"/>
                      <w:bCs/>
                      <w:color w:val="auto"/>
                      <w:szCs w:val="21"/>
                      <w:lang w:val="en-US" w:eastAsia="zh-CN"/>
                    </w:rPr>
                    <w:t>设置减振基础及隔声罩壳，</w:t>
                  </w:r>
                  <w:r>
                    <w:rPr>
                      <w:rFonts w:hint="eastAsia" w:ascii="Times New Roman" w:hAnsi="宋体" w:cs="Times New Roman"/>
                      <w:bCs/>
                      <w:color w:val="auto"/>
                      <w:szCs w:val="21"/>
                    </w:rPr>
                    <w:t>合理安排探矿时间</w:t>
                  </w:r>
                </w:p>
              </w:tc>
              <w:tc>
                <w:tcPr>
                  <w:tcW w:w="1391" w:type="dxa"/>
                  <w:noWrap w:val="0"/>
                  <w:vAlign w:val="center"/>
                </w:tcPr>
                <w:p w14:paraId="73C69F2E">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rPr>
                    <w:t>/</w:t>
                  </w:r>
                </w:p>
              </w:tc>
            </w:tr>
            <w:tr w14:paraId="18D45C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73" w:type="dxa"/>
                  <w:vMerge w:val="continue"/>
                  <w:noWrap w:val="0"/>
                  <w:vAlign w:val="center"/>
                </w:tcPr>
                <w:p w14:paraId="18BE623C">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p>
              </w:tc>
              <w:tc>
                <w:tcPr>
                  <w:tcW w:w="1575" w:type="dxa"/>
                  <w:vMerge w:val="restart"/>
                  <w:noWrap w:val="0"/>
                  <w:vAlign w:val="center"/>
                </w:tcPr>
                <w:p w14:paraId="4604019D">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rPr>
                    <w:t>固废</w:t>
                  </w:r>
                </w:p>
              </w:tc>
              <w:tc>
                <w:tcPr>
                  <w:tcW w:w="4270" w:type="dxa"/>
                  <w:noWrap w:val="0"/>
                  <w:vAlign w:val="center"/>
                </w:tcPr>
                <w:p w14:paraId="0A19AF0E">
                  <w:pPr>
                    <w:keepNext w:val="0"/>
                    <w:keepLines w:val="0"/>
                    <w:suppressLineNumbers w:val="0"/>
                    <w:spacing w:before="0" w:beforeAutospacing="0" w:after="0" w:afterAutospacing="0"/>
                    <w:ind w:left="0" w:right="0"/>
                    <w:jc w:val="center"/>
                    <w:rPr>
                      <w:rFonts w:hint="eastAsia" w:ascii="Times New Roman" w:hAnsi="宋体" w:eastAsia="宋体" w:cs="Times New Roman"/>
                      <w:bCs/>
                      <w:color w:val="auto"/>
                      <w:szCs w:val="21"/>
                    </w:rPr>
                  </w:pPr>
                  <w:r>
                    <w:rPr>
                      <w:rFonts w:hint="eastAsia" w:ascii="Times New Roman" w:hAnsi="宋体" w:eastAsia="宋体" w:cs="Times New Roman"/>
                      <w:bCs/>
                      <w:color w:val="auto"/>
                      <w:szCs w:val="21"/>
                    </w:rPr>
                    <w:t>生活垃圾集中收集处置，严禁焚烧；土石方进行回填，严禁随意堆放</w:t>
                  </w:r>
                </w:p>
              </w:tc>
              <w:tc>
                <w:tcPr>
                  <w:tcW w:w="1391" w:type="dxa"/>
                  <w:noWrap w:val="0"/>
                  <w:vAlign w:val="center"/>
                </w:tcPr>
                <w:p w14:paraId="45013617">
                  <w:pPr>
                    <w:keepNext w:val="0"/>
                    <w:keepLines w:val="0"/>
                    <w:suppressLineNumbers w:val="0"/>
                    <w:spacing w:before="0" w:beforeAutospacing="0" w:after="0" w:afterAutospacing="0"/>
                    <w:ind w:left="0" w:right="0"/>
                    <w:jc w:val="center"/>
                    <w:rPr>
                      <w:rFonts w:hint="default" w:ascii="Times New Roman" w:hAnsi="宋体" w:eastAsia="宋体" w:cs="Times New Roman"/>
                      <w:bCs/>
                      <w:color w:val="auto"/>
                      <w:szCs w:val="21"/>
                      <w:lang w:val="en-US" w:eastAsia="zh-CN"/>
                    </w:rPr>
                  </w:pPr>
                  <w:r>
                    <w:rPr>
                      <w:rFonts w:hint="eastAsia" w:ascii="Times New Roman" w:hAnsi="宋体" w:cs="Times New Roman"/>
                      <w:bCs/>
                      <w:color w:val="auto"/>
                      <w:szCs w:val="21"/>
                      <w:lang w:val="en-US" w:eastAsia="zh-CN"/>
                    </w:rPr>
                    <w:t>依托矿区现有</w:t>
                  </w:r>
                </w:p>
              </w:tc>
            </w:tr>
            <w:tr w14:paraId="3E992A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73" w:type="dxa"/>
                  <w:vMerge w:val="continue"/>
                  <w:noWrap w:val="0"/>
                  <w:vAlign w:val="center"/>
                </w:tcPr>
                <w:p w14:paraId="079DD475">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p>
              </w:tc>
              <w:tc>
                <w:tcPr>
                  <w:tcW w:w="1575" w:type="dxa"/>
                  <w:vMerge w:val="continue"/>
                  <w:noWrap w:val="0"/>
                  <w:vAlign w:val="center"/>
                </w:tcPr>
                <w:p w14:paraId="28695F50">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p>
              </w:tc>
              <w:tc>
                <w:tcPr>
                  <w:tcW w:w="4270" w:type="dxa"/>
                  <w:noWrap w:val="0"/>
                  <w:vAlign w:val="center"/>
                </w:tcPr>
                <w:p w14:paraId="4D70BDF9">
                  <w:pPr>
                    <w:keepNext w:val="0"/>
                    <w:keepLines w:val="0"/>
                    <w:suppressLineNumbers w:val="0"/>
                    <w:spacing w:before="0" w:beforeAutospacing="0" w:after="0" w:afterAutospacing="0"/>
                    <w:ind w:left="0" w:right="0"/>
                    <w:jc w:val="center"/>
                    <w:rPr>
                      <w:rFonts w:hint="default" w:ascii="Times New Roman" w:hAnsi="宋体" w:eastAsia="宋体" w:cs="Times New Roman"/>
                      <w:bCs/>
                      <w:color w:val="auto"/>
                      <w:szCs w:val="21"/>
                      <w:lang w:val="en-US" w:eastAsia="zh-CN"/>
                    </w:rPr>
                  </w:pPr>
                  <w:r>
                    <w:rPr>
                      <w:rFonts w:hint="eastAsia" w:ascii="Times New Roman" w:hAnsi="宋体" w:eastAsia="宋体" w:cs="Times New Roman"/>
                      <w:bCs/>
                      <w:color w:val="auto"/>
                      <w:szCs w:val="21"/>
                      <w:lang w:val="en-US" w:eastAsia="zh-CN"/>
                    </w:rPr>
                    <w:t>在办公生活区机修车间旁设置1间5m</w:t>
                  </w:r>
                  <w:r>
                    <w:rPr>
                      <w:rFonts w:hint="eastAsia" w:ascii="Times New Roman" w:hAnsi="宋体" w:eastAsia="宋体" w:cs="Times New Roman"/>
                      <w:bCs/>
                      <w:color w:val="auto"/>
                      <w:szCs w:val="21"/>
                      <w:vertAlign w:val="superscript"/>
                      <w:lang w:val="en-US" w:eastAsia="zh-CN"/>
                    </w:rPr>
                    <w:t>2</w:t>
                  </w:r>
                  <w:r>
                    <w:rPr>
                      <w:rFonts w:hint="eastAsia" w:ascii="Times New Roman" w:hAnsi="宋体" w:eastAsia="宋体" w:cs="Times New Roman"/>
                      <w:bCs/>
                      <w:color w:val="auto"/>
                      <w:szCs w:val="21"/>
                      <w:lang w:val="en-US" w:eastAsia="zh-CN"/>
                    </w:rPr>
                    <w:t>的危废暂存间，用于储存废机油，暂存间要求进行防渗处理，并设置标识牌。</w:t>
                  </w:r>
                </w:p>
              </w:tc>
              <w:tc>
                <w:tcPr>
                  <w:tcW w:w="1391" w:type="dxa"/>
                  <w:noWrap w:val="0"/>
                  <w:vAlign w:val="center"/>
                </w:tcPr>
                <w:p w14:paraId="3508F44C">
                  <w:pPr>
                    <w:keepNext w:val="0"/>
                    <w:keepLines w:val="0"/>
                    <w:suppressLineNumbers w:val="0"/>
                    <w:spacing w:before="0" w:beforeAutospacing="0" w:after="0" w:afterAutospacing="0"/>
                    <w:ind w:left="0" w:right="0"/>
                    <w:jc w:val="center"/>
                    <w:rPr>
                      <w:rFonts w:hint="eastAsia" w:ascii="Times New Roman" w:hAnsi="宋体" w:eastAsia="宋体" w:cs="Times New Roman"/>
                      <w:bCs/>
                      <w:color w:val="auto"/>
                      <w:szCs w:val="21"/>
                      <w:lang w:val="en-US" w:eastAsia="zh-CN"/>
                    </w:rPr>
                  </w:pPr>
                  <w:r>
                    <w:rPr>
                      <w:rFonts w:hint="eastAsia" w:ascii="Times New Roman" w:hAnsi="宋体" w:cs="Times New Roman"/>
                      <w:bCs/>
                      <w:color w:val="auto"/>
                      <w:szCs w:val="21"/>
                      <w:lang w:val="en-US" w:eastAsia="zh-CN"/>
                    </w:rPr>
                    <w:t>新建</w:t>
                  </w:r>
                </w:p>
              </w:tc>
            </w:tr>
            <w:tr w14:paraId="3DD51A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73" w:type="dxa"/>
                  <w:vMerge w:val="continue"/>
                  <w:noWrap w:val="0"/>
                  <w:vAlign w:val="center"/>
                </w:tcPr>
                <w:p w14:paraId="70BBA149">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p>
              </w:tc>
              <w:tc>
                <w:tcPr>
                  <w:tcW w:w="1575" w:type="dxa"/>
                  <w:noWrap w:val="0"/>
                  <w:vAlign w:val="center"/>
                </w:tcPr>
                <w:p w14:paraId="00394339">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rPr>
                    <w:t>生态</w:t>
                  </w:r>
                </w:p>
              </w:tc>
              <w:tc>
                <w:tcPr>
                  <w:tcW w:w="4270" w:type="dxa"/>
                  <w:noWrap w:val="0"/>
                  <w:vAlign w:val="center"/>
                </w:tcPr>
                <w:p w14:paraId="343BEE23">
                  <w:pPr>
                    <w:keepNext w:val="0"/>
                    <w:keepLines w:val="0"/>
                    <w:suppressLineNumbers w:val="0"/>
                    <w:spacing w:before="0" w:beforeAutospacing="0" w:after="0" w:afterAutospacing="0"/>
                    <w:ind w:left="0" w:right="0"/>
                    <w:jc w:val="center"/>
                    <w:rPr>
                      <w:rFonts w:hint="eastAsia" w:ascii="Times New Roman" w:hAnsi="宋体" w:eastAsia="宋体" w:cs="Times New Roman"/>
                      <w:bCs/>
                      <w:color w:val="auto"/>
                      <w:szCs w:val="21"/>
                    </w:rPr>
                  </w:pPr>
                  <w:r>
                    <w:rPr>
                      <w:rFonts w:hint="eastAsia" w:ascii="Times New Roman" w:hAnsi="宋体" w:eastAsia="宋体" w:cs="Times New Roman"/>
                      <w:bCs/>
                      <w:color w:val="auto"/>
                      <w:szCs w:val="21"/>
                      <w:lang w:val="en-US" w:eastAsia="zh-CN"/>
                    </w:rPr>
                    <w:t>探矿结束后，对钻孔进行封孔， 迹地植被恢复面积为0.082hm</w:t>
                  </w:r>
                  <w:r>
                    <w:rPr>
                      <w:rFonts w:hint="eastAsia" w:ascii="Times New Roman" w:hAnsi="宋体" w:eastAsia="宋体" w:cs="Times New Roman"/>
                      <w:bCs/>
                      <w:color w:val="auto"/>
                      <w:szCs w:val="21"/>
                      <w:vertAlign w:val="superscript"/>
                      <w:lang w:val="en-US" w:eastAsia="zh-CN"/>
                    </w:rPr>
                    <w:t>2</w:t>
                  </w:r>
                  <w:r>
                    <w:rPr>
                      <w:rFonts w:hint="eastAsia" w:ascii="Times New Roman" w:hAnsi="宋体" w:eastAsia="宋体" w:cs="Times New Roman"/>
                      <w:bCs/>
                      <w:color w:val="auto"/>
                      <w:szCs w:val="21"/>
                      <w:lang w:val="en-US" w:eastAsia="zh-CN"/>
                    </w:rPr>
                    <w:t>。</w:t>
                  </w:r>
                </w:p>
              </w:tc>
              <w:tc>
                <w:tcPr>
                  <w:tcW w:w="1391" w:type="dxa"/>
                  <w:noWrap w:val="0"/>
                  <w:vAlign w:val="center"/>
                </w:tcPr>
                <w:p w14:paraId="008EEA6C">
                  <w:pPr>
                    <w:keepNext w:val="0"/>
                    <w:keepLines w:val="0"/>
                    <w:suppressLineNumbers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rPr>
                    <w:t>新建</w:t>
                  </w:r>
                </w:p>
              </w:tc>
            </w:tr>
          </w:tbl>
          <w:p w14:paraId="22B1797B">
            <w:pPr>
              <w:keepNext w:val="0"/>
              <w:keepLines w:val="0"/>
              <w:suppressLineNumbers w:val="0"/>
              <w:autoSpaceDE w:val="0"/>
              <w:spacing w:before="0" w:beforeAutospacing="0" w:after="0" w:afterAutospacing="0" w:line="360" w:lineRule="auto"/>
              <w:ind w:left="0" w:right="0"/>
              <w:outlineLvl w:val="2"/>
              <w:rPr>
                <w:rFonts w:hint="eastAsia" w:ascii="Times New Roman" w:hAnsi="Times New Roman" w:eastAsia="宋体" w:cs="Times New Roman"/>
                <w:b/>
                <w:color w:val="auto"/>
                <w:sz w:val="24"/>
                <w:highlight w:val="none"/>
                <w:lang w:val="en-US" w:eastAsia="zh-CN"/>
              </w:rPr>
            </w:pPr>
            <w:bookmarkStart w:id="35" w:name="_Toc20595"/>
            <w:r>
              <w:rPr>
                <w:rFonts w:hint="eastAsia" w:ascii="Times New Roman" w:hAnsi="Times New Roman" w:eastAsia="宋体" w:cs="Times New Roman"/>
                <w:b/>
                <w:color w:val="auto"/>
                <w:sz w:val="24"/>
                <w:highlight w:val="none"/>
                <w:lang w:val="en-US" w:eastAsia="zh-CN"/>
              </w:rPr>
              <w:t>6、公用工程</w:t>
            </w:r>
          </w:p>
          <w:p w14:paraId="72434F3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宋体"/>
                <w:color w:val="auto"/>
                <w:sz w:val="24"/>
                <w:szCs w:val="20"/>
              </w:rPr>
            </w:pPr>
            <w:r>
              <w:rPr>
                <w:rFonts w:hint="eastAsia" w:ascii="Times New Roman" w:hAnsi="Times New Roman" w:cs="宋体"/>
                <w:color w:val="auto"/>
                <w:sz w:val="24"/>
                <w:szCs w:val="20"/>
              </w:rPr>
              <w:t>（1）供水</w:t>
            </w:r>
          </w:p>
          <w:p w14:paraId="5001E8F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宋体" w:cs="Times New Roman"/>
                <w:color w:val="auto"/>
                <w:sz w:val="24"/>
              </w:rPr>
            </w:pPr>
            <w:r>
              <w:rPr>
                <w:rFonts w:hint="eastAsia" w:ascii="Times New Roman" w:hAnsi="宋体" w:cs="Times New Roman"/>
                <w:color w:val="auto"/>
                <w:sz w:val="24"/>
              </w:rPr>
              <w:t>生活水源来自矿区内的山泉水（依托现有办公生活区供水设施），可满足项目生活用水；生产用水</w:t>
            </w:r>
            <w:r>
              <w:rPr>
                <w:rFonts w:hint="eastAsia" w:ascii="Times New Roman" w:hAnsi="宋体" w:cs="Times New Roman"/>
                <w:color w:val="auto"/>
                <w:sz w:val="24"/>
                <w:lang w:val="en-US" w:eastAsia="zh-CN"/>
              </w:rPr>
              <w:t>从</w:t>
            </w:r>
            <w:r>
              <w:rPr>
                <w:rFonts w:hint="eastAsia" w:ascii="Times New Roman" w:hAnsi="宋体" w:cs="Times New Roman"/>
                <w:color w:val="auto"/>
                <w:sz w:val="24"/>
              </w:rPr>
              <w:t>矿区内的</w:t>
            </w:r>
            <w:r>
              <w:rPr>
                <w:rFonts w:hint="eastAsia" w:ascii="Times New Roman" w:hAnsi="宋体" w:cs="Times New Roman"/>
                <w:color w:val="auto"/>
                <w:sz w:val="24"/>
                <w:lang w:val="en-US" w:eastAsia="zh-CN"/>
              </w:rPr>
              <w:t>淋滤水池</w:t>
            </w:r>
            <w:r>
              <w:rPr>
                <w:rFonts w:hint="eastAsia" w:ascii="Times New Roman" w:hAnsi="宋体" w:cs="Times New Roman"/>
                <w:color w:val="auto"/>
                <w:sz w:val="24"/>
              </w:rPr>
              <w:t>抽取，输水采用软管沿地表铺设，用水泵抽取输送到</w:t>
            </w:r>
            <w:r>
              <w:rPr>
                <w:rFonts w:hint="eastAsia" w:ascii="Times New Roman" w:hAnsi="宋体" w:cs="Times New Roman"/>
                <w:color w:val="auto"/>
                <w:sz w:val="24"/>
                <w:lang w:val="en-US" w:eastAsia="zh-CN"/>
              </w:rPr>
              <w:t>钻探</w:t>
            </w:r>
            <w:r>
              <w:rPr>
                <w:rFonts w:hint="eastAsia" w:ascii="Times New Roman" w:hAnsi="宋体" w:cs="Times New Roman"/>
                <w:color w:val="auto"/>
                <w:sz w:val="24"/>
              </w:rPr>
              <w:t>平台以供生产用水，可以满足生产用水需求。</w:t>
            </w:r>
          </w:p>
          <w:p w14:paraId="00B726C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宋体"/>
                <w:color w:val="auto"/>
                <w:sz w:val="24"/>
                <w:szCs w:val="20"/>
              </w:rPr>
            </w:pPr>
            <w:r>
              <w:rPr>
                <w:rFonts w:hint="eastAsia" w:ascii="Times New Roman" w:hAnsi="Times New Roman" w:cs="宋体"/>
                <w:color w:val="auto"/>
                <w:sz w:val="24"/>
                <w:szCs w:val="20"/>
              </w:rPr>
              <w:t>（2）排水</w:t>
            </w:r>
          </w:p>
          <w:p w14:paraId="5CCA7CFC">
            <w:pPr>
              <w:keepNext w:val="0"/>
              <w:keepLines w:val="0"/>
              <w:suppressLineNumbers w:val="0"/>
              <w:spacing w:before="0" w:beforeAutospacing="0" w:after="0" w:afterAutospacing="0" w:line="360" w:lineRule="auto"/>
              <w:ind w:left="0" w:right="0" w:firstLine="480" w:firstLineChars="200"/>
              <w:rPr>
                <w:rFonts w:hint="eastAsia" w:ascii="Times New Roman" w:hAnsi="宋体" w:cs="Times New Roman"/>
                <w:color w:val="auto"/>
                <w:sz w:val="24"/>
              </w:rPr>
            </w:pPr>
            <w:r>
              <w:rPr>
                <w:rFonts w:hint="eastAsia" w:ascii="Times New Roman" w:hAnsi="Times New Roman" w:cs="Times New Roman"/>
                <w:color w:val="auto"/>
                <w:sz w:val="24"/>
              </w:rPr>
              <w:t>本项目废水主要为生活污水、</w:t>
            </w:r>
            <w:r>
              <w:rPr>
                <w:rFonts w:hint="eastAsia" w:ascii="Times New Roman" w:hAnsi="Times New Roman" w:cs="Times New Roman"/>
                <w:color w:val="auto"/>
                <w:sz w:val="24"/>
                <w:lang w:val="en-US" w:eastAsia="zh-CN"/>
              </w:rPr>
              <w:t>钻探废水</w:t>
            </w:r>
            <w:r>
              <w:rPr>
                <w:rFonts w:hint="eastAsia" w:ascii="Times New Roman" w:hAnsi="Times New Roman" w:cs="Times New Roman"/>
                <w:color w:val="auto"/>
                <w:sz w:val="24"/>
              </w:rPr>
              <w:t>。</w:t>
            </w:r>
            <w:r>
              <w:rPr>
                <w:rFonts w:hint="default" w:ascii="Times New Roman" w:hAnsi="Times New Roman" w:cs="Times New Roman"/>
                <w:color w:val="auto"/>
                <w:sz w:val="24"/>
              </w:rPr>
              <w:t>生活污水经</w:t>
            </w:r>
            <w:r>
              <w:rPr>
                <w:rFonts w:hint="eastAsia" w:ascii="Times New Roman" w:hAnsi="Times New Roman" w:cs="Times New Roman"/>
                <w:color w:val="auto"/>
                <w:sz w:val="24"/>
                <w:lang w:val="en-US" w:eastAsia="zh-CN"/>
              </w:rPr>
              <w:t>依托办公生活区已建的化粪池</w:t>
            </w:r>
            <w:r>
              <w:rPr>
                <w:rFonts w:hint="eastAsia" w:ascii="Times New Roman" w:hAnsi="Times New Roman" w:cs="Times New Roman"/>
                <w:color w:val="auto"/>
                <w:sz w:val="24"/>
              </w:rPr>
              <w:t>沉淀发酵后定期清掏</w:t>
            </w:r>
            <w:r>
              <w:rPr>
                <w:rFonts w:hint="default" w:ascii="Times New Roman" w:hAnsi="Times New Roman" w:cs="Times New Roman"/>
                <w:color w:val="auto"/>
                <w:sz w:val="24"/>
              </w:rPr>
              <w:t>用于周围</w:t>
            </w:r>
            <w:r>
              <w:rPr>
                <w:rFonts w:hint="eastAsia" w:ascii="Times New Roman" w:hAnsi="Times New Roman" w:cs="Times New Roman"/>
                <w:color w:val="auto"/>
                <w:sz w:val="24"/>
                <w:lang w:val="en-US" w:eastAsia="zh-CN"/>
              </w:rPr>
              <w:t>山林</w:t>
            </w:r>
            <w:r>
              <w:rPr>
                <w:rFonts w:hint="default" w:ascii="Times New Roman" w:hAnsi="Times New Roman" w:cs="Times New Roman"/>
                <w:color w:val="auto"/>
                <w:sz w:val="24"/>
              </w:rPr>
              <w:t>施肥，不外排；</w:t>
            </w:r>
            <w:r>
              <w:rPr>
                <w:rFonts w:hint="eastAsia" w:ascii="Times New Roman" w:hAnsi="Times New Roman" w:cs="Times New Roman"/>
                <w:color w:val="auto"/>
                <w:sz w:val="24"/>
                <w:lang w:val="en-US" w:eastAsia="zh-CN"/>
              </w:rPr>
              <w:t>钻探过程产生的</w:t>
            </w:r>
            <w:r>
              <w:rPr>
                <w:rFonts w:hint="eastAsia" w:ascii="Times New Roman" w:hAnsi="Times New Roman" w:cs="Times New Roman"/>
                <w:color w:val="auto"/>
                <w:sz w:val="24"/>
              </w:rPr>
              <w:t>泥浆水</w:t>
            </w:r>
            <w:r>
              <w:rPr>
                <w:rFonts w:hint="default" w:ascii="Times New Roman" w:hAnsi="Times New Roman" w:cs="Times New Roman"/>
                <w:color w:val="auto"/>
                <w:sz w:val="24"/>
              </w:rPr>
              <w:t>经沉淀处理后</w:t>
            </w:r>
            <w:r>
              <w:rPr>
                <w:rFonts w:hint="eastAsia" w:ascii="Times New Roman" w:hAnsi="Times New Roman" w:cs="Times New Roman"/>
                <w:color w:val="auto"/>
                <w:sz w:val="24"/>
              </w:rPr>
              <w:t>循环使用，不外排</w:t>
            </w:r>
            <w:r>
              <w:rPr>
                <w:rFonts w:hint="eastAsia" w:ascii="Times New Roman" w:hAnsi="宋体" w:cs="Times New Roman"/>
                <w:color w:val="auto"/>
                <w:sz w:val="24"/>
              </w:rPr>
              <w:t>。</w:t>
            </w:r>
            <w:r>
              <w:rPr>
                <w:rFonts w:hint="eastAsia" w:ascii="Times New Roman" w:hAnsi="宋体" w:cs="Times New Roman"/>
                <w:color w:val="auto"/>
                <w:sz w:val="24"/>
                <w:lang w:val="en-US" w:eastAsia="zh-CN"/>
              </w:rPr>
              <w:t>待</w:t>
            </w:r>
            <w:r>
              <w:rPr>
                <w:rFonts w:hint="eastAsia" w:ascii="Times New Roman" w:hAnsi="宋体" w:cs="Times New Roman"/>
                <w:color w:val="auto"/>
                <w:sz w:val="24"/>
              </w:rPr>
              <w:t>钻探结束后剩余废水</w:t>
            </w:r>
            <w:r>
              <w:rPr>
                <w:rFonts w:hint="eastAsia" w:ascii="Times New Roman" w:hAnsi="宋体" w:cs="Times New Roman"/>
                <w:color w:val="auto"/>
                <w:sz w:val="24"/>
                <w:lang w:val="en-US" w:eastAsia="zh-CN"/>
              </w:rPr>
              <w:t>用于场地洒水降尘综合利用</w:t>
            </w:r>
            <w:r>
              <w:rPr>
                <w:rFonts w:hint="eastAsia" w:ascii="Times New Roman" w:hAnsi="宋体" w:cs="Times New Roman"/>
                <w:color w:val="auto"/>
                <w:sz w:val="24"/>
              </w:rPr>
              <w:t>。</w:t>
            </w:r>
          </w:p>
          <w:p w14:paraId="7E8C9814">
            <w:pPr>
              <w:keepNext w:val="0"/>
              <w:keepLines w:val="0"/>
              <w:suppressLineNumbers w:val="0"/>
              <w:spacing w:before="0" w:beforeAutospacing="0" w:after="0" w:afterAutospacing="0" w:line="360" w:lineRule="auto"/>
              <w:ind w:left="0" w:right="0" w:firstLine="480" w:firstLineChars="200"/>
              <w:rPr>
                <w:rFonts w:hint="eastAsia" w:ascii="Times New Roman" w:hAnsi="宋体" w:cs="Times New Roman"/>
                <w:color w:val="auto"/>
                <w:sz w:val="24"/>
              </w:rPr>
            </w:pPr>
            <w:r>
              <w:rPr>
                <w:rFonts w:hint="eastAsia" w:ascii="Times New Roman" w:hAnsi="宋体" w:cs="Times New Roman"/>
                <w:color w:val="auto"/>
                <w:sz w:val="24"/>
              </w:rPr>
              <w:t>（3）供电</w:t>
            </w:r>
          </w:p>
          <w:p w14:paraId="4D018A7B">
            <w:pPr>
              <w:keepNext w:val="0"/>
              <w:keepLines w:val="0"/>
              <w:suppressLineNumbers w:val="0"/>
              <w:spacing w:before="0" w:beforeAutospacing="0" w:after="0" w:afterAutospacing="0" w:line="360" w:lineRule="auto"/>
              <w:ind w:left="0" w:right="0" w:firstLine="470" w:firstLineChars="196"/>
              <w:rPr>
                <w:rFonts w:hint="eastAsia" w:ascii="宋体" w:hAnsi="宋体" w:eastAsia="宋体" w:cs="Times New Roman"/>
                <w:color w:val="auto"/>
                <w:sz w:val="24"/>
              </w:rPr>
            </w:pPr>
            <w:r>
              <w:rPr>
                <w:rFonts w:hint="eastAsia" w:ascii="宋体" w:hAnsi="宋体" w:eastAsia="宋体" w:cs="Times New Roman"/>
                <w:color w:val="auto"/>
                <w:sz w:val="24"/>
              </w:rPr>
              <w:t>经过调查，现有的办公生活区用电由当地农村电网供给，可满足生活需求；考虑到探矿区供电系统接入困难，本次探矿拟采取柴油发电机进行发电供生产使用。</w:t>
            </w:r>
            <w:r>
              <w:rPr>
                <w:rFonts w:hint="eastAsia" w:ascii="宋体" w:hAnsi="宋体" w:eastAsia="宋体" w:cs="Times New Roman"/>
                <w:color w:val="auto"/>
                <w:sz w:val="24"/>
                <w:lang w:val="en-US" w:eastAsia="zh-CN"/>
              </w:rPr>
              <w:t>所用柴油由勘探方从当地加油站购买，不在项目区大量储存，均能满足要求。</w:t>
            </w:r>
          </w:p>
          <w:p w14:paraId="2D62B3D4">
            <w:pPr>
              <w:keepNext w:val="0"/>
              <w:keepLines w:val="0"/>
              <w:suppressLineNumbers w:val="0"/>
              <w:spacing w:before="0" w:beforeAutospacing="0" w:after="0" w:afterAutospacing="0" w:line="360" w:lineRule="auto"/>
              <w:ind w:left="0" w:right="0" w:firstLine="480" w:firstLineChars="200"/>
              <w:rPr>
                <w:rFonts w:hint="eastAsia" w:ascii="Times New Roman" w:hAnsi="宋体" w:cs="Times New Roman"/>
                <w:color w:val="auto"/>
                <w:sz w:val="24"/>
              </w:rPr>
            </w:pPr>
            <w:r>
              <w:rPr>
                <w:rFonts w:hint="eastAsia" w:ascii="Times New Roman" w:hAnsi="宋体" w:cs="Times New Roman"/>
                <w:color w:val="auto"/>
                <w:sz w:val="24"/>
              </w:rPr>
              <w:t>（4）道路</w:t>
            </w:r>
          </w:p>
          <w:p w14:paraId="408DBB62">
            <w:pPr>
              <w:keepNext w:val="0"/>
              <w:keepLines w:val="0"/>
              <w:suppressLineNumbers w:val="0"/>
              <w:spacing w:before="0" w:beforeAutospacing="0" w:after="0" w:afterAutospacing="0" w:line="360" w:lineRule="auto"/>
              <w:ind w:left="0" w:right="0" w:firstLine="470" w:firstLineChars="196"/>
              <w:rPr>
                <w:rFonts w:hint="eastAsia" w:ascii="宋体" w:hAnsi="宋体" w:cs="Times New Roman"/>
                <w:color w:val="auto"/>
                <w:kern w:val="28"/>
                <w:sz w:val="24"/>
              </w:rPr>
            </w:pPr>
            <w:r>
              <w:rPr>
                <w:rFonts w:hint="eastAsia" w:ascii="宋体" w:hAnsi="宋体" w:cs="Times New Roman"/>
                <w:color w:val="auto"/>
                <w:sz w:val="24"/>
              </w:rPr>
              <w:t>本项目探矿采取钻探，施工点分散，各施工点规模较小，工程所需材料利用</w:t>
            </w:r>
            <w:r>
              <w:rPr>
                <w:rFonts w:hint="eastAsia" w:ascii="宋体" w:hAnsi="宋体" w:cs="Times New Roman"/>
                <w:color w:val="auto"/>
                <w:sz w:val="24"/>
                <w:lang w:val="en-US" w:eastAsia="zh-CN"/>
              </w:rPr>
              <w:t>矿区</w:t>
            </w:r>
            <w:r>
              <w:rPr>
                <w:rFonts w:hint="eastAsia" w:ascii="宋体" w:hAnsi="宋体" w:cs="Times New Roman"/>
                <w:color w:val="auto"/>
                <w:sz w:val="24"/>
              </w:rPr>
              <w:t>现有道路运送，随用随卸，不单独设置固定的大、中型施工场地，</w:t>
            </w:r>
            <w:r>
              <w:rPr>
                <w:rFonts w:hint="eastAsia" w:ascii="宋体" w:hAnsi="宋体" w:cs="Times New Roman"/>
                <w:color w:val="auto"/>
                <w:kern w:val="28"/>
                <w:sz w:val="24"/>
              </w:rPr>
              <w:t>可以满足探矿活动需求。</w:t>
            </w:r>
          </w:p>
          <w:p w14:paraId="15EE62FD">
            <w:pPr>
              <w:keepNext w:val="0"/>
              <w:keepLines w:val="0"/>
              <w:suppressLineNumbers w:val="0"/>
              <w:spacing w:before="0" w:beforeAutospacing="0" w:after="0" w:afterAutospacing="0" w:line="360" w:lineRule="auto"/>
              <w:ind w:left="0" w:right="0" w:firstLine="480" w:firstLineChars="200"/>
              <w:rPr>
                <w:rFonts w:hint="eastAsia" w:ascii="Times New Roman" w:hAnsi="宋体" w:cs="Times New Roman"/>
                <w:color w:val="auto"/>
                <w:kern w:val="28"/>
                <w:sz w:val="24"/>
              </w:rPr>
            </w:pPr>
            <w:r>
              <w:rPr>
                <w:rFonts w:hint="eastAsia" w:ascii="Times New Roman" w:hAnsi="Times New Roman" w:cs="Times New Roman"/>
                <w:color w:val="auto"/>
                <w:kern w:val="28"/>
                <w:sz w:val="24"/>
              </w:rPr>
              <w:t>（5）</w:t>
            </w:r>
            <w:r>
              <w:rPr>
                <w:rFonts w:hint="default" w:ascii="Times New Roman" w:hAnsi="宋体" w:cs="Times New Roman"/>
                <w:color w:val="auto"/>
                <w:kern w:val="28"/>
                <w:sz w:val="24"/>
              </w:rPr>
              <w:t>办公生活设施</w:t>
            </w:r>
          </w:p>
          <w:p w14:paraId="0CA33C4B">
            <w:pPr>
              <w:keepNext w:val="0"/>
              <w:keepLines w:val="0"/>
              <w:suppressLineNumbers w:val="0"/>
              <w:spacing w:before="0" w:beforeAutospacing="0" w:after="0" w:afterAutospacing="0" w:line="360" w:lineRule="auto"/>
              <w:ind w:left="0" w:right="0" w:firstLine="480" w:firstLineChars="200"/>
              <w:rPr>
                <w:rFonts w:hint="default" w:ascii="Times New Roman" w:hAnsi="宋体" w:cs="Times New Roman"/>
                <w:color w:val="auto"/>
                <w:sz w:val="24"/>
              </w:rPr>
            </w:pPr>
            <w:r>
              <w:rPr>
                <w:rFonts w:hint="eastAsia" w:ascii="Times New Roman" w:hAnsi="宋体" w:cs="Times New Roman"/>
                <w:color w:val="auto"/>
                <w:sz w:val="24"/>
              </w:rPr>
              <w:t>经过调查，</w:t>
            </w:r>
            <w:r>
              <w:rPr>
                <w:rFonts w:hint="eastAsia" w:ascii="Times New Roman" w:hAnsi="宋体" w:cs="Times New Roman"/>
                <w:color w:val="auto"/>
                <w:sz w:val="24"/>
                <w:lang w:val="en-US" w:eastAsia="zh-CN"/>
              </w:rPr>
              <w:t>该矿区</w:t>
            </w:r>
            <w:r>
              <w:rPr>
                <w:rFonts w:hint="eastAsia" w:ascii="Times New Roman" w:hAnsi="宋体" w:cs="Times New Roman"/>
                <w:color w:val="auto"/>
                <w:sz w:val="24"/>
              </w:rPr>
              <w:t>已经设置了办公生活区，本次探矿不再</w:t>
            </w:r>
            <w:r>
              <w:rPr>
                <w:rFonts w:hint="eastAsia" w:ascii="Times New Roman" w:hAnsi="宋体" w:cs="Times New Roman"/>
                <w:color w:val="auto"/>
                <w:sz w:val="24"/>
                <w:lang w:val="en-US" w:eastAsia="zh-CN"/>
              </w:rPr>
              <w:t>单独</w:t>
            </w:r>
            <w:r>
              <w:rPr>
                <w:rFonts w:hint="eastAsia" w:ascii="Times New Roman" w:hAnsi="宋体" w:cs="Times New Roman"/>
                <w:color w:val="auto"/>
                <w:sz w:val="24"/>
              </w:rPr>
              <w:t>设置，现有办公生活</w:t>
            </w:r>
            <w:r>
              <w:rPr>
                <w:rFonts w:hint="default" w:ascii="Times New Roman" w:hAnsi="宋体" w:cs="Times New Roman"/>
                <w:color w:val="auto"/>
                <w:sz w:val="24"/>
              </w:rPr>
              <w:t>区</w:t>
            </w:r>
            <w:r>
              <w:rPr>
                <w:rFonts w:hint="default" w:ascii="Calibri" w:hAnsi="Calibri" w:eastAsia="Calibri" w:cs="Times New Roman"/>
                <w:color w:val="auto"/>
                <w:sz w:val="24"/>
              </w:rPr>
              <w:t>位于矿区</w:t>
            </w:r>
            <w:r>
              <w:rPr>
                <w:rFonts w:hint="eastAsia" w:ascii="Calibri" w:hAnsi="Calibri" w:eastAsia="Calibri" w:cs="Times New Roman"/>
                <w:color w:val="auto"/>
                <w:sz w:val="24"/>
              </w:rPr>
              <w:t>麦窝坝矿区</w:t>
            </w:r>
            <w:r>
              <w:rPr>
                <w:rFonts w:hint="default" w:ascii="Calibri" w:hAnsi="Calibri" w:eastAsia="Calibri" w:cs="Times New Roman"/>
                <w:color w:val="auto"/>
                <w:sz w:val="24"/>
              </w:rPr>
              <w:t>东北部</w:t>
            </w:r>
            <w:r>
              <w:rPr>
                <w:rFonts w:hint="eastAsia" w:ascii="Calibri" w:hAnsi="Calibri" w:eastAsia="宋体" w:cs="Times New Roman"/>
                <w:color w:val="auto"/>
                <w:sz w:val="24"/>
                <w:lang w:val="en-US" w:eastAsia="zh-CN"/>
              </w:rPr>
              <w:t>500m处</w:t>
            </w:r>
            <w:r>
              <w:rPr>
                <w:rFonts w:hint="default" w:ascii="Times New Roman" w:hAnsi="宋体" w:cs="Times New Roman"/>
                <w:color w:val="auto"/>
                <w:sz w:val="24"/>
              </w:rPr>
              <w:t>。</w:t>
            </w:r>
          </w:p>
          <w:p w14:paraId="7B3136AA">
            <w:pPr>
              <w:keepNext w:val="0"/>
              <w:keepLines w:val="0"/>
              <w:suppressLineNumbers w:val="0"/>
              <w:spacing w:before="0" w:beforeAutospacing="0" w:after="0" w:afterAutospacing="0" w:line="360" w:lineRule="auto"/>
              <w:ind w:left="0" w:right="0" w:firstLine="480" w:firstLineChars="200"/>
              <w:rPr>
                <w:rFonts w:hint="eastAsia" w:ascii="Times New Roman" w:hAnsi="宋体" w:cs="Times New Roman"/>
                <w:color w:val="auto"/>
                <w:sz w:val="24"/>
              </w:rPr>
            </w:pPr>
            <w:r>
              <w:rPr>
                <w:rFonts w:hint="eastAsia" w:ascii="Times New Roman" w:hAnsi="宋体" w:cs="Times New Roman"/>
                <w:color w:val="auto"/>
                <w:sz w:val="24"/>
              </w:rPr>
              <w:t>（6）拆迁安置</w:t>
            </w:r>
          </w:p>
          <w:p w14:paraId="7E094AF7">
            <w:pPr>
              <w:keepNext w:val="0"/>
              <w:keepLines w:val="0"/>
              <w:suppressLineNumbers w:val="0"/>
              <w:spacing w:before="0" w:beforeAutospacing="0" w:after="0" w:afterAutospacing="0" w:line="360" w:lineRule="auto"/>
              <w:ind w:left="0" w:right="0" w:firstLine="480" w:firstLineChars="200"/>
              <w:rPr>
                <w:rFonts w:hint="default" w:ascii="Times New Roman" w:hAnsi="宋体" w:cs="Times New Roman"/>
                <w:color w:val="auto"/>
                <w:sz w:val="24"/>
              </w:rPr>
            </w:pPr>
            <w:r>
              <w:rPr>
                <w:rFonts w:hint="eastAsia" w:ascii="Times New Roman" w:hAnsi="宋体" w:cs="Times New Roman"/>
                <w:color w:val="auto"/>
                <w:sz w:val="24"/>
              </w:rPr>
              <w:t>本项目仅为探矿阶段，不涉及矿产开采，</w:t>
            </w:r>
            <w:r>
              <w:rPr>
                <w:rFonts w:hint="eastAsia" w:ascii="Times New Roman" w:hAnsi="Times New Roman" w:eastAsia="宋体" w:cs="Times New Roman"/>
                <w:color w:val="auto"/>
                <w:sz w:val="24"/>
                <w:szCs w:val="24"/>
                <w:lang w:val="en-US" w:eastAsia="zh-CN"/>
              </w:rPr>
              <w:t>在建设单位所有的矿区范围内进行探矿</w:t>
            </w:r>
            <w:r>
              <w:rPr>
                <w:rFonts w:hint="eastAsia" w:ascii="Times New Roman" w:hAnsi="宋体" w:cs="Times New Roman"/>
                <w:color w:val="auto"/>
                <w:sz w:val="24"/>
              </w:rPr>
              <w:t>，各探矿工作点都远离居民点，工程探矿期间不涉及拆迁。</w:t>
            </w:r>
          </w:p>
          <w:p w14:paraId="0E4366E9">
            <w:pPr>
              <w:keepNext w:val="0"/>
              <w:keepLines w:val="0"/>
              <w:numPr>
                <w:ilvl w:val="0"/>
                <w:numId w:val="0"/>
              </w:numPr>
              <w:suppressLineNumbers w:val="0"/>
              <w:autoSpaceDE w:val="0"/>
              <w:spacing w:before="0" w:beforeAutospacing="0" w:after="0" w:afterAutospacing="0" w:line="360" w:lineRule="auto"/>
              <w:ind w:left="0" w:right="0"/>
              <w:outlineLvl w:val="2"/>
              <w:rPr>
                <w:rFonts w:hint="default"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7、项目主要设备及原料使用情况</w:t>
            </w:r>
          </w:p>
          <w:p w14:paraId="7A70855D">
            <w:pPr>
              <w:pStyle w:val="2"/>
              <w:keepNext w:val="0"/>
              <w:keepLines w:val="0"/>
              <w:suppressLineNumbers w:val="0"/>
              <w:spacing w:before="0" w:beforeAutospacing="0" w:after="0" w:afterAutospacing="0"/>
              <w:ind w:left="0" w:right="0" w:firstLine="240" w:firstLineChars="100"/>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项目主要设备见表2-5、主要原材料及能源消耗见表2-6。</w:t>
            </w:r>
          </w:p>
          <w:p w14:paraId="2277408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表2-5项目探矿设备一览表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1916"/>
              <w:gridCol w:w="1585"/>
              <w:gridCol w:w="1586"/>
              <w:gridCol w:w="1586"/>
            </w:tblGrid>
            <w:tr w14:paraId="1B46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noWrap w:val="0"/>
                  <w:vAlign w:val="top"/>
                </w:tcPr>
                <w:p w14:paraId="067A8C24">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vertAlign w:val="baseline"/>
                      <w:lang w:val="en-US" w:eastAsia="zh-CN"/>
                    </w:rPr>
                  </w:pPr>
                  <w:r>
                    <w:rPr>
                      <w:rFonts w:hint="eastAsia" w:ascii="Times New Roman" w:hAnsi="Times New Roman" w:eastAsia="宋体" w:cs="Times New Roman"/>
                      <w:b/>
                      <w:color w:val="auto"/>
                      <w:sz w:val="21"/>
                      <w:szCs w:val="21"/>
                      <w:highlight w:val="none"/>
                      <w:vertAlign w:val="baseline"/>
                      <w:lang w:val="en-US" w:eastAsia="zh-CN"/>
                    </w:rPr>
                    <w:t>序号</w:t>
                  </w:r>
                </w:p>
              </w:tc>
              <w:tc>
                <w:tcPr>
                  <w:tcW w:w="1916" w:type="dxa"/>
                  <w:noWrap w:val="0"/>
                  <w:vAlign w:val="top"/>
                </w:tcPr>
                <w:p w14:paraId="14EBE1B3">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vertAlign w:val="baseline"/>
                      <w:lang w:val="en-US" w:eastAsia="zh-CN"/>
                    </w:rPr>
                  </w:pPr>
                  <w:r>
                    <w:rPr>
                      <w:rFonts w:hint="eastAsia" w:ascii="Times New Roman" w:hAnsi="Times New Roman" w:eastAsia="宋体" w:cs="Times New Roman"/>
                      <w:b/>
                      <w:color w:val="auto"/>
                      <w:sz w:val="21"/>
                      <w:szCs w:val="21"/>
                      <w:highlight w:val="none"/>
                      <w:vertAlign w:val="baseline"/>
                      <w:lang w:val="en-US" w:eastAsia="zh-CN"/>
                    </w:rPr>
                    <w:t>设备名称</w:t>
                  </w:r>
                </w:p>
              </w:tc>
              <w:tc>
                <w:tcPr>
                  <w:tcW w:w="1585" w:type="dxa"/>
                  <w:noWrap w:val="0"/>
                  <w:vAlign w:val="top"/>
                </w:tcPr>
                <w:p w14:paraId="26C93B7E">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vertAlign w:val="baseline"/>
                      <w:lang w:val="en-US" w:eastAsia="zh-CN"/>
                    </w:rPr>
                  </w:pPr>
                  <w:r>
                    <w:rPr>
                      <w:rFonts w:hint="eastAsia" w:ascii="Times New Roman" w:hAnsi="Times New Roman" w:eastAsia="宋体" w:cs="Times New Roman"/>
                      <w:b/>
                      <w:color w:val="auto"/>
                      <w:sz w:val="21"/>
                      <w:szCs w:val="21"/>
                      <w:highlight w:val="none"/>
                      <w:vertAlign w:val="baseline"/>
                      <w:lang w:val="en-US" w:eastAsia="zh-CN"/>
                    </w:rPr>
                    <w:t>型号</w:t>
                  </w:r>
                </w:p>
              </w:tc>
              <w:tc>
                <w:tcPr>
                  <w:tcW w:w="1586" w:type="dxa"/>
                  <w:noWrap w:val="0"/>
                  <w:vAlign w:val="top"/>
                </w:tcPr>
                <w:p w14:paraId="5DD7C969">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vertAlign w:val="baseline"/>
                      <w:lang w:val="en-US" w:eastAsia="zh-CN"/>
                    </w:rPr>
                  </w:pPr>
                  <w:r>
                    <w:rPr>
                      <w:rFonts w:hint="eastAsia" w:ascii="Times New Roman" w:hAnsi="Times New Roman" w:eastAsia="宋体" w:cs="Times New Roman"/>
                      <w:b/>
                      <w:color w:val="auto"/>
                      <w:sz w:val="21"/>
                      <w:szCs w:val="21"/>
                      <w:highlight w:val="none"/>
                      <w:vertAlign w:val="baseline"/>
                      <w:lang w:val="en-US" w:eastAsia="zh-CN"/>
                    </w:rPr>
                    <w:t>数量</w:t>
                  </w:r>
                </w:p>
              </w:tc>
              <w:tc>
                <w:tcPr>
                  <w:tcW w:w="1586" w:type="dxa"/>
                  <w:noWrap w:val="0"/>
                  <w:vAlign w:val="top"/>
                </w:tcPr>
                <w:p w14:paraId="639F3827">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vertAlign w:val="baseline"/>
                      <w:lang w:val="en-US" w:eastAsia="zh-CN"/>
                    </w:rPr>
                  </w:pPr>
                  <w:r>
                    <w:rPr>
                      <w:rFonts w:hint="eastAsia" w:ascii="Times New Roman" w:hAnsi="Times New Roman" w:eastAsia="宋体" w:cs="Times New Roman"/>
                      <w:b/>
                      <w:color w:val="auto"/>
                      <w:sz w:val="21"/>
                      <w:szCs w:val="21"/>
                      <w:highlight w:val="none"/>
                      <w:vertAlign w:val="baseline"/>
                      <w:lang w:val="en-US" w:eastAsia="zh-CN"/>
                    </w:rPr>
                    <w:t>备注</w:t>
                  </w:r>
                </w:p>
              </w:tc>
            </w:tr>
            <w:tr w14:paraId="03ECE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vMerge w:val="restart"/>
                  <w:noWrap w:val="0"/>
                  <w:vAlign w:val="center"/>
                </w:tcPr>
                <w:p w14:paraId="56F1FA06">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1916" w:type="dxa"/>
                  <w:vMerge w:val="restart"/>
                  <w:noWrap w:val="0"/>
                  <w:vAlign w:val="center"/>
                </w:tcPr>
                <w:p w14:paraId="0F2C47CE">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钻机</w:t>
                  </w:r>
                </w:p>
              </w:tc>
              <w:tc>
                <w:tcPr>
                  <w:tcW w:w="1585" w:type="dxa"/>
                  <w:noWrap w:val="0"/>
                  <w:vAlign w:val="center"/>
                </w:tcPr>
                <w:p w14:paraId="24AE1087">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C6C</w:t>
                  </w:r>
                </w:p>
              </w:tc>
              <w:tc>
                <w:tcPr>
                  <w:tcW w:w="1586" w:type="dxa"/>
                  <w:noWrap w:val="0"/>
                  <w:vAlign w:val="center"/>
                </w:tcPr>
                <w:p w14:paraId="64DA02F6">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 台</w:t>
                  </w:r>
                </w:p>
              </w:tc>
              <w:tc>
                <w:tcPr>
                  <w:tcW w:w="1586" w:type="dxa"/>
                  <w:noWrap w:val="0"/>
                  <w:vAlign w:val="center"/>
                </w:tcPr>
                <w:p w14:paraId="76F9A595">
                  <w:pPr>
                    <w:pStyle w:val="2"/>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vertAlign w:val="baseline"/>
                      <w:lang w:val="en-US" w:eastAsia="zh-CN"/>
                    </w:rPr>
                  </w:pPr>
                </w:p>
              </w:tc>
            </w:tr>
            <w:tr w14:paraId="7911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vMerge w:val="continue"/>
                  <w:noWrap w:val="0"/>
                  <w:vAlign w:val="center"/>
                </w:tcPr>
                <w:p w14:paraId="26F5FD78">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p>
              </w:tc>
              <w:tc>
                <w:tcPr>
                  <w:tcW w:w="1916" w:type="dxa"/>
                  <w:vMerge w:val="continue"/>
                  <w:noWrap w:val="0"/>
                  <w:vAlign w:val="center"/>
                </w:tcPr>
                <w:p w14:paraId="13AD69B2">
                  <w:pPr>
                    <w:pStyle w:val="2"/>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vertAlign w:val="baseline"/>
                      <w:lang w:val="en-US" w:eastAsia="zh-CN"/>
                    </w:rPr>
                  </w:pPr>
                </w:p>
              </w:tc>
              <w:tc>
                <w:tcPr>
                  <w:tcW w:w="1585" w:type="dxa"/>
                  <w:noWrap w:val="0"/>
                  <w:vAlign w:val="center"/>
                </w:tcPr>
                <w:p w14:paraId="03D59D46">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LF90</w:t>
                  </w:r>
                </w:p>
              </w:tc>
              <w:tc>
                <w:tcPr>
                  <w:tcW w:w="1586" w:type="dxa"/>
                  <w:noWrap w:val="0"/>
                  <w:vAlign w:val="center"/>
                </w:tcPr>
                <w:p w14:paraId="04A44EDF">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2台</w:t>
                  </w:r>
                </w:p>
              </w:tc>
              <w:tc>
                <w:tcPr>
                  <w:tcW w:w="1586" w:type="dxa"/>
                  <w:noWrap w:val="0"/>
                  <w:vAlign w:val="center"/>
                </w:tcPr>
                <w:p w14:paraId="429E0D3C">
                  <w:pPr>
                    <w:pStyle w:val="2"/>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vertAlign w:val="baseline"/>
                      <w:lang w:val="en-US" w:eastAsia="zh-CN"/>
                    </w:rPr>
                  </w:pPr>
                </w:p>
              </w:tc>
            </w:tr>
            <w:tr w14:paraId="472A5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vMerge w:val="continue"/>
                  <w:noWrap w:val="0"/>
                  <w:vAlign w:val="center"/>
                </w:tcPr>
                <w:p w14:paraId="08048E7C">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p>
              </w:tc>
              <w:tc>
                <w:tcPr>
                  <w:tcW w:w="1916" w:type="dxa"/>
                  <w:vMerge w:val="continue"/>
                  <w:noWrap w:val="0"/>
                  <w:vAlign w:val="center"/>
                </w:tcPr>
                <w:p w14:paraId="16703198">
                  <w:pPr>
                    <w:pStyle w:val="2"/>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vertAlign w:val="baseline"/>
                      <w:lang w:val="en-US" w:eastAsia="zh-CN"/>
                    </w:rPr>
                  </w:pPr>
                </w:p>
              </w:tc>
              <w:tc>
                <w:tcPr>
                  <w:tcW w:w="1585" w:type="dxa"/>
                  <w:noWrap w:val="0"/>
                  <w:vAlign w:val="center"/>
                </w:tcPr>
                <w:p w14:paraId="043D0113">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LF70</w:t>
                  </w:r>
                </w:p>
              </w:tc>
              <w:tc>
                <w:tcPr>
                  <w:tcW w:w="1586" w:type="dxa"/>
                  <w:noWrap w:val="0"/>
                  <w:vAlign w:val="center"/>
                </w:tcPr>
                <w:p w14:paraId="7191A74D">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3台</w:t>
                  </w:r>
                </w:p>
              </w:tc>
              <w:tc>
                <w:tcPr>
                  <w:tcW w:w="1586" w:type="dxa"/>
                  <w:noWrap w:val="0"/>
                  <w:vAlign w:val="center"/>
                </w:tcPr>
                <w:p w14:paraId="7DCD057B">
                  <w:pPr>
                    <w:pStyle w:val="2"/>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vertAlign w:val="baseline"/>
                      <w:lang w:val="en-US" w:eastAsia="zh-CN"/>
                    </w:rPr>
                  </w:pPr>
                </w:p>
              </w:tc>
            </w:tr>
            <w:tr w14:paraId="72441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noWrap w:val="0"/>
                  <w:vAlign w:val="center"/>
                </w:tcPr>
                <w:p w14:paraId="136E6D18">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2</w:t>
                  </w:r>
                </w:p>
              </w:tc>
              <w:tc>
                <w:tcPr>
                  <w:tcW w:w="1916" w:type="dxa"/>
                  <w:noWrap w:val="0"/>
                  <w:vAlign w:val="center"/>
                </w:tcPr>
                <w:p w14:paraId="266E9B24">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搅拌机</w:t>
                  </w:r>
                </w:p>
              </w:tc>
              <w:tc>
                <w:tcPr>
                  <w:tcW w:w="1585" w:type="dxa"/>
                  <w:noWrap w:val="0"/>
                  <w:vAlign w:val="center"/>
                </w:tcPr>
                <w:p w14:paraId="458F94A4">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HF-4.0</w:t>
                  </w:r>
                </w:p>
              </w:tc>
              <w:tc>
                <w:tcPr>
                  <w:tcW w:w="1586" w:type="dxa"/>
                  <w:noWrap w:val="0"/>
                  <w:vAlign w:val="center"/>
                </w:tcPr>
                <w:p w14:paraId="6E49AE0B">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7台</w:t>
                  </w:r>
                </w:p>
              </w:tc>
              <w:tc>
                <w:tcPr>
                  <w:tcW w:w="1586" w:type="dxa"/>
                  <w:noWrap w:val="0"/>
                  <w:vAlign w:val="center"/>
                </w:tcPr>
                <w:p w14:paraId="787FFC36">
                  <w:pPr>
                    <w:pStyle w:val="2"/>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vertAlign w:val="baseline"/>
                      <w:lang w:val="en-US" w:eastAsia="zh-CN"/>
                    </w:rPr>
                  </w:pPr>
                </w:p>
              </w:tc>
            </w:tr>
            <w:tr w14:paraId="64AD3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noWrap w:val="0"/>
                  <w:vAlign w:val="center"/>
                </w:tcPr>
                <w:p w14:paraId="582E63C0">
                  <w:pPr>
                    <w:pStyle w:val="2"/>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3</w:t>
                  </w:r>
                </w:p>
              </w:tc>
              <w:tc>
                <w:tcPr>
                  <w:tcW w:w="1916" w:type="dxa"/>
                  <w:noWrap w:val="0"/>
                  <w:vAlign w:val="center"/>
                </w:tcPr>
                <w:p w14:paraId="57A58F17">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泥浆泵</w:t>
                  </w:r>
                </w:p>
              </w:tc>
              <w:tc>
                <w:tcPr>
                  <w:tcW w:w="1585" w:type="dxa"/>
                  <w:noWrap w:val="0"/>
                  <w:vAlign w:val="center"/>
                </w:tcPr>
                <w:p w14:paraId="6CF0A42D">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液压泵</w:t>
                  </w:r>
                </w:p>
              </w:tc>
              <w:tc>
                <w:tcPr>
                  <w:tcW w:w="1586" w:type="dxa"/>
                  <w:noWrap w:val="0"/>
                  <w:vAlign w:val="center"/>
                </w:tcPr>
                <w:p w14:paraId="24B340F2">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7台</w:t>
                  </w:r>
                </w:p>
              </w:tc>
              <w:tc>
                <w:tcPr>
                  <w:tcW w:w="1586" w:type="dxa"/>
                  <w:noWrap w:val="0"/>
                  <w:vAlign w:val="center"/>
                </w:tcPr>
                <w:p w14:paraId="35AAC44E">
                  <w:pPr>
                    <w:pStyle w:val="2"/>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vertAlign w:val="baseline"/>
                      <w:lang w:val="en-US" w:eastAsia="zh-CN"/>
                    </w:rPr>
                  </w:pPr>
                </w:p>
              </w:tc>
            </w:tr>
            <w:tr w14:paraId="54D73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noWrap w:val="0"/>
                  <w:vAlign w:val="center"/>
                </w:tcPr>
                <w:p w14:paraId="51EB38C7">
                  <w:pPr>
                    <w:pStyle w:val="2"/>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4</w:t>
                  </w:r>
                </w:p>
              </w:tc>
              <w:tc>
                <w:tcPr>
                  <w:tcW w:w="1916" w:type="dxa"/>
                  <w:noWrap w:val="0"/>
                  <w:vAlign w:val="center"/>
                </w:tcPr>
                <w:p w14:paraId="338DF05E">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水泵</w:t>
                  </w:r>
                </w:p>
              </w:tc>
              <w:tc>
                <w:tcPr>
                  <w:tcW w:w="1585" w:type="dxa"/>
                  <w:noWrap w:val="0"/>
                  <w:vAlign w:val="center"/>
                </w:tcPr>
                <w:p w14:paraId="43C1A446">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160</w:t>
                  </w:r>
                </w:p>
              </w:tc>
              <w:tc>
                <w:tcPr>
                  <w:tcW w:w="1586" w:type="dxa"/>
                  <w:noWrap w:val="0"/>
                  <w:vAlign w:val="center"/>
                </w:tcPr>
                <w:p w14:paraId="2BB87A27">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4台</w:t>
                  </w:r>
                </w:p>
              </w:tc>
              <w:tc>
                <w:tcPr>
                  <w:tcW w:w="1586" w:type="dxa"/>
                  <w:noWrap w:val="0"/>
                  <w:vAlign w:val="center"/>
                </w:tcPr>
                <w:p w14:paraId="07247265">
                  <w:pPr>
                    <w:pStyle w:val="2"/>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vertAlign w:val="baseline"/>
                      <w:lang w:val="en-US" w:eastAsia="zh-CN"/>
                    </w:rPr>
                  </w:pPr>
                </w:p>
              </w:tc>
            </w:tr>
            <w:tr w14:paraId="0FD3D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noWrap w:val="0"/>
                  <w:vAlign w:val="center"/>
                </w:tcPr>
                <w:p w14:paraId="1EB90571">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w:t>
                  </w:r>
                </w:p>
              </w:tc>
              <w:tc>
                <w:tcPr>
                  <w:tcW w:w="1916" w:type="dxa"/>
                  <w:noWrap w:val="0"/>
                  <w:vAlign w:val="center"/>
                </w:tcPr>
                <w:p w14:paraId="78491852">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发电机</w:t>
                  </w:r>
                </w:p>
              </w:tc>
              <w:tc>
                <w:tcPr>
                  <w:tcW w:w="1585" w:type="dxa"/>
                  <w:noWrap w:val="0"/>
                  <w:vAlign w:val="center"/>
                </w:tcPr>
                <w:p w14:paraId="6E4EB9DD">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HF-1115-15</w:t>
                  </w:r>
                </w:p>
              </w:tc>
              <w:tc>
                <w:tcPr>
                  <w:tcW w:w="1586" w:type="dxa"/>
                  <w:noWrap w:val="0"/>
                  <w:vAlign w:val="center"/>
                </w:tcPr>
                <w:p w14:paraId="10656F0F">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7台</w:t>
                  </w:r>
                </w:p>
              </w:tc>
              <w:tc>
                <w:tcPr>
                  <w:tcW w:w="1586" w:type="dxa"/>
                  <w:noWrap w:val="0"/>
                  <w:vAlign w:val="center"/>
                </w:tcPr>
                <w:p w14:paraId="7DF09D72">
                  <w:pPr>
                    <w:pStyle w:val="2"/>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vertAlign w:val="baseline"/>
                      <w:lang w:val="en-US" w:eastAsia="zh-CN"/>
                    </w:rPr>
                  </w:pPr>
                </w:p>
              </w:tc>
            </w:tr>
            <w:tr w14:paraId="67306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noWrap w:val="0"/>
                  <w:vAlign w:val="center"/>
                </w:tcPr>
                <w:p w14:paraId="15B877E0">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6</w:t>
                  </w:r>
                </w:p>
              </w:tc>
              <w:tc>
                <w:tcPr>
                  <w:tcW w:w="1916" w:type="dxa"/>
                  <w:noWrap w:val="0"/>
                  <w:vAlign w:val="center"/>
                </w:tcPr>
                <w:p w14:paraId="63ED4425">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值班车</w:t>
                  </w:r>
                </w:p>
              </w:tc>
              <w:tc>
                <w:tcPr>
                  <w:tcW w:w="1585" w:type="dxa"/>
                  <w:noWrap w:val="0"/>
                  <w:vAlign w:val="center"/>
                </w:tcPr>
                <w:p w14:paraId="02E7D05D">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1586" w:type="dxa"/>
                  <w:noWrap w:val="0"/>
                  <w:vAlign w:val="center"/>
                </w:tcPr>
                <w:p w14:paraId="1E07C3F1">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3辆</w:t>
                  </w:r>
                </w:p>
              </w:tc>
              <w:tc>
                <w:tcPr>
                  <w:tcW w:w="1586" w:type="dxa"/>
                  <w:noWrap w:val="0"/>
                  <w:vAlign w:val="center"/>
                </w:tcPr>
                <w:p w14:paraId="3DA86258">
                  <w:pPr>
                    <w:pStyle w:val="2"/>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vertAlign w:val="baseline"/>
                      <w:lang w:val="en-US" w:eastAsia="zh-CN"/>
                    </w:rPr>
                  </w:pPr>
                </w:p>
              </w:tc>
            </w:tr>
            <w:tr w14:paraId="212E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noWrap w:val="0"/>
                  <w:vAlign w:val="center"/>
                </w:tcPr>
                <w:p w14:paraId="29E11C83">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7</w:t>
                  </w:r>
                </w:p>
              </w:tc>
              <w:tc>
                <w:tcPr>
                  <w:tcW w:w="1916" w:type="dxa"/>
                  <w:noWrap w:val="0"/>
                  <w:vAlign w:val="center"/>
                </w:tcPr>
                <w:p w14:paraId="288C5850">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测斜仪</w:t>
                  </w:r>
                </w:p>
              </w:tc>
              <w:tc>
                <w:tcPr>
                  <w:tcW w:w="1585" w:type="dxa"/>
                  <w:noWrap w:val="0"/>
                  <w:vAlign w:val="center"/>
                </w:tcPr>
                <w:p w14:paraId="787C5A1F">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1586" w:type="dxa"/>
                  <w:noWrap w:val="0"/>
                  <w:vAlign w:val="center"/>
                </w:tcPr>
                <w:p w14:paraId="365874D5">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2套</w:t>
                  </w:r>
                </w:p>
              </w:tc>
              <w:tc>
                <w:tcPr>
                  <w:tcW w:w="1586" w:type="dxa"/>
                  <w:noWrap w:val="0"/>
                  <w:vAlign w:val="center"/>
                </w:tcPr>
                <w:p w14:paraId="078E9B18">
                  <w:pPr>
                    <w:pStyle w:val="2"/>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vertAlign w:val="baseline"/>
                      <w:lang w:val="en-US" w:eastAsia="zh-CN"/>
                    </w:rPr>
                  </w:pPr>
                </w:p>
              </w:tc>
            </w:tr>
          </w:tbl>
          <w:p w14:paraId="0D2CA95F">
            <w:pPr>
              <w:pStyle w:val="2"/>
              <w:keepNext w:val="0"/>
              <w:keepLines w:val="0"/>
              <w:suppressLineNumbers w:val="0"/>
              <w:spacing w:before="0" w:beforeAutospacing="0" w:after="0" w:afterAutospacing="0"/>
              <w:ind w:left="0" w:right="0"/>
              <w:rPr>
                <w:rFonts w:hint="eastAsia" w:ascii="Times New Roman" w:hAnsi="Times New Roman" w:eastAsia="宋体" w:cs="Times New Roman"/>
                <w:b/>
                <w:color w:val="auto"/>
                <w:sz w:val="24"/>
                <w:highlight w:val="none"/>
                <w:lang w:val="en-US" w:eastAsia="zh-CN"/>
              </w:rPr>
            </w:pPr>
          </w:p>
          <w:p w14:paraId="14CF73E4">
            <w:pPr>
              <w:keepNext w:val="0"/>
              <w:keepLines w:val="0"/>
              <w:suppressLineNumbers w:val="0"/>
              <w:spacing w:before="0" w:beforeAutospacing="0" w:after="0" w:afterAutospacing="0"/>
              <w:ind w:left="0" w:right="0"/>
              <w:rPr>
                <w:rFonts w:hint="eastAsia" w:ascii="Times New Roman" w:hAnsi="宋体" w:cs="Times New Roman"/>
                <w:b/>
                <w:bCs/>
                <w:color w:val="auto"/>
                <w:sz w:val="24"/>
              </w:rPr>
            </w:pPr>
            <w:r>
              <w:rPr>
                <w:rFonts w:hint="eastAsia" w:ascii="Times New Roman" w:hAnsi="Times New Roman" w:eastAsia="宋体" w:cs="Times New Roman"/>
                <w:b/>
                <w:color w:val="auto"/>
                <w:sz w:val="24"/>
                <w:highlight w:val="none"/>
                <w:lang w:val="en-US" w:eastAsia="zh-CN"/>
              </w:rPr>
              <w:t xml:space="preserve">               表2-6主要原材料及能源能耗</w:t>
            </w:r>
            <w:r>
              <w:rPr>
                <w:rFonts w:hint="eastAsia" w:ascii="Times New Roman" w:hAnsi="宋体" w:cs="Times New Roman"/>
                <w:b/>
                <w:bCs/>
                <w:color w:val="auto"/>
                <w:sz w:val="24"/>
              </w:rPr>
              <w:t>一览表</w:t>
            </w:r>
          </w:p>
          <w:tbl>
            <w:tblPr>
              <w:tblStyle w:val="31"/>
              <w:tblW w:w="7757" w:type="dxa"/>
              <w:tblInd w:w="1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07"/>
              <w:gridCol w:w="1764"/>
              <w:gridCol w:w="1880"/>
              <w:gridCol w:w="3306"/>
            </w:tblGrid>
            <w:tr w14:paraId="2B294C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807" w:type="dxa"/>
                  <w:noWrap w:val="0"/>
                  <w:vAlign w:val="center"/>
                </w:tcPr>
                <w:p w14:paraId="70ED24DE">
                  <w:pPr>
                    <w:keepNext w:val="0"/>
                    <w:keepLines w:val="0"/>
                    <w:suppressLineNumbers w:val="0"/>
                    <w:adjustRightInd w:val="0"/>
                    <w:snapToGrid w:val="0"/>
                    <w:spacing w:before="0" w:beforeAutospacing="0" w:after="0" w:afterAutospacing="0"/>
                    <w:ind w:left="0" w:right="0"/>
                    <w:jc w:val="center"/>
                    <w:rPr>
                      <w:rFonts w:hint="eastAsia" w:ascii="Times New Roman" w:hAnsi="宋体" w:cs="Times New Roman"/>
                      <w:b/>
                      <w:color w:val="auto"/>
                      <w:szCs w:val="21"/>
                    </w:rPr>
                  </w:pPr>
                  <w:r>
                    <w:rPr>
                      <w:rFonts w:hint="eastAsia" w:ascii="Times New Roman" w:hAnsi="宋体" w:cs="Times New Roman"/>
                      <w:b/>
                      <w:color w:val="auto"/>
                      <w:szCs w:val="21"/>
                    </w:rPr>
                    <w:t>序号</w:t>
                  </w:r>
                </w:p>
              </w:tc>
              <w:tc>
                <w:tcPr>
                  <w:tcW w:w="1764" w:type="dxa"/>
                  <w:noWrap w:val="0"/>
                  <w:vAlign w:val="center"/>
                </w:tcPr>
                <w:p w14:paraId="30056164">
                  <w:pPr>
                    <w:keepNext w:val="0"/>
                    <w:keepLines w:val="0"/>
                    <w:suppressLineNumbers w:val="0"/>
                    <w:adjustRightInd w:val="0"/>
                    <w:snapToGrid w:val="0"/>
                    <w:spacing w:before="0" w:beforeAutospacing="0" w:after="0" w:afterAutospacing="0"/>
                    <w:ind w:left="0" w:right="0"/>
                    <w:jc w:val="center"/>
                    <w:rPr>
                      <w:rFonts w:hint="eastAsia" w:ascii="Times New Roman" w:hAnsi="宋体" w:cs="Times New Roman"/>
                      <w:b/>
                      <w:color w:val="auto"/>
                      <w:szCs w:val="21"/>
                    </w:rPr>
                  </w:pPr>
                  <w:r>
                    <w:rPr>
                      <w:rFonts w:hint="eastAsia" w:ascii="Times New Roman" w:hAnsi="宋体" w:cs="Times New Roman"/>
                      <w:b/>
                      <w:color w:val="auto"/>
                      <w:szCs w:val="21"/>
                    </w:rPr>
                    <w:t>名称</w:t>
                  </w:r>
                </w:p>
              </w:tc>
              <w:tc>
                <w:tcPr>
                  <w:tcW w:w="1880" w:type="dxa"/>
                  <w:noWrap w:val="0"/>
                  <w:vAlign w:val="center"/>
                </w:tcPr>
                <w:p w14:paraId="5C9943D6">
                  <w:pPr>
                    <w:keepNext w:val="0"/>
                    <w:keepLines w:val="0"/>
                    <w:suppressLineNumbers w:val="0"/>
                    <w:adjustRightInd w:val="0"/>
                    <w:snapToGrid w:val="0"/>
                    <w:spacing w:before="0" w:beforeAutospacing="0" w:after="0" w:afterAutospacing="0"/>
                    <w:ind w:left="0" w:right="0"/>
                    <w:jc w:val="center"/>
                    <w:rPr>
                      <w:rFonts w:hint="eastAsia" w:ascii="Times New Roman" w:hAnsi="宋体" w:cs="Times New Roman"/>
                      <w:b/>
                      <w:color w:val="auto"/>
                      <w:szCs w:val="21"/>
                    </w:rPr>
                  </w:pPr>
                  <w:r>
                    <w:rPr>
                      <w:rFonts w:hint="eastAsia" w:ascii="Times New Roman" w:hAnsi="宋体" w:cs="Times New Roman"/>
                      <w:b/>
                      <w:color w:val="auto"/>
                      <w:szCs w:val="21"/>
                    </w:rPr>
                    <w:t>用量</w:t>
                  </w:r>
                </w:p>
              </w:tc>
              <w:tc>
                <w:tcPr>
                  <w:tcW w:w="3306" w:type="dxa"/>
                  <w:noWrap w:val="0"/>
                  <w:vAlign w:val="center"/>
                </w:tcPr>
                <w:p w14:paraId="0636DC87">
                  <w:pPr>
                    <w:keepNext w:val="0"/>
                    <w:keepLines w:val="0"/>
                    <w:suppressLineNumbers w:val="0"/>
                    <w:adjustRightInd w:val="0"/>
                    <w:snapToGrid w:val="0"/>
                    <w:spacing w:before="0" w:beforeAutospacing="0" w:after="0" w:afterAutospacing="0"/>
                    <w:ind w:left="0" w:right="0"/>
                    <w:jc w:val="center"/>
                    <w:rPr>
                      <w:rFonts w:hint="eastAsia" w:ascii="Times New Roman" w:hAnsi="宋体" w:cs="Times New Roman"/>
                      <w:b/>
                      <w:color w:val="auto"/>
                      <w:szCs w:val="21"/>
                    </w:rPr>
                  </w:pPr>
                  <w:r>
                    <w:rPr>
                      <w:rFonts w:hint="eastAsia" w:ascii="Times New Roman" w:hAnsi="宋体" w:cs="Times New Roman"/>
                      <w:b/>
                      <w:color w:val="auto"/>
                      <w:szCs w:val="21"/>
                    </w:rPr>
                    <w:t>备注</w:t>
                  </w:r>
                </w:p>
              </w:tc>
            </w:tr>
            <w:tr w14:paraId="6122CC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807" w:type="dxa"/>
                  <w:noWrap w:val="0"/>
                  <w:vAlign w:val="center"/>
                </w:tcPr>
                <w:p w14:paraId="7A076DE5">
                  <w:pPr>
                    <w:keepNext w:val="0"/>
                    <w:keepLines w:val="0"/>
                    <w:suppressLineNumbers w:val="0"/>
                    <w:adjustRightInd w:val="0"/>
                    <w:snapToGrid w:val="0"/>
                    <w:spacing w:before="0" w:beforeAutospacing="0" w:after="0" w:afterAutospacing="0"/>
                    <w:ind w:left="0" w:right="0"/>
                    <w:jc w:val="center"/>
                    <w:rPr>
                      <w:rFonts w:hint="eastAsia" w:ascii="Times New Roman" w:hAnsi="宋体" w:eastAsia="宋体" w:cs="Times New Roman"/>
                      <w:bCs/>
                      <w:color w:val="auto"/>
                      <w:szCs w:val="21"/>
                      <w:lang w:val="en-US" w:eastAsia="zh-CN"/>
                    </w:rPr>
                  </w:pPr>
                  <w:r>
                    <w:rPr>
                      <w:rFonts w:hint="eastAsia" w:ascii="Times New Roman" w:hAnsi="宋体" w:cs="Times New Roman"/>
                      <w:bCs/>
                      <w:color w:val="auto"/>
                      <w:szCs w:val="21"/>
                      <w:lang w:val="en-US" w:eastAsia="zh-CN"/>
                    </w:rPr>
                    <w:t>1</w:t>
                  </w:r>
                </w:p>
              </w:tc>
              <w:tc>
                <w:tcPr>
                  <w:tcW w:w="1764" w:type="dxa"/>
                  <w:noWrap w:val="0"/>
                  <w:vAlign w:val="center"/>
                </w:tcPr>
                <w:p w14:paraId="76578A24">
                  <w:pPr>
                    <w:keepNext w:val="0"/>
                    <w:keepLines w:val="0"/>
                    <w:suppressLineNumbers w:val="0"/>
                    <w:adjustRightInd w:val="0"/>
                    <w:snapToGrid w:val="0"/>
                    <w:spacing w:before="0" w:beforeAutospacing="0" w:after="0" w:afterAutospacing="0"/>
                    <w:ind w:left="0" w:right="0"/>
                    <w:jc w:val="center"/>
                    <w:rPr>
                      <w:rFonts w:hint="eastAsia" w:ascii="Times New Roman" w:hAnsi="宋体" w:eastAsia="宋体" w:cs="Times New Roman"/>
                      <w:bCs/>
                      <w:color w:val="auto"/>
                      <w:szCs w:val="21"/>
                      <w:lang w:val="en-US" w:eastAsia="zh-CN"/>
                    </w:rPr>
                  </w:pPr>
                  <w:r>
                    <w:rPr>
                      <w:rFonts w:hint="eastAsia" w:ascii="Times New Roman" w:hAnsi="宋体" w:cs="Times New Roman"/>
                      <w:bCs/>
                      <w:color w:val="auto"/>
                      <w:szCs w:val="21"/>
                      <w:lang w:val="en-US" w:eastAsia="zh-CN"/>
                    </w:rPr>
                    <w:t>水</w:t>
                  </w:r>
                </w:p>
              </w:tc>
              <w:tc>
                <w:tcPr>
                  <w:tcW w:w="1880" w:type="dxa"/>
                  <w:noWrap w:val="0"/>
                  <w:vAlign w:val="center"/>
                </w:tcPr>
                <w:p w14:paraId="38678718">
                  <w:pPr>
                    <w:keepNext w:val="0"/>
                    <w:keepLines w:val="0"/>
                    <w:suppressLineNumbers w:val="0"/>
                    <w:adjustRightInd w:val="0"/>
                    <w:snapToGrid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lang w:val="en-US" w:eastAsia="zh-CN"/>
                    </w:rPr>
                    <w:t>25.2</w:t>
                  </w:r>
                  <w:r>
                    <w:rPr>
                      <w:rFonts w:hint="eastAsia" w:ascii="Times New Roman" w:hAnsi="宋体" w:cs="Times New Roman"/>
                      <w:bCs/>
                      <w:color w:val="auto"/>
                      <w:szCs w:val="21"/>
                    </w:rPr>
                    <w:t>m</w:t>
                  </w:r>
                  <w:r>
                    <w:rPr>
                      <w:rFonts w:hint="eastAsia" w:ascii="Times New Roman" w:hAnsi="宋体" w:cs="Times New Roman"/>
                      <w:bCs/>
                      <w:color w:val="auto"/>
                      <w:szCs w:val="21"/>
                      <w:vertAlign w:val="superscript"/>
                    </w:rPr>
                    <w:t>3</w:t>
                  </w:r>
                  <w:r>
                    <w:rPr>
                      <w:rFonts w:hint="eastAsia" w:ascii="Times New Roman" w:hAnsi="宋体" w:cs="Times New Roman"/>
                      <w:bCs/>
                      <w:color w:val="auto"/>
                      <w:szCs w:val="21"/>
                    </w:rPr>
                    <w:t>/d</w:t>
                  </w:r>
                </w:p>
              </w:tc>
              <w:tc>
                <w:tcPr>
                  <w:tcW w:w="3306" w:type="dxa"/>
                  <w:noWrap w:val="0"/>
                  <w:vAlign w:val="center"/>
                </w:tcPr>
                <w:p w14:paraId="7D188261">
                  <w:pPr>
                    <w:keepNext w:val="0"/>
                    <w:keepLines w:val="0"/>
                    <w:suppressLineNumbers w:val="0"/>
                    <w:adjustRightInd w:val="0"/>
                    <w:snapToGrid w:val="0"/>
                    <w:spacing w:before="0" w:beforeAutospacing="0" w:after="0" w:afterAutospacing="0"/>
                    <w:ind w:left="0" w:right="0"/>
                    <w:jc w:val="center"/>
                    <w:rPr>
                      <w:rFonts w:hint="default" w:ascii="Times New Roman" w:hAnsi="宋体" w:eastAsia="宋体" w:cs="Times New Roman"/>
                      <w:bCs/>
                      <w:color w:val="auto"/>
                      <w:szCs w:val="21"/>
                      <w:lang w:val="en-US" w:eastAsia="zh-CN"/>
                    </w:rPr>
                  </w:pPr>
                  <w:r>
                    <w:rPr>
                      <w:rFonts w:hint="eastAsia" w:ascii="Times New Roman" w:hAnsi="宋体" w:cs="Times New Roman"/>
                      <w:bCs/>
                      <w:color w:val="auto"/>
                      <w:szCs w:val="21"/>
                      <w:lang w:val="en-US" w:eastAsia="zh-CN"/>
                    </w:rPr>
                    <w:t>矿区淋滤水池、山泉水</w:t>
                  </w:r>
                </w:p>
              </w:tc>
            </w:tr>
            <w:tr w14:paraId="3BD02F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6" w:hRule="atLeast"/>
              </w:trPr>
              <w:tc>
                <w:tcPr>
                  <w:tcW w:w="807" w:type="dxa"/>
                  <w:noWrap w:val="0"/>
                  <w:vAlign w:val="center"/>
                </w:tcPr>
                <w:p w14:paraId="38E04BBB">
                  <w:pPr>
                    <w:keepNext w:val="0"/>
                    <w:keepLines w:val="0"/>
                    <w:suppressLineNumbers w:val="0"/>
                    <w:adjustRightInd w:val="0"/>
                    <w:snapToGrid w:val="0"/>
                    <w:spacing w:before="0" w:beforeAutospacing="0" w:after="0" w:afterAutospacing="0"/>
                    <w:ind w:left="0" w:right="0"/>
                    <w:jc w:val="center"/>
                    <w:rPr>
                      <w:rFonts w:hint="eastAsia" w:ascii="Times New Roman" w:hAnsi="宋体" w:eastAsia="宋体" w:cs="Times New Roman"/>
                      <w:bCs/>
                      <w:color w:val="auto"/>
                      <w:szCs w:val="21"/>
                      <w:lang w:eastAsia="zh-CN"/>
                    </w:rPr>
                  </w:pPr>
                  <w:r>
                    <w:rPr>
                      <w:rFonts w:hint="eastAsia" w:ascii="Times New Roman" w:hAnsi="宋体" w:cs="Times New Roman"/>
                      <w:bCs/>
                      <w:color w:val="auto"/>
                      <w:szCs w:val="21"/>
                      <w:lang w:val="en-US" w:eastAsia="zh-CN"/>
                    </w:rPr>
                    <w:t>2</w:t>
                  </w:r>
                </w:p>
              </w:tc>
              <w:tc>
                <w:tcPr>
                  <w:tcW w:w="1764" w:type="dxa"/>
                  <w:noWrap w:val="0"/>
                  <w:vAlign w:val="center"/>
                </w:tcPr>
                <w:p w14:paraId="62D92BB6">
                  <w:pPr>
                    <w:keepNext w:val="0"/>
                    <w:keepLines w:val="0"/>
                    <w:suppressLineNumbers w:val="0"/>
                    <w:adjustRightInd w:val="0"/>
                    <w:snapToGrid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rPr>
                    <w:t>柴油</w:t>
                  </w:r>
                </w:p>
              </w:tc>
              <w:tc>
                <w:tcPr>
                  <w:tcW w:w="1880" w:type="dxa"/>
                  <w:noWrap w:val="0"/>
                  <w:vAlign w:val="center"/>
                </w:tcPr>
                <w:p w14:paraId="71510BAE">
                  <w:pPr>
                    <w:keepNext w:val="0"/>
                    <w:keepLines w:val="0"/>
                    <w:suppressLineNumbers w:val="0"/>
                    <w:adjustRightInd w:val="0"/>
                    <w:snapToGrid w:val="0"/>
                    <w:spacing w:before="0" w:beforeAutospacing="0" w:after="0" w:afterAutospacing="0"/>
                    <w:ind w:left="0" w:right="0"/>
                    <w:jc w:val="center"/>
                    <w:rPr>
                      <w:rFonts w:hint="eastAsia" w:ascii="Times New Roman" w:hAnsi="宋体" w:eastAsia="宋体" w:cs="Times New Roman"/>
                      <w:bCs/>
                      <w:color w:val="auto"/>
                      <w:szCs w:val="21"/>
                    </w:rPr>
                  </w:pPr>
                  <w:r>
                    <w:rPr>
                      <w:rFonts w:hint="eastAsia" w:ascii="Times New Roman" w:hAnsi="宋体" w:eastAsia="宋体" w:cs="Times New Roman"/>
                      <w:bCs/>
                      <w:color w:val="auto"/>
                      <w:szCs w:val="21"/>
                      <w:lang w:val="en-US" w:eastAsia="zh-CN"/>
                    </w:rPr>
                    <w:t>7</w:t>
                  </w:r>
                  <w:r>
                    <w:rPr>
                      <w:rFonts w:hint="eastAsia" w:ascii="Times New Roman" w:hAnsi="宋体" w:eastAsia="宋体" w:cs="Times New Roman"/>
                      <w:bCs/>
                      <w:color w:val="auto"/>
                      <w:szCs w:val="21"/>
                    </w:rPr>
                    <w:t>t</w:t>
                  </w:r>
                </w:p>
              </w:tc>
              <w:tc>
                <w:tcPr>
                  <w:tcW w:w="3306" w:type="dxa"/>
                  <w:noWrap w:val="0"/>
                  <w:vAlign w:val="center"/>
                </w:tcPr>
                <w:p w14:paraId="6E8F0F41">
                  <w:pPr>
                    <w:keepNext w:val="0"/>
                    <w:keepLines w:val="0"/>
                    <w:suppressLineNumbers w:val="0"/>
                    <w:adjustRightInd w:val="0"/>
                    <w:snapToGrid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lang w:val="en-US" w:eastAsia="zh-CN"/>
                    </w:rPr>
                    <w:t>附近加油购买，</w:t>
                  </w:r>
                  <w:r>
                    <w:rPr>
                      <w:rFonts w:hint="eastAsia" w:ascii="Times New Roman" w:hAnsi="宋体" w:cs="Times New Roman"/>
                      <w:bCs/>
                      <w:color w:val="auto"/>
                      <w:szCs w:val="21"/>
                    </w:rPr>
                    <w:t>柴油（</w:t>
                  </w:r>
                  <w:r>
                    <w:rPr>
                      <w:rFonts w:hint="eastAsia" w:ascii="Times New Roman" w:hAnsi="宋体" w:cs="Times New Roman"/>
                      <w:bCs/>
                      <w:color w:val="auto"/>
                      <w:szCs w:val="21"/>
                      <w:lang w:val="en-US" w:eastAsia="zh-CN"/>
                    </w:rPr>
                    <w:t>200</w:t>
                  </w:r>
                  <w:r>
                    <w:rPr>
                      <w:rFonts w:hint="eastAsia" w:ascii="Times New Roman" w:hAnsi="宋体" w:cs="Times New Roman"/>
                      <w:bCs/>
                      <w:color w:val="auto"/>
                      <w:szCs w:val="21"/>
                    </w:rPr>
                    <w:t>L容器</w:t>
                  </w:r>
                  <w:r>
                    <w:rPr>
                      <w:rFonts w:hint="eastAsia" w:ascii="Times New Roman" w:hAnsi="宋体" w:cs="Times New Roman"/>
                      <w:bCs/>
                      <w:color w:val="auto"/>
                      <w:szCs w:val="21"/>
                      <w:lang w:val="en-US" w:eastAsia="zh-CN"/>
                    </w:rPr>
                    <w:t>2</w:t>
                  </w:r>
                  <w:r>
                    <w:rPr>
                      <w:rFonts w:hint="eastAsia" w:ascii="Times New Roman" w:hAnsi="宋体" w:cs="Times New Roman"/>
                      <w:bCs/>
                      <w:color w:val="auto"/>
                      <w:szCs w:val="21"/>
                    </w:rPr>
                    <w:t>桶）运至矿区</w:t>
                  </w:r>
                </w:p>
              </w:tc>
            </w:tr>
            <w:tr w14:paraId="408B85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807" w:type="dxa"/>
                  <w:noWrap w:val="0"/>
                  <w:vAlign w:val="center"/>
                </w:tcPr>
                <w:p w14:paraId="5BE01C2E">
                  <w:pPr>
                    <w:keepNext w:val="0"/>
                    <w:keepLines w:val="0"/>
                    <w:suppressLineNumbers w:val="0"/>
                    <w:adjustRightInd w:val="0"/>
                    <w:snapToGrid w:val="0"/>
                    <w:spacing w:before="0" w:beforeAutospacing="0" w:after="0" w:afterAutospacing="0"/>
                    <w:ind w:left="0" w:right="0"/>
                    <w:jc w:val="center"/>
                    <w:rPr>
                      <w:rFonts w:hint="default" w:ascii="Times New Roman" w:hAnsi="宋体" w:cs="Times New Roman"/>
                      <w:bCs/>
                      <w:color w:val="auto"/>
                      <w:szCs w:val="21"/>
                      <w:lang w:val="en-US" w:eastAsia="zh-CN"/>
                    </w:rPr>
                  </w:pPr>
                  <w:r>
                    <w:rPr>
                      <w:rFonts w:hint="eastAsia" w:ascii="Times New Roman" w:hAnsi="宋体" w:cs="Times New Roman"/>
                      <w:bCs/>
                      <w:color w:val="auto"/>
                      <w:szCs w:val="21"/>
                      <w:lang w:val="en-US" w:eastAsia="zh-CN"/>
                    </w:rPr>
                    <w:t>3</w:t>
                  </w:r>
                </w:p>
              </w:tc>
              <w:tc>
                <w:tcPr>
                  <w:tcW w:w="1764" w:type="dxa"/>
                  <w:noWrap w:val="0"/>
                  <w:vAlign w:val="center"/>
                </w:tcPr>
                <w:p w14:paraId="506747A4">
                  <w:pPr>
                    <w:keepNext w:val="0"/>
                    <w:keepLines w:val="0"/>
                    <w:suppressLineNumbers w:val="0"/>
                    <w:adjustRightInd w:val="0"/>
                    <w:snapToGrid w:val="0"/>
                    <w:spacing w:before="0" w:beforeAutospacing="0" w:after="0" w:afterAutospacing="0"/>
                    <w:ind w:left="0" w:right="0"/>
                    <w:jc w:val="center"/>
                    <w:rPr>
                      <w:rFonts w:hint="default" w:ascii="Times New Roman" w:hAnsi="宋体" w:eastAsia="宋体" w:cs="Times New Roman"/>
                      <w:bCs/>
                      <w:color w:val="auto"/>
                      <w:szCs w:val="21"/>
                      <w:lang w:val="en-US" w:eastAsia="zh-CN"/>
                    </w:rPr>
                  </w:pPr>
                  <w:r>
                    <w:rPr>
                      <w:rFonts w:hint="eastAsia" w:ascii="Times New Roman" w:hAnsi="宋体" w:cs="Times New Roman"/>
                      <w:bCs/>
                      <w:color w:val="auto"/>
                      <w:szCs w:val="21"/>
                      <w:lang w:val="en-US" w:eastAsia="zh-CN"/>
                    </w:rPr>
                    <w:t>泥巴粉</w:t>
                  </w:r>
                </w:p>
              </w:tc>
              <w:tc>
                <w:tcPr>
                  <w:tcW w:w="1880" w:type="dxa"/>
                  <w:noWrap w:val="0"/>
                  <w:vAlign w:val="center"/>
                </w:tcPr>
                <w:p w14:paraId="612A9FA3">
                  <w:pPr>
                    <w:keepNext w:val="0"/>
                    <w:keepLines w:val="0"/>
                    <w:suppressLineNumbers w:val="0"/>
                    <w:adjustRightInd w:val="0"/>
                    <w:snapToGrid w:val="0"/>
                    <w:spacing w:before="0" w:beforeAutospacing="0" w:after="0" w:afterAutospacing="0"/>
                    <w:ind w:left="0" w:right="0"/>
                    <w:jc w:val="center"/>
                    <w:rPr>
                      <w:rFonts w:hint="default" w:ascii="Times New Roman" w:hAnsi="宋体" w:eastAsia="宋体" w:cs="Times New Roman"/>
                      <w:bCs/>
                      <w:color w:val="auto"/>
                      <w:szCs w:val="21"/>
                      <w:lang w:val="en-US" w:eastAsia="zh-CN"/>
                    </w:rPr>
                  </w:pPr>
                  <w:r>
                    <w:rPr>
                      <w:rFonts w:hint="eastAsia" w:ascii="Times New Roman" w:hAnsi="宋体" w:eastAsia="宋体" w:cs="Times New Roman"/>
                      <w:bCs/>
                      <w:color w:val="auto"/>
                      <w:szCs w:val="21"/>
                      <w:lang w:val="en-US" w:eastAsia="zh-CN"/>
                    </w:rPr>
                    <w:t>10t</w:t>
                  </w:r>
                </w:p>
              </w:tc>
              <w:tc>
                <w:tcPr>
                  <w:tcW w:w="3306" w:type="dxa"/>
                  <w:noWrap w:val="0"/>
                  <w:vAlign w:val="center"/>
                </w:tcPr>
                <w:p w14:paraId="40489242">
                  <w:pPr>
                    <w:keepNext w:val="0"/>
                    <w:keepLines w:val="0"/>
                    <w:suppressLineNumbers w:val="0"/>
                    <w:adjustRightInd w:val="0"/>
                    <w:snapToGrid w:val="0"/>
                    <w:spacing w:before="0" w:beforeAutospacing="0" w:after="0" w:afterAutospacing="0"/>
                    <w:ind w:left="0" w:right="0"/>
                    <w:jc w:val="center"/>
                    <w:rPr>
                      <w:rFonts w:hint="default" w:ascii="Times New Roman" w:hAnsi="宋体" w:eastAsia="宋体" w:cs="Times New Roman"/>
                      <w:bCs/>
                      <w:color w:val="auto"/>
                      <w:szCs w:val="21"/>
                      <w:lang w:val="en-US" w:eastAsia="zh-CN"/>
                    </w:rPr>
                  </w:pPr>
                  <w:r>
                    <w:rPr>
                      <w:rFonts w:hint="eastAsia" w:ascii="Times New Roman" w:hAnsi="宋体" w:cs="Times New Roman"/>
                      <w:bCs/>
                      <w:color w:val="auto"/>
                      <w:szCs w:val="21"/>
                      <w:lang w:val="en-US" w:eastAsia="zh-CN"/>
                    </w:rPr>
                    <w:t>市场采购</w:t>
                  </w:r>
                </w:p>
              </w:tc>
            </w:tr>
            <w:tr w14:paraId="2AE759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807" w:type="dxa"/>
                  <w:noWrap w:val="0"/>
                  <w:vAlign w:val="center"/>
                </w:tcPr>
                <w:p w14:paraId="5C50F2E6">
                  <w:pPr>
                    <w:keepNext w:val="0"/>
                    <w:keepLines w:val="0"/>
                    <w:suppressLineNumbers w:val="0"/>
                    <w:adjustRightInd w:val="0"/>
                    <w:snapToGrid w:val="0"/>
                    <w:spacing w:before="0" w:beforeAutospacing="0" w:after="0" w:afterAutospacing="0"/>
                    <w:ind w:left="0" w:right="0"/>
                    <w:jc w:val="center"/>
                    <w:rPr>
                      <w:rFonts w:hint="default" w:ascii="Times New Roman" w:hAnsi="宋体" w:cs="Times New Roman"/>
                      <w:bCs/>
                      <w:color w:val="auto"/>
                      <w:szCs w:val="21"/>
                      <w:lang w:val="en-US" w:eastAsia="zh-CN"/>
                    </w:rPr>
                  </w:pPr>
                  <w:r>
                    <w:rPr>
                      <w:rFonts w:hint="eastAsia" w:ascii="Times New Roman" w:hAnsi="宋体" w:cs="Times New Roman"/>
                      <w:bCs/>
                      <w:color w:val="auto"/>
                      <w:szCs w:val="21"/>
                      <w:lang w:val="en-US" w:eastAsia="zh-CN"/>
                    </w:rPr>
                    <w:t>4</w:t>
                  </w:r>
                </w:p>
              </w:tc>
              <w:tc>
                <w:tcPr>
                  <w:tcW w:w="1764" w:type="dxa"/>
                  <w:noWrap w:val="0"/>
                  <w:vAlign w:val="center"/>
                </w:tcPr>
                <w:p w14:paraId="5465CD44">
                  <w:pPr>
                    <w:keepNext w:val="0"/>
                    <w:keepLines w:val="0"/>
                    <w:suppressLineNumbers w:val="0"/>
                    <w:adjustRightInd w:val="0"/>
                    <w:snapToGrid w:val="0"/>
                    <w:spacing w:before="0" w:beforeAutospacing="0" w:after="0" w:afterAutospacing="0"/>
                    <w:ind w:left="0" w:right="0"/>
                    <w:jc w:val="center"/>
                    <w:rPr>
                      <w:rFonts w:hint="eastAsia" w:ascii="Times New Roman" w:hAnsi="宋体" w:eastAsia="宋体" w:cs="Times New Roman"/>
                      <w:bCs/>
                      <w:color w:val="auto"/>
                      <w:szCs w:val="21"/>
                      <w:lang w:val="en-US" w:eastAsia="zh-CN"/>
                    </w:rPr>
                  </w:pPr>
                  <w:r>
                    <w:rPr>
                      <w:rFonts w:hint="eastAsia" w:ascii="Times New Roman" w:hAnsi="宋体" w:cs="Times New Roman"/>
                      <w:bCs/>
                      <w:color w:val="auto"/>
                      <w:szCs w:val="21"/>
                      <w:lang w:val="en-US" w:eastAsia="zh-CN"/>
                    </w:rPr>
                    <w:t>植物胶</w:t>
                  </w:r>
                </w:p>
              </w:tc>
              <w:tc>
                <w:tcPr>
                  <w:tcW w:w="1880" w:type="dxa"/>
                  <w:noWrap w:val="0"/>
                  <w:vAlign w:val="center"/>
                </w:tcPr>
                <w:p w14:paraId="54F66ECD">
                  <w:pPr>
                    <w:keepNext w:val="0"/>
                    <w:keepLines w:val="0"/>
                    <w:suppressLineNumbers w:val="0"/>
                    <w:adjustRightInd w:val="0"/>
                    <w:snapToGrid w:val="0"/>
                    <w:spacing w:before="0" w:beforeAutospacing="0" w:after="0" w:afterAutospacing="0"/>
                    <w:ind w:left="0" w:right="0"/>
                    <w:jc w:val="center"/>
                    <w:rPr>
                      <w:rFonts w:hint="default" w:ascii="Times New Roman" w:hAnsi="宋体" w:eastAsia="宋体" w:cs="Times New Roman"/>
                      <w:bCs/>
                      <w:color w:val="auto"/>
                      <w:szCs w:val="21"/>
                      <w:lang w:val="en-US" w:eastAsia="zh-CN"/>
                    </w:rPr>
                  </w:pPr>
                  <w:r>
                    <w:rPr>
                      <w:rFonts w:hint="eastAsia" w:ascii="Times New Roman" w:hAnsi="宋体" w:eastAsia="宋体" w:cs="Times New Roman"/>
                      <w:bCs/>
                      <w:color w:val="auto"/>
                      <w:szCs w:val="21"/>
                      <w:lang w:val="en-US" w:eastAsia="zh-CN"/>
                    </w:rPr>
                    <w:t>8t</w:t>
                  </w:r>
                </w:p>
              </w:tc>
              <w:tc>
                <w:tcPr>
                  <w:tcW w:w="3306" w:type="dxa"/>
                  <w:noWrap w:val="0"/>
                  <w:vAlign w:val="center"/>
                </w:tcPr>
                <w:p w14:paraId="05C6E6FE">
                  <w:pPr>
                    <w:keepNext w:val="0"/>
                    <w:keepLines w:val="0"/>
                    <w:suppressLineNumbers w:val="0"/>
                    <w:adjustRightInd w:val="0"/>
                    <w:snapToGrid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lang w:val="en-US" w:eastAsia="zh-CN"/>
                    </w:rPr>
                    <w:t>市场采购</w:t>
                  </w:r>
                </w:p>
              </w:tc>
            </w:tr>
            <w:tr w14:paraId="33D1CD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807" w:type="dxa"/>
                  <w:noWrap w:val="0"/>
                  <w:vAlign w:val="center"/>
                </w:tcPr>
                <w:p w14:paraId="58A4C5F7">
                  <w:pPr>
                    <w:keepNext w:val="0"/>
                    <w:keepLines w:val="0"/>
                    <w:suppressLineNumbers w:val="0"/>
                    <w:adjustRightInd w:val="0"/>
                    <w:snapToGrid w:val="0"/>
                    <w:spacing w:before="0" w:beforeAutospacing="0" w:after="0" w:afterAutospacing="0"/>
                    <w:ind w:left="0" w:right="0"/>
                    <w:jc w:val="center"/>
                    <w:rPr>
                      <w:rFonts w:hint="default" w:ascii="Times New Roman" w:hAnsi="宋体" w:cs="Times New Roman"/>
                      <w:bCs/>
                      <w:color w:val="auto"/>
                      <w:szCs w:val="21"/>
                      <w:lang w:val="en-US" w:eastAsia="zh-CN"/>
                    </w:rPr>
                  </w:pPr>
                  <w:r>
                    <w:rPr>
                      <w:rFonts w:hint="eastAsia" w:ascii="Times New Roman" w:hAnsi="宋体" w:cs="Times New Roman"/>
                      <w:bCs/>
                      <w:color w:val="auto"/>
                      <w:szCs w:val="21"/>
                      <w:lang w:val="en-US" w:eastAsia="zh-CN"/>
                    </w:rPr>
                    <w:t>5</w:t>
                  </w:r>
                </w:p>
              </w:tc>
              <w:tc>
                <w:tcPr>
                  <w:tcW w:w="1764" w:type="dxa"/>
                  <w:noWrap w:val="0"/>
                  <w:vAlign w:val="center"/>
                </w:tcPr>
                <w:p w14:paraId="6BF3FD78">
                  <w:pPr>
                    <w:keepNext w:val="0"/>
                    <w:keepLines w:val="0"/>
                    <w:suppressLineNumbers w:val="0"/>
                    <w:adjustRightInd w:val="0"/>
                    <w:snapToGrid w:val="0"/>
                    <w:spacing w:before="0" w:beforeAutospacing="0" w:after="0" w:afterAutospacing="0"/>
                    <w:ind w:left="0" w:right="0"/>
                    <w:jc w:val="center"/>
                    <w:rPr>
                      <w:rFonts w:hint="eastAsia" w:ascii="Times New Roman" w:hAnsi="宋体" w:eastAsia="宋体" w:cs="Times New Roman"/>
                      <w:bCs/>
                      <w:color w:val="auto"/>
                      <w:szCs w:val="21"/>
                      <w:lang w:val="en-US" w:eastAsia="zh-CN"/>
                    </w:rPr>
                  </w:pPr>
                  <w:r>
                    <w:rPr>
                      <w:rFonts w:hint="eastAsia" w:ascii="Times New Roman" w:hAnsi="宋体" w:cs="Times New Roman"/>
                      <w:bCs/>
                      <w:color w:val="auto"/>
                      <w:szCs w:val="21"/>
                      <w:lang w:val="en-US" w:eastAsia="zh-CN"/>
                    </w:rPr>
                    <w:t>纤维素</w:t>
                  </w:r>
                </w:p>
              </w:tc>
              <w:tc>
                <w:tcPr>
                  <w:tcW w:w="1880" w:type="dxa"/>
                  <w:noWrap w:val="0"/>
                  <w:vAlign w:val="center"/>
                </w:tcPr>
                <w:p w14:paraId="24EA01A7">
                  <w:pPr>
                    <w:keepNext w:val="0"/>
                    <w:keepLines w:val="0"/>
                    <w:suppressLineNumbers w:val="0"/>
                    <w:adjustRightInd w:val="0"/>
                    <w:snapToGrid w:val="0"/>
                    <w:spacing w:before="0" w:beforeAutospacing="0" w:after="0" w:afterAutospacing="0"/>
                    <w:ind w:left="0" w:right="0"/>
                    <w:jc w:val="center"/>
                    <w:rPr>
                      <w:rFonts w:hint="default" w:ascii="Times New Roman" w:hAnsi="宋体" w:eastAsia="宋体" w:cs="Times New Roman"/>
                      <w:bCs/>
                      <w:color w:val="auto"/>
                      <w:szCs w:val="21"/>
                      <w:lang w:val="en-US" w:eastAsia="zh-CN"/>
                    </w:rPr>
                  </w:pPr>
                  <w:r>
                    <w:rPr>
                      <w:rFonts w:hint="eastAsia" w:ascii="Times New Roman" w:hAnsi="宋体" w:eastAsia="宋体" w:cs="Times New Roman"/>
                      <w:bCs/>
                      <w:color w:val="auto"/>
                      <w:szCs w:val="21"/>
                      <w:lang w:val="en-US" w:eastAsia="zh-CN"/>
                    </w:rPr>
                    <w:t>5t</w:t>
                  </w:r>
                </w:p>
              </w:tc>
              <w:tc>
                <w:tcPr>
                  <w:tcW w:w="3306" w:type="dxa"/>
                  <w:noWrap w:val="0"/>
                  <w:vAlign w:val="center"/>
                </w:tcPr>
                <w:p w14:paraId="71162879">
                  <w:pPr>
                    <w:keepNext w:val="0"/>
                    <w:keepLines w:val="0"/>
                    <w:suppressLineNumbers w:val="0"/>
                    <w:adjustRightInd w:val="0"/>
                    <w:snapToGrid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lang w:val="en-US" w:eastAsia="zh-CN"/>
                    </w:rPr>
                    <w:t>市场采购</w:t>
                  </w:r>
                </w:p>
              </w:tc>
            </w:tr>
            <w:tr w14:paraId="6A95D1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807" w:type="dxa"/>
                  <w:noWrap w:val="0"/>
                  <w:vAlign w:val="center"/>
                </w:tcPr>
                <w:p w14:paraId="23F3ECC4">
                  <w:pPr>
                    <w:keepNext w:val="0"/>
                    <w:keepLines w:val="0"/>
                    <w:suppressLineNumbers w:val="0"/>
                    <w:adjustRightInd w:val="0"/>
                    <w:snapToGrid w:val="0"/>
                    <w:spacing w:before="0" w:beforeAutospacing="0" w:after="0" w:afterAutospacing="0"/>
                    <w:ind w:left="0" w:right="0"/>
                    <w:jc w:val="center"/>
                    <w:rPr>
                      <w:rFonts w:hint="default" w:ascii="Times New Roman" w:hAnsi="宋体" w:cs="Times New Roman"/>
                      <w:bCs/>
                      <w:color w:val="auto"/>
                      <w:szCs w:val="21"/>
                      <w:lang w:val="en-US" w:eastAsia="zh-CN"/>
                    </w:rPr>
                  </w:pPr>
                  <w:r>
                    <w:rPr>
                      <w:rFonts w:hint="eastAsia" w:ascii="Times New Roman" w:hAnsi="宋体" w:cs="Times New Roman"/>
                      <w:bCs/>
                      <w:color w:val="auto"/>
                      <w:szCs w:val="21"/>
                      <w:lang w:val="en-US" w:eastAsia="zh-CN"/>
                    </w:rPr>
                    <w:t>6</w:t>
                  </w:r>
                </w:p>
              </w:tc>
              <w:tc>
                <w:tcPr>
                  <w:tcW w:w="1764" w:type="dxa"/>
                  <w:noWrap w:val="0"/>
                  <w:vAlign w:val="center"/>
                </w:tcPr>
                <w:p w14:paraId="75A65D0E">
                  <w:pPr>
                    <w:keepNext w:val="0"/>
                    <w:keepLines w:val="0"/>
                    <w:suppressLineNumbers w:val="0"/>
                    <w:adjustRightInd w:val="0"/>
                    <w:snapToGrid w:val="0"/>
                    <w:spacing w:before="0" w:beforeAutospacing="0" w:after="0" w:afterAutospacing="0"/>
                    <w:ind w:left="0" w:right="0"/>
                    <w:jc w:val="center"/>
                    <w:rPr>
                      <w:rFonts w:hint="default" w:ascii="Times New Roman" w:hAnsi="宋体" w:eastAsia="宋体" w:cs="Times New Roman"/>
                      <w:bCs/>
                      <w:color w:val="auto"/>
                      <w:szCs w:val="21"/>
                      <w:lang w:val="en-US" w:eastAsia="zh-CN"/>
                    </w:rPr>
                  </w:pPr>
                  <w:r>
                    <w:rPr>
                      <w:rFonts w:hint="eastAsia" w:ascii="Times New Roman" w:hAnsi="宋体" w:cs="Times New Roman"/>
                      <w:bCs/>
                      <w:color w:val="auto"/>
                      <w:szCs w:val="21"/>
                      <w:lang w:val="en-US" w:eastAsia="zh-CN"/>
                    </w:rPr>
                    <w:t>801堵漏剂</w:t>
                  </w:r>
                </w:p>
              </w:tc>
              <w:tc>
                <w:tcPr>
                  <w:tcW w:w="1880" w:type="dxa"/>
                  <w:noWrap w:val="0"/>
                  <w:vAlign w:val="center"/>
                </w:tcPr>
                <w:p w14:paraId="5C22370A">
                  <w:pPr>
                    <w:keepNext w:val="0"/>
                    <w:keepLines w:val="0"/>
                    <w:suppressLineNumbers w:val="0"/>
                    <w:adjustRightInd w:val="0"/>
                    <w:snapToGrid w:val="0"/>
                    <w:spacing w:before="0" w:beforeAutospacing="0" w:after="0" w:afterAutospacing="0"/>
                    <w:ind w:left="0" w:right="0"/>
                    <w:jc w:val="center"/>
                    <w:rPr>
                      <w:rFonts w:hint="default" w:ascii="Times New Roman" w:hAnsi="宋体" w:eastAsia="宋体" w:cs="Times New Roman"/>
                      <w:bCs/>
                      <w:color w:val="auto"/>
                      <w:szCs w:val="21"/>
                      <w:lang w:val="en-US" w:eastAsia="zh-CN"/>
                    </w:rPr>
                  </w:pPr>
                  <w:r>
                    <w:rPr>
                      <w:rFonts w:hint="eastAsia" w:ascii="Times New Roman" w:hAnsi="宋体" w:eastAsia="宋体" w:cs="Times New Roman"/>
                      <w:bCs/>
                      <w:color w:val="auto"/>
                      <w:szCs w:val="21"/>
                      <w:lang w:val="en-US" w:eastAsia="zh-CN"/>
                    </w:rPr>
                    <w:t>0.5t</w:t>
                  </w:r>
                </w:p>
              </w:tc>
              <w:tc>
                <w:tcPr>
                  <w:tcW w:w="3306" w:type="dxa"/>
                  <w:noWrap w:val="0"/>
                  <w:vAlign w:val="center"/>
                </w:tcPr>
                <w:p w14:paraId="24B36349">
                  <w:pPr>
                    <w:keepNext w:val="0"/>
                    <w:keepLines w:val="0"/>
                    <w:suppressLineNumbers w:val="0"/>
                    <w:adjustRightInd w:val="0"/>
                    <w:snapToGrid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lang w:val="en-US" w:eastAsia="zh-CN"/>
                    </w:rPr>
                    <w:t>市场采购</w:t>
                  </w:r>
                </w:p>
              </w:tc>
            </w:tr>
            <w:tr w14:paraId="5B651A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807" w:type="dxa"/>
                  <w:noWrap w:val="0"/>
                  <w:vAlign w:val="center"/>
                </w:tcPr>
                <w:p w14:paraId="29E1533E">
                  <w:pPr>
                    <w:keepNext w:val="0"/>
                    <w:keepLines w:val="0"/>
                    <w:suppressLineNumbers w:val="0"/>
                    <w:adjustRightInd w:val="0"/>
                    <w:snapToGrid w:val="0"/>
                    <w:spacing w:before="0" w:beforeAutospacing="0" w:after="0" w:afterAutospacing="0"/>
                    <w:ind w:left="0" w:right="0"/>
                    <w:jc w:val="center"/>
                    <w:rPr>
                      <w:rFonts w:hint="default" w:ascii="Times New Roman" w:hAnsi="宋体" w:cs="Times New Roman"/>
                      <w:bCs/>
                      <w:color w:val="auto"/>
                      <w:szCs w:val="21"/>
                      <w:lang w:val="en-US" w:eastAsia="zh-CN"/>
                    </w:rPr>
                  </w:pPr>
                  <w:r>
                    <w:rPr>
                      <w:rFonts w:hint="eastAsia" w:ascii="Times New Roman" w:hAnsi="宋体" w:cs="Times New Roman"/>
                      <w:bCs/>
                      <w:color w:val="auto"/>
                      <w:szCs w:val="21"/>
                      <w:lang w:val="en-US" w:eastAsia="zh-CN"/>
                    </w:rPr>
                    <w:t>7</w:t>
                  </w:r>
                </w:p>
              </w:tc>
              <w:tc>
                <w:tcPr>
                  <w:tcW w:w="1764" w:type="dxa"/>
                  <w:noWrap w:val="0"/>
                  <w:vAlign w:val="center"/>
                </w:tcPr>
                <w:p w14:paraId="1D494C11">
                  <w:pPr>
                    <w:keepNext w:val="0"/>
                    <w:keepLines w:val="0"/>
                    <w:suppressLineNumbers w:val="0"/>
                    <w:adjustRightInd w:val="0"/>
                    <w:snapToGrid w:val="0"/>
                    <w:spacing w:before="0" w:beforeAutospacing="0" w:after="0" w:afterAutospacing="0"/>
                    <w:ind w:left="0" w:right="0"/>
                    <w:jc w:val="center"/>
                    <w:rPr>
                      <w:rFonts w:hint="default" w:ascii="Times New Roman" w:hAnsi="宋体" w:eastAsia="宋体" w:cs="Times New Roman"/>
                      <w:bCs/>
                      <w:color w:val="auto"/>
                      <w:szCs w:val="21"/>
                      <w:lang w:val="en-US" w:eastAsia="zh-CN"/>
                    </w:rPr>
                  </w:pPr>
                  <w:r>
                    <w:rPr>
                      <w:rFonts w:hint="eastAsia" w:ascii="Times New Roman" w:hAnsi="宋体" w:cs="Times New Roman"/>
                      <w:bCs/>
                      <w:color w:val="auto"/>
                      <w:szCs w:val="21"/>
                      <w:lang w:val="en-US" w:eastAsia="zh-CN"/>
                    </w:rPr>
                    <w:t>803堵漏剂</w:t>
                  </w:r>
                </w:p>
              </w:tc>
              <w:tc>
                <w:tcPr>
                  <w:tcW w:w="1880" w:type="dxa"/>
                  <w:noWrap w:val="0"/>
                  <w:vAlign w:val="center"/>
                </w:tcPr>
                <w:p w14:paraId="39F7E087">
                  <w:pPr>
                    <w:keepNext w:val="0"/>
                    <w:keepLines w:val="0"/>
                    <w:suppressLineNumbers w:val="0"/>
                    <w:adjustRightInd w:val="0"/>
                    <w:snapToGrid w:val="0"/>
                    <w:spacing w:before="0" w:beforeAutospacing="0" w:after="0" w:afterAutospacing="0"/>
                    <w:ind w:left="0" w:right="0"/>
                    <w:jc w:val="center"/>
                    <w:rPr>
                      <w:rFonts w:hint="default" w:ascii="Times New Roman" w:hAnsi="宋体" w:eastAsia="宋体" w:cs="Times New Roman"/>
                      <w:bCs/>
                      <w:color w:val="auto"/>
                      <w:szCs w:val="21"/>
                      <w:lang w:val="en-US" w:eastAsia="zh-CN"/>
                    </w:rPr>
                  </w:pPr>
                  <w:r>
                    <w:rPr>
                      <w:rFonts w:hint="eastAsia" w:ascii="Times New Roman" w:hAnsi="宋体" w:eastAsia="宋体" w:cs="Times New Roman"/>
                      <w:bCs/>
                      <w:color w:val="auto"/>
                      <w:szCs w:val="21"/>
                      <w:lang w:val="en-US" w:eastAsia="zh-CN"/>
                    </w:rPr>
                    <w:t>0.5t</w:t>
                  </w:r>
                </w:p>
              </w:tc>
              <w:tc>
                <w:tcPr>
                  <w:tcW w:w="3306" w:type="dxa"/>
                  <w:noWrap w:val="0"/>
                  <w:vAlign w:val="center"/>
                </w:tcPr>
                <w:p w14:paraId="6D51B162">
                  <w:pPr>
                    <w:keepNext w:val="0"/>
                    <w:keepLines w:val="0"/>
                    <w:suppressLineNumbers w:val="0"/>
                    <w:adjustRightInd w:val="0"/>
                    <w:snapToGrid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lang w:val="en-US" w:eastAsia="zh-CN"/>
                    </w:rPr>
                    <w:t>市场采购</w:t>
                  </w:r>
                </w:p>
              </w:tc>
            </w:tr>
            <w:tr w14:paraId="09DC23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5" w:hRule="atLeast"/>
              </w:trPr>
              <w:tc>
                <w:tcPr>
                  <w:tcW w:w="807" w:type="dxa"/>
                  <w:noWrap w:val="0"/>
                  <w:vAlign w:val="center"/>
                </w:tcPr>
                <w:p w14:paraId="364A5521">
                  <w:pPr>
                    <w:keepNext w:val="0"/>
                    <w:keepLines w:val="0"/>
                    <w:suppressLineNumbers w:val="0"/>
                    <w:adjustRightInd w:val="0"/>
                    <w:snapToGrid w:val="0"/>
                    <w:spacing w:before="0" w:beforeAutospacing="0" w:after="0" w:afterAutospacing="0"/>
                    <w:ind w:left="0" w:right="0"/>
                    <w:jc w:val="center"/>
                    <w:rPr>
                      <w:rFonts w:hint="default" w:ascii="Times New Roman" w:hAnsi="宋体" w:cs="Times New Roman"/>
                      <w:bCs/>
                      <w:color w:val="auto"/>
                      <w:szCs w:val="21"/>
                      <w:lang w:val="en-US" w:eastAsia="zh-CN"/>
                    </w:rPr>
                  </w:pPr>
                  <w:r>
                    <w:rPr>
                      <w:rFonts w:hint="eastAsia" w:ascii="Times New Roman" w:hAnsi="宋体" w:cs="Times New Roman"/>
                      <w:bCs/>
                      <w:color w:val="auto"/>
                      <w:szCs w:val="21"/>
                      <w:lang w:val="en-US" w:eastAsia="zh-CN"/>
                    </w:rPr>
                    <w:t>8</w:t>
                  </w:r>
                </w:p>
              </w:tc>
              <w:tc>
                <w:tcPr>
                  <w:tcW w:w="1764" w:type="dxa"/>
                  <w:noWrap w:val="0"/>
                  <w:vAlign w:val="center"/>
                </w:tcPr>
                <w:p w14:paraId="7A937D45">
                  <w:pPr>
                    <w:keepNext w:val="0"/>
                    <w:keepLines w:val="0"/>
                    <w:suppressLineNumbers w:val="0"/>
                    <w:adjustRightInd w:val="0"/>
                    <w:snapToGrid w:val="0"/>
                    <w:spacing w:before="0" w:beforeAutospacing="0" w:after="0" w:afterAutospacing="0"/>
                    <w:ind w:left="0" w:right="0"/>
                    <w:jc w:val="center"/>
                    <w:rPr>
                      <w:rFonts w:hint="default" w:ascii="Times New Roman" w:hAnsi="宋体" w:cs="Times New Roman"/>
                      <w:bCs/>
                      <w:color w:val="auto"/>
                      <w:szCs w:val="21"/>
                      <w:lang w:val="en-US" w:eastAsia="zh-CN"/>
                    </w:rPr>
                  </w:pPr>
                  <w:r>
                    <w:rPr>
                      <w:rFonts w:hint="eastAsia" w:ascii="Times New Roman" w:hAnsi="宋体" w:cs="Times New Roman"/>
                      <w:bCs/>
                      <w:color w:val="auto"/>
                      <w:szCs w:val="21"/>
                      <w:lang w:val="en-US" w:eastAsia="zh-CN"/>
                    </w:rPr>
                    <w:t>防卡剂（润滑油）</w:t>
                  </w:r>
                </w:p>
              </w:tc>
              <w:tc>
                <w:tcPr>
                  <w:tcW w:w="1880" w:type="dxa"/>
                  <w:noWrap w:val="0"/>
                  <w:vAlign w:val="center"/>
                </w:tcPr>
                <w:p w14:paraId="54005B05">
                  <w:pPr>
                    <w:keepNext w:val="0"/>
                    <w:keepLines w:val="0"/>
                    <w:suppressLineNumbers w:val="0"/>
                    <w:adjustRightInd w:val="0"/>
                    <w:snapToGrid w:val="0"/>
                    <w:spacing w:before="0" w:beforeAutospacing="0" w:after="0" w:afterAutospacing="0"/>
                    <w:ind w:left="0" w:right="0"/>
                    <w:jc w:val="center"/>
                    <w:rPr>
                      <w:rFonts w:hint="default" w:ascii="Times New Roman" w:hAnsi="宋体" w:eastAsia="宋体" w:cs="Times New Roman"/>
                      <w:bCs/>
                      <w:color w:val="auto"/>
                      <w:szCs w:val="21"/>
                      <w:lang w:val="en-US" w:eastAsia="zh-CN"/>
                    </w:rPr>
                  </w:pPr>
                  <w:r>
                    <w:rPr>
                      <w:rFonts w:hint="eastAsia" w:ascii="Times New Roman" w:hAnsi="宋体" w:eastAsia="宋体" w:cs="Times New Roman"/>
                      <w:bCs/>
                      <w:color w:val="auto"/>
                      <w:szCs w:val="21"/>
                      <w:lang w:val="en-US" w:eastAsia="zh-CN"/>
                    </w:rPr>
                    <w:t>0.5t</w:t>
                  </w:r>
                </w:p>
              </w:tc>
              <w:tc>
                <w:tcPr>
                  <w:tcW w:w="3306" w:type="dxa"/>
                  <w:noWrap w:val="0"/>
                  <w:vAlign w:val="center"/>
                </w:tcPr>
                <w:p w14:paraId="3AD97E20">
                  <w:pPr>
                    <w:keepNext w:val="0"/>
                    <w:keepLines w:val="0"/>
                    <w:suppressLineNumbers w:val="0"/>
                    <w:adjustRightInd w:val="0"/>
                    <w:snapToGrid w:val="0"/>
                    <w:spacing w:before="0" w:beforeAutospacing="0" w:after="0" w:afterAutospacing="0"/>
                    <w:ind w:left="0" w:right="0"/>
                    <w:jc w:val="center"/>
                    <w:rPr>
                      <w:rFonts w:hint="eastAsia" w:ascii="Times New Roman" w:hAnsi="宋体" w:cs="Times New Roman"/>
                      <w:bCs/>
                      <w:color w:val="auto"/>
                      <w:szCs w:val="21"/>
                    </w:rPr>
                  </w:pPr>
                  <w:r>
                    <w:rPr>
                      <w:rFonts w:hint="eastAsia" w:ascii="Times New Roman" w:hAnsi="宋体" w:cs="Times New Roman"/>
                      <w:bCs/>
                      <w:color w:val="auto"/>
                      <w:szCs w:val="21"/>
                      <w:lang w:val="en-US" w:eastAsia="zh-CN"/>
                    </w:rPr>
                    <w:t>市场采购</w:t>
                  </w:r>
                </w:p>
              </w:tc>
            </w:tr>
          </w:tbl>
          <w:p w14:paraId="5C0BD2A0">
            <w:pPr>
              <w:pStyle w:val="10"/>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firstLine="480" w:firstLineChars="200"/>
              <w:textAlignment w:val="auto"/>
              <w:rPr>
                <w:rFonts w:hint="eastAsia" w:ascii="Calibri" w:hAnsi="Times New Roman" w:eastAsia="宋体" w:cs="Times New Roman"/>
                <w:color w:val="auto"/>
                <w:sz w:val="24"/>
              </w:rPr>
            </w:pPr>
            <w:r>
              <w:rPr>
                <w:rFonts w:hint="eastAsia" w:ascii="Calibri" w:hAnsi="Times New Roman" w:eastAsia="宋体" w:cs="Times New Roman"/>
                <w:color w:val="auto"/>
                <w:sz w:val="24"/>
              </w:rPr>
              <w:t>本项目不设置柴油贮存设施</w:t>
            </w:r>
            <w:r>
              <w:rPr>
                <w:rFonts w:hint="eastAsia" w:ascii="Calibri" w:hAnsi="Times New Roman" w:eastAsia="宋体" w:cs="Times New Roman"/>
                <w:color w:val="auto"/>
                <w:sz w:val="24"/>
                <w:lang w:eastAsia="zh-CN"/>
              </w:rPr>
              <w:t>，</w:t>
            </w:r>
            <w:r>
              <w:rPr>
                <w:rFonts w:hint="eastAsia" w:ascii="Calibri" w:hAnsi="Times New Roman" w:eastAsia="宋体" w:cs="Times New Roman"/>
                <w:color w:val="auto"/>
                <w:sz w:val="24"/>
              </w:rPr>
              <w:t>项目需要柴油时，由勘查单位提前从就近加油站将柴油（</w:t>
            </w:r>
            <w:r>
              <w:rPr>
                <w:rFonts w:hint="eastAsia" w:ascii="Calibri" w:hAnsi="Times New Roman" w:eastAsia="宋体" w:cs="Times New Roman"/>
                <w:color w:val="auto"/>
                <w:sz w:val="24"/>
                <w:lang w:val="en-US" w:eastAsia="zh-CN"/>
              </w:rPr>
              <w:t>200</w:t>
            </w:r>
            <w:r>
              <w:rPr>
                <w:rFonts w:hint="eastAsia" w:ascii="Calibri" w:hAnsi="Times New Roman" w:eastAsia="宋体" w:cs="Times New Roman"/>
                <w:color w:val="auto"/>
                <w:sz w:val="24"/>
              </w:rPr>
              <w:t>L容器</w:t>
            </w:r>
            <w:r>
              <w:rPr>
                <w:rFonts w:hint="eastAsia" w:ascii="Calibri" w:hAnsi="Times New Roman" w:eastAsia="宋体" w:cs="Times New Roman"/>
                <w:color w:val="auto"/>
                <w:sz w:val="24"/>
                <w:lang w:val="en-US" w:eastAsia="zh-CN"/>
              </w:rPr>
              <w:t>2</w:t>
            </w:r>
            <w:r>
              <w:rPr>
                <w:rFonts w:hint="eastAsia" w:ascii="Calibri" w:hAnsi="Times New Roman" w:eastAsia="宋体" w:cs="Times New Roman"/>
                <w:color w:val="auto"/>
                <w:sz w:val="24"/>
              </w:rPr>
              <w:t>桶）运至矿区钻探点。</w:t>
            </w:r>
          </w:p>
          <w:p w14:paraId="6F1A5C3F">
            <w:pPr>
              <w:pStyle w:val="10"/>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firstLine="480" w:firstLineChars="200"/>
              <w:textAlignment w:val="auto"/>
              <w:rPr>
                <w:rFonts w:hint="eastAsia" w:ascii="Calibri" w:hAnsi="Times New Roman" w:eastAsia="宋体" w:cs="Times New Roman"/>
                <w:color w:val="auto"/>
                <w:sz w:val="24"/>
                <w:lang w:eastAsia="zh-CN"/>
              </w:rPr>
            </w:pPr>
            <w:r>
              <w:rPr>
                <w:rFonts w:hint="eastAsia" w:ascii="Calibri" w:hAnsi="Times New Roman" w:eastAsia="宋体" w:cs="Times New Roman"/>
                <w:color w:val="auto"/>
                <w:sz w:val="24"/>
              </w:rPr>
              <w:t>植物胶</w:t>
            </w:r>
            <w:r>
              <w:rPr>
                <w:rFonts w:hint="eastAsia" w:ascii="Calibri" w:hAnsi="Times New Roman" w:eastAsia="宋体" w:cs="Times New Roman"/>
                <w:color w:val="auto"/>
                <w:sz w:val="24"/>
                <w:lang w:eastAsia="zh-CN"/>
              </w:rPr>
              <w:t>（</w:t>
            </w:r>
            <w:r>
              <w:rPr>
                <w:rFonts w:hint="eastAsia" w:ascii="Calibri" w:hAnsi="Times New Roman" w:eastAsia="宋体" w:cs="Times New Roman"/>
                <w:color w:val="auto"/>
                <w:sz w:val="24"/>
              </w:rPr>
              <w:t>包括田菁胶、瓜尔胶、胡麻胶、香豆胶</w:t>
            </w:r>
            <w:r>
              <w:rPr>
                <w:rFonts w:hint="eastAsia" w:ascii="Calibri" w:hAnsi="Times New Roman" w:eastAsia="宋体" w:cs="Times New Roman"/>
                <w:color w:val="auto"/>
                <w:sz w:val="24"/>
                <w:lang w:eastAsia="zh-CN"/>
              </w:rPr>
              <w:t>）</w:t>
            </w:r>
            <w:r>
              <w:rPr>
                <w:rFonts w:hint="eastAsia" w:ascii="Calibri" w:hAnsi="Times New Roman" w:eastAsia="宋体" w:cs="Times New Roman"/>
                <w:color w:val="auto"/>
                <w:sz w:val="24"/>
              </w:rPr>
              <w:t>是我国新研制开发的一类天然植物胶，从盛产植物豆中制得，主要成分是半乳甘露聚糖，还有蛋白质、</w:t>
            </w:r>
            <w:r>
              <w:rPr>
                <w:rFonts w:hint="default" w:ascii="Calibri" w:hAnsi="Times New Roman" w:eastAsia="宋体" w:cs="Times New Roman"/>
                <w:color w:val="auto"/>
                <w:sz w:val="24"/>
              </w:rPr>
              <w:fldChar w:fldCharType="begin"/>
            </w:r>
            <w:r>
              <w:rPr>
                <w:rFonts w:hint="default" w:ascii="Calibri" w:hAnsi="Times New Roman" w:eastAsia="宋体" w:cs="Times New Roman"/>
                <w:color w:val="auto"/>
                <w:sz w:val="24"/>
              </w:rPr>
              <w:instrText xml:space="preserve"> HYPERLINK "https://baike.so.com/doc/4638578-4851464.html" \t "https://baike.so.com/doc/_blank" </w:instrText>
            </w:r>
            <w:r>
              <w:rPr>
                <w:rFonts w:hint="default" w:ascii="Calibri" w:hAnsi="Times New Roman" w:eastAsia="宋体" w:cs="Times New Roman"/>
                <w:color w:val="auto"/>
                <w:sz w:val="24"/>
              </w:rPr>
              <w:fldChar w:fldCharType="separate"/>
            </w:r>
            <w:r>
              <w:rPr>
                <w:rFonts w:hint="default" w:ascii="Calibri" w:hAnsi="Times New Roman" w:eastAsia="宋体" w:cs="Times New Roman"/>
                <w:color w:val="auto"/>
                <w:sz w:val="24"/>
              </w:rPr>
              <w:t>纤维素</w:t>
            </w:r>
            <w:r>
              <w:rPr>
                <w:rFonts w:hint="default" w:ascii="Calibri" w:hAnsi="Times New Roman" w:eastAsia="宋体" w:cs="Times New Roman"/>
                <w:color w:val="auto"/>
                <w:sz w:val="24"/>
              </w:rPr>
              <w:fldChar w:fldCharType="end"/>
            </w:r>
            <w:r>
              <w:rPr>
                <w:rFonts w:hint="default" w:ascii="Calibri" w:hAnsi="Times New Roman" w:eastAsia="宋体" w:cs="Times New Roman"/>
                <w:color w:val="auto"/>
                <w:sz w:val="24"/>
              </w:rPr>
              <w:t>、水分及少量钙、镁等无机元素;此外还有从石花菜中提取的石花胶。</w:t>
            </w:r>
            <w:r>
              <w:rPr>
                <w:rFonts w:hint="eastAsia" w:ascii="Calibri" w:hAnsi="Times New Roman" w:eastAsia="宋体" w:cs="Times New Roman"/>
                <w:color w:val="auto"/>
                <w:sz w:val="24"/>
                <w:lang w:val="en-US" w:eastAsia="zh-CN"/>
              </w:rPr>
              <w:t>属于</w:t>
            </w:r>
            <w:r>
              <w:rPr>
                <w:rFonts w:hint="eastAsia" w:ascii="Calibri" w:hAnsi="Times New Roman" w:eastAsia="宋体" w:cs="Times New Roman"/>
                <w:color w:val="auto"/>
                <w:sz w:val="24"/>
              </w:rPr>
              <w:t>"天然植物胶水"</w:t>
            </w:r>
            <w:r>
              <w:rPr>
                <w:rFonts w:hint="eastAsia" w:ascii="Calibri" w:hAnsi="Times New Roman" w:eastAsia="宋体" w:cs="Times New Roman"/>
                <w:color w:val="auto"/>
                <w:sz w:val="24"/>
                <w:lang w:eastAsia="zh-CN"/>
              </w:rPr>
              <w:t>，</w:t>
            </w:r>
            <w:r>
              <w:rPr>
                <w:rFonts w:hint="eastAsia" w:ascii="Calibri" w:hAnsi="Times New Roman" w:eastAsia="宋体" w:cs="Times New Roman"/>
                <w:color w:val="auto"/>
                <w:sz w:val="24"/>
              </w:rPr>
              <w:t>地质钻井冲洗液的絮凝剂</w:t>
            </w:r>
            <w:r>
              <w:rPr>
                <w:rFonts w:hint="eastAsia" w:ascii="Calibri" w:hAnsi="Times New Roman" w:eastAsia="宋体" w:cs="Times New Roman"/>
                <w:color w:val="auto"/>
                <w:sz w:val="24"/>
                <w:lang w:eastAsia="zh-CN"/>
              </w:rPr>
              <w:t>。</w:t>
            </w:r>
          </w:p>
          <w:p w14:paraId="3549FF37">
            <w:pPr>
              <w:pStyle w:val="10"/>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firstLine="480" w:firstLineChars="200"/>
              <w:textAlignment w:val="auto"/>
              <w:rPr>
                <w:rFonts w:hint="eastAsia" w:ascii="Calibri" w:hAnsi="Times New Roman" w:eastAsia="宋体" w:cs="Times New Roman"/>
                <w:color w:val="auto"/>
                <w:sz w:val="24"/>
                <w:lang w:eastAsia="zh-CN"/>
              </w:rPr>
            </w:pPr>
            <w:r>
              <w:rPr>
                <w:rFonts w:hint="eastAsia" w:ascii="Calibri" w:hAnsi="Times New Roman" w:eastAsia="宋体" w:cs="Times New Roman"/>
                <w:color w:val="auto"/>
                <w:sz w:val="24"/>
              </w:rPr>
              <w:t>纤维素(cellulose)是由</w:t>
            </w:r>
            <w:r>
              <w:rPr>
                <w:rFonts w:hint="default" w:ascii="Calibri" w:hAnsi="Times New Roman" w:eastAsia="宋体" w:cs="Times New Roman"/>
                <w:color w:val="auto"/>
                <w:sz w:val="24"/>
              </w:rPr>
              <w:fldChar w:fldCharType="begin"/>
            </w:r>
            <w:r>
              <w:rPr>
                <w:rFonts w:hint="default" w:ascii="Calibri" w:hAnsi="Times New Roman" w:eastAsia="宋体" w:cs="Times New Roman"/>
                <w:color w:val="auto"/>
                <w:sz w:val="24"/>
              </w:rPr>
              <w:instrText xml:space="preserve"> HYPERLINK "https://baike.so.com/doc/1056013-1117069.html" \t "https://baike.so.com/doc/_blank" </w:instrText>
            </w:r>
            <w:r>
              <w:rPr>
                <w:rFonts w:hint="default" w:ascii="Calibri" w:hAnsi="Times New Roman" w:eastAsia="宋体" w:cs="Times New Roman"/>
                <w:color w:val="auto"/>
                <w:sz w:val="24"/>
              </w:rPr>
              <w:fldChar w:fldCharType="separate"/>
            </w:r>
            <w:r>
              <w:rPr>
                <w:rFonts w:hint="default" w:ascii="Calibri" w:hAnsi="Times New Roman" w:eastAsia="宋体" w:cs="Times New Roman"/>
                <w:color w:val="auto"/>
                <w:sz w:val="24"/>
              </w:rPr>
              <w:t>葡萄糖</w:t>
            </w:r>
            <w:r>
              <w:rPr>
                <w:rFonts w:hint="default" w:ascii="Calibri" w:hAnsi="Times New Roman" w:eastAsia="宋体" w:cs="Times New Roman"/>
                <w:color w:val="auto"/>
                <w:sz w:val="24"/>
              </w:rPr>
              <w:fldChar w:fldCharType="end"/>
            </w:r>
            <w:r>
              <w:rPr>
                <w:rFonts w:hint="default" w:ascii="Calibri" w:hAnsi="Times New Roman" w:eastAsia="宋体" w:cs="Times New Roman"/>
                <w:color w:val="auto"/>
                <w:sz w:val="24"/>
              </w:rPr>
              <w:t>组成的大分子</w:t>
            </w:r>
            <w:r>
              <w:rPr>
                <w:rFonts w:hint="default" w:ascii="Calibri" w:hAnsi="Times New Roman" w:eastAsia="宋体" w:cs="Times New Roman"/>
                <w:color w:val="auto"/>
                <w:sz w:val="24"/>
              </w:rPr>
              <w:fldChar w:fldCharType="begin"/>
            </w:r>
            <w:r>
              <w:rPr>
                <w:rFonts w:hint="default" w:ascii="Calibri" w:hAnsi="Times New Roman" w:eastAsia="宋体" w:cs="Times New Roman"/>
                <w:color w:val="auto"/>
                <w:sz w:val="24"/>
              </w:rPr>
              <w:instrText xml:space="preserve"> HYPERLINK "https://baike.so.com/doc/3837514-4029563.html" \t "https://baike.so.com/doc/_blank" </w:instrText>
            </w:r>
            <w:r>
              <w:rPr>
                <w:rFonts w:hint="default" w:ascii="Calibri" w:hAnsi="Times New Roman" w:eastAsia="宋体" w:cs="Times New Roman"/>
                <w:color w:val="auto"/>
                <w:sz w:val="24"/>
              </w:rPr>
              <w:fldChar w:fldCharType="separate"/>
            </w:r>
            <w:r>
              <w:rPr>
                <w:rFonts w:hint="default" w:ascii="Calibri" w:hAnsi="Times New Roman" w:eastAsia="宋体" w:cs="Times New Roman"/>
                <w:color w:val="auto"/>
                <w:sz w:val="24"/>
              </w:rPr>
              <w:t>多糖</w:t>
            </w:r>
            <w:r>
              <w:rPr>
                <w:rFonts w:hint="default" w:ascii="Calibri" w:hAnsi="Times New Roman" w:eastAsia="宋体" w:cs="Times New Roman"/>
                <w:color w:val="auto"/>
                <w:sz w:val="24"/>
              </w:rPr>
              <w:fldChar w:fldCharType="end"/>
            </w:r>
            <w:r>
              <w:rPr>
                <w:rFonts w:hint="default" w:ascii="Calibri" w:hAnsi="Times New Roman" w:eastAsia="宋体" w:cs="Times New Roman"/>
                <w:color w:val="auto"/>
                <w:sz w:val="24"/>
              </w:rPr>
              <w:t>。不溶于水及一般有机溶剂。是植物细胞壁的主要成分。纤维素是自然界中分布最广、含量最多的一种多糖，占植物界碳含量的50%以上。</w:t>
            </w:r>
            <w:r>
              <w:rPr>
                <w:rFonts w:hint="default" w:ascii="Calibri" w:hAnsi="Times New Roman" w:eastAsia="宋体" w:cs="Times New Roman"/>
                <w:color w:val="auto"/>
                <w:sz w:val="24"/>
              </w:rPr>
              <w:fldChar w:fldCharType="begin"/>
            </w:r>
            <w:r>
              <w:rPr>
                <w:rFonts w:hint="default" w:ascii="Calibri" w:hAnsi="Times New Roman" w:eastAsia="宋体" w:cs="Times New Roman"/>
                <w:color w:val="auto"/>
                <w:sz w:val="24"/>
              </w:rPr>
              <w:instrText xml:space="preserve"> HYPERLINK "https://baike.so.com/doc/2179277-2305986.html" \t "https://baike.so.com/doc/_blank" </w:instrText>
            </w:r>
            <w:r>
              <w:rPr>
                <w:rFonts w:hint="default" w:ascii="Calibri" w:hAnsi="Times New Roman" w:eastAsia="宋体" w:cs="Times New Roman"/>
                <w:color w:val="auto"/>
                <w:sz w:val="24"/>
              </w:rPr>
              <w:fldChar w:fldCharType="separate"/>
            </w:r>
            <w:r>
              <w:rPr>
                <w:rFonts w:hint="default" w:ascii="Calibri" w:hAnsi="Times New Roman" w:eastAsia="宋体" w:cs="Times New Roman"/>
                <w:color w:val="auto"/>
                <w:sz w:val="24"/>
              </w:rPr>
              <w:t>棉花</w:t>
            </w:r>
            <w:r>
              <w:rPr>
                <w:rFonts w:hint="default" w:ascii="Calibri" w:hAnsi="Times New Roman" w:eastAsia="宋体" w:cs="Times New Roman"/>
                <w:color w:val="auto"/>
                <w:sz w:val="24"/>
              </w:rPr>
              <w:fldChar w:fldCharType="end"/>
            </w:r>
            <w:r>
              <w:rPr>
                <w:rFonts w:hint="default" w:ascii="Calibri" w:hAnsi="Times New Roman" w:eastAsia="宋体" w:cs="Times New Roman"/>
                <w:color w:val="auto"/>
                <w:sz w:val="24"/>
              </w:rPr>
              <w:t>的纤维素含量接近100%，为天然的最纯纤维素来源。一般木材中，纤维素占40~50%，还有10~30%的半纤维素和20~30%的木质素。</w:t>
            </w:r>
            <w:r>
              <w:rPr>
                <w:rFonts w:hint="eastAsia" w:ascii="Calibri" w:hAnsi="Times New Roman" w:eastAsia="宋体" w:cs="Times New Roman"/>
                <w:color w:val="auto"/>
                <w:sz w:val="24"/>
              </w:rPr>
              <w:t>适用于干粉砂浆建材，内外墙耐水腻子粉(膏)，粘结剂</w:t>
            </w:r>
            <w:r>
              <w:rPr>
                <w:rFonts w:hint="eastAsia" w:ascii="Calibri" w:hAnsi="Times New Roman" w:eastAsia="宋体" w:cs="Times New Roman"/>
                <w:color w:val="auto"/>
                <w:sz w:val="24"/>
                <w:lang w:eastAsia="zh-CN"/>
              </w:rPr>
              <w:t>，</w:t>
            </w:r>
            <w:r>
              <w:rPr>
                <w:rFonts w:hint="eastAsia" w:ascii="Calibri" w:hAnsi="Times New Roman" w:eastAsia="宋体" w:cs="Times New Roman"/>
                <w:color w:val="auto"/>
                <w:sz w:val="24"/>
              </w:rPr>
              <w:t>填缝剂，界面剂</w:t>
            </w:r>
            <w:r>
              <w:rPr>
                <w:rFonts w:hint="eastAsia" w:ascii="Calibri" w:hAnsi="Times New Roman" w:eastAsia="宋体" w:cs="Times New Roman"/>
                <w:color w:val="auto"/>
                <w:sz w:val="24"/>
                <w:lang w:eastAsia="zh-CN"/>
              </w:rPr>
              <w:t>，</w:t>
            </w:r>
            <w:r>
              <w:rPr>
                <w:rFonts w:hint="eastAsia" w:ascii="Calibri" w:hAnsi="Times New Roman" w:eastAsia="宋体" w:cs="Times New Roman"/>
                <w:color w:val="auto"/>
                <w:sz w:val="24"/>
              </w:rPr>
              <w:t>水性涂料，自流平剂等新型建材。</w:t>
            </w:r>
          </w:p>
          <w:p w14:paraId="38A44888">
            <w:pPr>
              <w:pStyle w:val="10"/>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firstLine="480" w:firstLineChars="200"/>
              <w:textAlignment w:val="auto"/>
              <w:rPr>
                <w:rFonts w:hint="default" w:ascii="Calibri" w:hAnsi="Times New Roman" w:eastAsia="宋体" w:cs="Times New Roman"/>
                <w:color w:val="auto"/>
                <w:sz w:val="24"/>
                <w:lang w:val="en-US" w:eastAsia="zh-CN"/>
              </w:rPr>
            </w:pPr>
            <w:r>
              <w:rPr>
                <w:rFonts w:hint="eastAsia" w:ascii="Calibri" w:hAnsi="Times New Roman" w:eastAsia="宋体" w:cs="Times New Roman"/>
                <w:color w:val="auto"/>
                <w:sz w:val="24"/>
                <w:lang w:val="en-US" w:eastAsia="zh-CN"/>
              </w:rPr>
              <w:t>801堵漏剂：组份由多中野生植物、腐殖酸盐、羧甲基纤维素、海藻酸钠等多种高分子化合物复配而成。适用于多种复杂的漏失岩层，可随钻随堵，一般投料30分钟可起效，具有防塌护臂功效。</w:t>
            </w:r>
          </w:p>
          <w:p w14:paraId="044BCD96">
            <w:pPr>
              <w:pStyle w:val="10"/>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firstLine="480" w:firstLineChars="200"/>
              <w:textAlignment w:val="auto"/>
              <w:rPr>
                <w:rFonts w:hint="eastAsia" w:ascii="Calibri" w:hAnsi="Times New Roman" w:eastAsia="宋体" w:cs="Times New Roman"/>
                <w:color w:val="auto"/>
                <w:sz w:val="24"/>
              </w:rPr>
            </w:pPr>
            <w:r>
              <w:rPr>
                <w:rFonts w:hint="eastAsia" w:ascii="Calibri" w:hAnsi="Times New Roman" w:eastAsia="宋体" w:cs="Times New Roman"/>
                <w:color w:val="auto"/>
                <w:sz w:val="24"/>
              </w:rPr>
              <w:t>803大裂隙堵漏剂是由刨花楠、海藻酸纳、腐植酸盐、聚丙烯酸盐、膨胀粉、木胶粉等……十多种高分子物复配处理而成的复合材料,它遇水后能产生交联熟化等反应,使之具有一定的粘度、切力和较强的粘附力,能形成网状结构,在瞬时形成堵漏体,具有良好的弹性、粘附性、韧性、耐水性和一定的湿强度</w:t>
            </w:r>
            <w:r>
              <w:rPr>
                <w:rFonts w:hint="eastAsia" w:ascii="Calibri" w:hAnsi="Times New Roman" w:eastAsia="宋体" w:cs="Times New Roman"/>
                <w:color w:val="auto"/>
                <w:sz w:val="24"/>
                <w:lang w:eastAsia="zh-CN"/>
              </w:rPr>
              <w:t>，</w:t>
            </w:r>
            <w:r>
              <w:rPr>
                <w:rFonts w:hint="eastAsia" w:ascii="Calibri" w:hAnsi="Times New Roman" w:eastAsia="宋体" w:cs="Times New Roman"/>
                <w:color w:val="auto"/>
                <w:sz w:val="24"/>
              </w:rPr>
              <w:t>可实现对漏失通道快速可靠的堵塞，是目前市场上较先进的钻井工程堵漏产品。无毒</w:t>
            </w:r>
            <w:r>
              <w:rPr>
                <w:rFonts w:hint="eastAsia" w:ascii="Calibri" w:hAnsi="Times New Roman" w:eastAsia="宋体" w:cs="Times New Roman"/>
                <w:color w:val="auto"/>
                <w:sz w:val="24"/>
                <w:lang w:eastAsia="zh-CN"/>
              </w:rPr>
              <w:t>，</w:t>
            </w:r>
            <w:r>
              <w:rPr>
                <w:rFonts w:hint="eastAsia" w:ascii="Calibri" w:hAnsi="Times New Roman" w:eastAsia="宋体" w:cs="Times New Roman"/>
                <w:color w:val="auto"/>
                <w:sz w:val="24"/>
              </w:rPr>
              <w:t>无味</w:t>
            </w:r>
            <w:r>
              <w:rPr>
                <w:rFonts w:hint="eastAsia" w:ascii="Calibri" w:hAnsi="Times New Roman" w:eastAsia="宋体" w:cs="Times New Roman"/>
                <w:color w:val="auto"/>
                <w:sz w:val="24"/>
                <w:lang w:eastAsia="zh-CN"/>
              </w:rPr>
              <w:t>，</w:t>
            </w:r>
            <w:r>
              <w:rPr>
                <w:rFonts w:hint="eastAsia" w:ascii="Calibri" w:hAnsi="Times New Roman" w:eastAsia="宋体" w:cs="Times New Roman"/>
                <w:color w:val="auto"/>
                <w:sz w:val="24"/>
              </w:rPr>
              <w:t>对人体无害</w:t>
            </w:r>
            <w:r>
              <w:rPr>
                <w:rFonts w:hint="eastAsia" w:ascii="Calibri" w:hAnsi="Times New Roman" w:eastAsia="宋体" w:cs="Times New Roman"/>
                <w:color w:val="auto"/>
                <w:sz w:val="24"/>
                <w:lang w:eastAsia="zh-CN"/>
              </w:rPr>
              <w:t>，</w:t>
            </w:r>
            <w:r>
              <w:rPr>
                <w:rFonts w:hint="eastAsia" w:ascii="Calibri" w:hAnsi="Times New Roman" w:eastAsia="宋体" w:cs="Times New Roman"/>
                <w:color w:val="auto"/>
                <w:sz w:val="24"/>
              </w:rPr>
              <w:t>无环境污染。</w:t>
            </w:r>
          </w:p>
          <w:p w14:paraId="3A1ED109">
            <w:pPr>
              <w:pStyle w:val="10"/>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textAlignment w:val="auto"/>
              <w:rPr>
                <w:rFonts w:hint="default"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8、劳动定员及工作制度</w:t>
            </w:r>
          </w:p>
          <w:p w14:paraId="0A53B93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 xml:space="preserve">（1）劳动定员 </w:t>
            </w:r>
          </w:p>
          <w:p w14:paraId="33A22D7F">
            <w:pPr>
              <w:keepNext w:val="0"/>
              <w:keepLines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0"/>
                <w:sz w:val="28"/>
                <w:szCs w:val="28"/>
                <w:lang w:val="en-US" w:eastAsia="zh-CN" w:bidi="ar"/>
              </w:rPr>
            </w:pPr>
            <w:r>
              <w:rPr>
                <w:rFonts w:hint="eastAsia" w:ascii="Times New Roman" w:hAnsi="Times New Roman" w:eastAsia="宋体" w:cs="Times New Roman"/>
                <w:color w:val="auto"/>
                <w:kern w:val="0"/>
                <w:sz w:val="24"/>
                <w:highlight w:val="none"/>
                <w:lang w:val="en-US" w:eastAsia="zh-CN"/>
              </w:rPr>
              <w:t>项目</w:t>
            </w:r>
            <w:r>
              <w:rPr>
                <w:rFonts w:hint="default" w:ascii="Times New Roman" w:hAnsi="Times New Roman" w:cs="Times New Roman"/>
                <w:color w:val="auto"/>
                <w:sz w:val="24"/>
              </w:rPr>
              <w:t>由</w:t>
            </w:r>
            <w:r>
              <w:rPr>
                <w:rFonts w:hint="eastAsia" w:ascii="Times New Roman" w:hAnsi="Times New Roman" w:cs="Times New Roman"/>
                <w:color w:val="auto"/>
                <w:sz w:val="24"/>
                <w:lang w:eastAsia="zh-CN"/>
              </w:rPr>
              <w:t>四川华锋钻探工程有限责任公司</w:t>
            </w:r>
            <w:r>
              <w:rPr>
                <w:rFonts w:hint="default" w:ascii="Times New Roman" w:hAnsi="Times New Roman" w:cs="Times New Roman"/>
                <w:color w:val="auto"/>
                <w:sz w:val="24"/>
              </w:rPr>
              <w:t>全面负责实施和管理</w:t>
            </w:r>
            <w:r>
              <w:rPr>
                <w:rFonts w:hint="eastAsia" w:ascii="Times New Roman" w:hAnsi="Times New Roman" w:eastAsia="宋体" w:cs="Times New Roman"/>
                <w:color w:val="auto"/>
                <w:kern w:val="0"/>
                <w:sz w:val="24"/>
                <w:highlight w:val="none"/>
                <w:lang w:val="en-US" w:eastAsia="zh-CN"/>
              </w:rPr>
              <w:t>，项目组有77人组成，主要有项目经理及安全员2人，钻探班长21人，设备管理员5人，车辆驾驶员4人，钻工45人。项目组成人员由项目负责人根据项目具体情况，合理安排必要的技术人员，人员组成力求精干，做到人员及专业配置合理。实行项目负责制，项目 负责人全面负责项目的技术质量管理工作，各组组长分工协作。</w:t>
            </w:r>
            <w:r>
              <w:rPr>
                <w:rFonts w:hint="eastAsia" w:ascii="宋体" w:hAnsi="宋体" w:eastAsia="宋体" w:cs="宋体"/>
                <w:color w:val="auto"/>
                <w:kern w:val="0"/>
                <w:sz w:val="28"/>
                <w:szCs w:val="28"/>
                <w:lang w:val="en-US" w:eastAsia="zh-CN" w:bidi="ar"/>
              </w:rPr>
              <w:t xml:space="preserve"> </w:t>
            </w:r>
          </w:p>
          <w:p w14:paraId="7AB0E3AF">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 xml:space="preserve">（2）工作制度 </w:t>
            </w:r>
          </w:p>
          <w:p w14:paraId="16724D26">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本项目探矿期为 2022年 4 月-2022 年5 月底，工作时间为2个月，每天实行一班制，每班工作 8h，禁止夜间施工。依托矿区已有的办公生活区（</w:t>
            </w:r>
            <w:r>
              <w:rPr>
                <w:rFonts w:hint="default" w:ascii="Calibri" w:hAnsi="Calibri" w:eastAsia="Calibri" w:cs="Times New Roman"/>
                <w:color w:val="auto"/>
                <w:sz w:val="24"/>
              </w:rPr>
              <w:t>位于矿区</w:t>
            </w:r>
            <w:r>
              <w:rPr>
                <w:rFonts w:hint="eastAsia" w:ascii="Calibri" w:hAnsi="Calibri" w:eastAsia="Calibri" w:cs="Times New Roman"/>
                <w:color w:val="auto"/>
                <w:sz w:val="24"/>
              </w:rPr>
              <w:t>麦窝坝矿区</w:t>
            </w:r>
            <w:r>
              <w:rPr>
                <w:rFonts w:hint="default" w:ascii="Calibri" w:hAnsi="Calibri" w:eastAsia="Calibri" w:cs="Times New Roman"/>
                <w:color w:val="auto"/>
                <w:sz w:val="24"/>
              </w:rPr>
              <w:t>东北部</w:t>
            </w:r>
            <w:r>
              <w:rPr>
                <w:rFonts w:hint="eastAsia" w:ascii="Times New Roman" w:hAnsi="Times New Roman" w:eastAsia="宋体" w:cs="Times New Roman"/>
                <w:color w:val="auto"/>
                <w:kern w:val="0"/>
                <w:sz w:val="24"/>
                <w:highlight w:val="none"/>
                <w:lang w:val="en-US" w:eastAsia="zh-CN"/>
              </w:rPr>
              <w:t>）食宿。</w:t>
            </w:r>
            <w:bookmarkEnd w:id="35"/>
          </w:p>
        </w:tc>
      </w:tr>
      <w:tr w14:paraId="37AD42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9" w:hRule="atLeast"/>
          <w:jc w:val="center"/>
        </w:trPr>
        <w:tc>
          <w:tcPr>
            <w:tcW w:w="471" w:type="dxa"/>
            <w:tcBorders>
              <w:top w:val="single" w:color="auto" w:sz="4" w:space="0"/>
              <w:left w:val="single" w:color="auto" w:sz="8" w:space="0"/>
              <w:bottom w:val="single" w:color="auto" w:sz="4" w:space="0"/>
              <w:right w:val="single" w:color="auto" w:sz="4" w:space="0"/>
            </w:tcBorders>
            <w:noWrap w:val="0"/>
            <w:vAlign w:val="center"/>
          </w:tcPr>
          <w:p w14:paraId="4FE2333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4"/>
                <w:highlight w:val="none"/>
              </w:rPr>
            </w:pPr>
            <w:r>
              <w:rPr>
                <w:rFonts w:hint="eastAsia" w:ascii="Times New Roman" w:hAnsi="Times New Roman" w:eastAsia="宋体" w:cs="Times New Roman"/>
                <w:b/>
                <w:bCs/>
                <w:color w:val="auto"/>
                <w:kern w:val="0"/>
                <w:sz w:val="24"/>
                <w:highlight w:val="none"/>
              </w:rPr>
              <w:t>总平面及现场布置</w:t>
            </w:r>
          </w:p>
        </w:tc>
        <w:tc>
          <w:tcPr>
            <w:tcW w:w="8153" w:type="dxa"/>
            <w:tcBorders>
              <w:top w:val="single" w:color="auto" w:sz="4" w:space="0"/>
              <w:left w:val="single" w:color="auto" w:sz="4" w:space="0"/>
              <w:bottom w:val="single" w:color="auto" w:sz="4" w:space="0"/>
              <w:right w:val="single" w:color="auto" w:sz="8" w:space="0"/>
            </w:tcBorders>
            <w:noWrap w:val="0"/>
            <w:vAlign w:val="center"/>
          </w:tcPr>
          <w:p w14:paraId="254010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auto"/>
                <w:kern w:val="2"/>
                <w:sz w:val="24"/>
                <w:szCs w:val="24"/>
                <w:lang w:val="en-US" w:eastAsia="zh-CN" w:bidi="ar-SA"/>
              </w:rPr>
            </w:pPr>
            <w:bookmarkStart w:id="36" w:name="_Toc10373"/>
            <w:bookmarkEnd w:id="36"/>
            <w:r>
              <w:rPr>
                <w:rFonts w:hint="eastAsia" w:ascii="Times New Roman" w:hAnsi="Times New Roman" w:eastAsia="宋体" w:cs="Times New Roman"/>
                <w:color w:val="auto"/>
                <w:kern w:val="2"/>
                <w:sz w:val="24"/>
                <w:szCs w:val="24"/>
                <w:lang w:val="en-US" w:eastAsia="zh-CN" w:bidi="ar-SA"/>
              </w:rPr>
              <w:t xml:space="preserve">1、总平面布置 </w:t>
            </w:r>
          </w:p>
          <w:p w14:paraId="296E49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（1）勘探线</w:t>
            </w:r>
          </w:p>
          <w:p w14:paraId="5B9AE6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按第Ⅱ勘查类型，选用探明网度为走向40m×倾向40m来进行工程布置。</w:t>
            </w:r>
          </w:p>
          <w:p w14:paraId="19DE7E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在勘探线布置时，充分考虑了原有工程的位置，按照能照顾大多数的原则，共布置15条勘探线，各勘探线方位120°，间距40m。勘探线布置后，原有探矿工程都基本上在勘探线上或在勘探线附近，能为勘探线剖面所用。</w:t>
            </w:r>
          </w:p>
          <w:p w14:paraId="3E45C2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（2）钻探</w:t>
            </w:r>
          </w:p>
          <w:p w14:paraId="5EB97C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中深部的探矿手段选择钻探，钻探均为直孔。钻探主要布置在各勘探线上，按已知见矿点之下控制矿体斜深80m进行垂直钻孔布设，各钻孔在揭穿矿层后5～10m终孔。设计钻探工作量为13110m共41个钻孔。（具体见附图2平面布置图） </w:t>
            </w:r>
          </w:p>
          <w:p w14:paraId="43FD43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2、现场布置</w:t>
            </w:r>
          </w:p>
          <w:p w14:paraId="780AE0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kern w:val="2"/>
                <w:sz w:val="24"/>
                <w:szCs w:val="24"/>
                <w:lang w:val="en-US" w:eastAsia="zh-CN" w:bidi="ar-SA"/>
              </w:rPr>
              <w:t>根据现场勘查和生态红线查询意见，本项目探矿范围均设置矿区范围内，不涉及自然保护区、国家公园、风景名胜区、森林公园、水资源保护区、地址公园以及矿产资源规划禁止区和限值区以及生态保护红线范围内。本项目生活区依托建设单位已有的办公生活区，运输通道利用现有矿区现有的道路，不进行扩大。</w:t>
            </w:r>
          </w:p>
        </w:tc>
      </w:tr>
      <w:tr w14:paraId="49EABA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0" w:hRule="atLeast"/>
          <w:jc w:val="center"/>
        </w:trPr>
        <w:tc>
          <w:tcPr>
            <w:tcW w:w="471" w:type="dxa"/>
            <w:tcBorders>
              <w:top w:val="single" w:color="auto" w:sz="4" w:space="0"/>
              <w:left w:val="single" w:color="auto" w:sz="8" w:space="0"/>
              <w:bottom w:val="single" w:color="auto" w:sz="4" w:space="0"/>
              <w:right w:val="single" w:color="auto" w:sz="4" w:space="0"/>
            </w:tcBorders>
            <w:noWrap w:val="0"/>
            <w:vAlign w:val="center"/>
          </w:tcPr>
          <w:p w14:paraId="6495DE2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4"/>
                <w:highlight w:val="none"/>
              </w:rPr>
            </w:pPr>
            <w:r>
              <w:rPr>
                <w:rFonts w:hint="eastAsia" w:ascii="Times New Roman" w:hAnsi="Times New Roman" w:eastAsia="宋体" w:cs="Times New Roman"/>
                <w:b/>
                <w:bCs/>
                <w:color w:val="auto"/>
                <w:kern w:val="0"/>
                <w:sz w:val="24"/>
                <w:highlight w:val="none"/>
              </w:rPr>
              <w:t>施工方案</w:t>
            </w:r>
          </w:p>
        </w:tc>
        <w:tc>
          <w:tcPr>
            <w:tcW w:w="8153" w:type="dxa"/>
            <w:tcBorders>
              <w:top w:val="single" w:color="auto" w:sz="4" w:space="0"/>
              <w:left w:val="single" w:color="auto" w:sz="4" w:space="0"/>
              <w:bottom w:val="single" w:color="auto" w:sz="4" w:space="0"/>
              <w:right w:val="single" w:color="auto" w:sz="8" w:space="0"/>
            </w:tcBorders>
            <w:noWrap w:val="0"/>
            <w:vAlign w:val="center"/>
          </w:tcPr>
          <w:p w14:paraId="207B4E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eastAsia="宋体" w:cs="Times New Roman"/>
                <w:color w:val="auto"/>
                <w:kern w:val="2"/>
                <w:sz w:val="24"/>
                <w:szCs w:val="24"/>
                <w:lang w:val="en-US" w:eastAsia="zh-CN" w:bidi="ar-SA"/>
              </w:rPr>
              <w:t>根据</w:t>
            </w:r>
            <w:r>
              <w:rPr>
                <w:rFonts w:hint="eastAsia" w:ascii="Times New Roman" w:hAnsi="Times New Roman" w:eastAsia="宋体" w:cs="Times New Roman"/>
                <w:color w:val="auto"/>
                <w:kern w:val="2"/>
                <w:sz w:val="24"/>
                <w:szCs w:val="24"/>
                <w:lang w:val="en-US" w:eastAsia="zh-CN" w:bidi="ar-SA"/>
              </w:rPr>
              <w:t>建设单位提供的2022年3月编制完成的《德宏州</w:t>
            </w:r>
            <w:r>
              <w:rPr>
                <w:rFonts w:hint="default" w:ascii="Times New Roman" w:hAnsi="Times New Roman" w:eastAsia="宋体" w:cs="Times New Roman"/>
                <w:color w:val="auto"/>
                <w:kern w:val="2"/>
                <w:sz w:val="24"/>
                <w:szCs w:val="24"/>
                <w:lang w:val="en-US" w:eastAsia="zh-CN" w:bidi="ar-SA"/>
              </w:rPr>
              <w:t>芒市金矿麦窝坝矿段实施方案</w:t>
            </w:r>
            <w:r>
              <w:rPr>
                <w:rFonts w:hint="eastAsia" w:ascii="Times New Roman" w:hAnsi="Times New Roman" w:eastAsia="宋体" w:cs="Times New Roman"/>
                <w:color w:val="auto"/>
                <w:kern w:val="2"/>
                <w:sz w:val="24"/>
                <w:szCs w:val="24"/>
                <w:lang w:val="en-US" w:eastAsia="zh-CN" w:bidi="ar-SA"/>
              </w:rPr>
              <w:t>》可知，</w:t>
            </w:r>
            <w:r>
              <w:rPr>
                <w:rFonts w:hint="default" w:ascii="Times New Roman" w:hAnsi="Times New Roman" w:cs="Times New Roman"/>
                <w:color w:val="auto"/>
                <w:sz w:val="24"/>
              </w:rPr>
              <w:t>按《</w:t>
            </w:r>
            <w:r>
              <w:rPr>
                <w:rFonts w:hint="eastAsia" w:ascii="Times New Roman" w:hAnsi="Times New Roman" w:cs="Times New Roman"/>
                <w:color w:val="auto"/>
                <w:sz w:val="24"/>
              </w:rPr>
              <w:t>矿产地质勘查规范 岩金矿</w:t>
            </w:r>
            <w:r>
              <w:rPr>
                <w:rFonts w:hint="default" w:ascii="Times New Roman" w:hAnsi="Times New Roman" w:cs="Times New Roman"/>
                <w:color w:val="auto"/>
                <w:sz w:val="24"/>
              </w:rPr>
              <w:t>》（</w:t>
            </w:r>
            <w:r>
              <w:rPr>
                <w:rFonts w:hint="eastAsia" w:ascii="Times New Roman" w:hAnsi="Times New Roman" w:cs="Times New Roman"/>
                <w:color w:val="auto"/>
                <w:sz w:val="24"/>
              </w:rPr>
              <w:t>DZT 0205-2020</w:t>
            </w:r>
            <w:r>
              <w:rPr>
                <w:rFonts w:hint="default" w:ascii="Times New Roman" w:hAnsi="Times New Roman" w:cs="Times New Roman"/>
                <w:color w:val="auto"/>
                <w:sz w:val="24"/>
              </w:rPr>
              <w:t>）的相关要求，综合运用</w:t>
            </w:r>
            <w:r>
              <w:rPr>
                <w:rFonts w:hint="eastAsia" w:ascii="Times New Roman" w:hAnsi="Times New Roman" w:cs="Times New Roman"/>
                <w:color w:val="auto"/>
                <w:sz w:val="24"/>
              </w:rPr>
              <w:t>已有地质成果资料，本次主要以</w:t>
            </w:r>
            <w:r>
              <w:rPr>
                <w:rFonts w:hint="default" w:ascii="Times New Roman" w:hAnsi="Times New Roman" w:cs="Times New Roman"/>
                <w:color w:val="auto"/>
                <w:sz w:val="24"/>
              </w:rPr>
              <w:t>钻探工程、取样分析测试等方法开展勘探工作，重点查明</w:t>
            </w:r>
            <w:r>
              <w:rPr>
                <w:rFonts w:hint="eastAsia" w:ascii="Times New Roman" w:hAnsi="Times New Roman" w:cs="Times New Roman"/>
                <w:color w:val="auto"/>
                <w:sz w:val="24"/>
              </w:rPr>
              <w:t>麦窝坝矿段</w:t>
            </w:r>
            <w:r>
              <w:rPr>
                <w:rFonts w:hint="eastAsia" w:ascii="Times New Roman" w:hAnsi="Times New Roman" w:cs="Times New Roman"/>
                <w:color w:val="auto"/>
                <w:sz w:val="24"/>
                <w:lang w:eastAsia="zh-CN"/>
              </w:rPr>
              <w:t>Ⅶ</w:t>
            </w:r>
            <w:r>
              <w:rPr>
                <w:rFonts w:hint="eastAsia" w:ascii="Times New Roman" w:hAnsi="Times New Roman" w:cs="Times New Roman"/>
                <w:color w:val="auto"/>
                <w:sz w:val="24"/>
              </w:rPr>
              <w:t>矿体2</w:t>
            </w:r>
            <w:r>
              <w:rPr>
                <w:rFonts w:hint="default" w:ascii="Times New Roman" w:hAnsi="Times New Roman" w:cs="Times New Roman"/>
                <w:color w:val="auto"/>
                <w:sz w:val="24"/>
              </w:rPr>
              <w:t>2</w:t>
            </w:r>
            <w:r>
              <w:rPr>
                <w:rFonts w:hint="eastAsia" w:ascii="Times New Roman" w:hAnsi="Times New Roman" w:cs="Times New Roman"/>
                <w:color w:val="auto"/>
                <w:sz w:val="24"/>
              </w:rPr>
              <w:t>线以南</w:t>
            </w:r>
            <w:r>
              <w:rPr>
                <w:rFonts w:hint="default" w:ascii="Times New Roman" w:hAnsi="Times New Roman" w:cs="Times New Roman"/>
                <w:color w:val="auto"/>
                <w:sz w:val="24"/>
              </w:rPr>
              <w:t>矿体的特征，估算</w:t>
            </w:r>
            <w:r>
              <w:rPr>
                <w:rFonts w:hint="eastAsia" w:ascii="Times New Roman" w:hAnsi="Times New Roman" w:cs="Times New Roman"/>
                <w:color w:val="auto"/>
                <w:sz w:val="24"/>
              </w:rPr>
              <w:t>金</w:t>
            </w:r>
            <w:r>
              <w:rPr>
                <w:rFonts w:hint="default" w:ascii="Times New Roman" w:hAnsi="Times New Roman" w:cs="Times New Roman"/>
                <w:color w:val="auto"/>
                <w:sz w:val="24"/>
              </w:rPr>
              <w:t>矿资源量，</w:t>
            </w:r>
            <w:r>
              <w:rPr>
                <w:rFonts w:hint="eastAsia" w:ascii="Times New Roman" w:hAnsi="Times New Roman" w:cs="Times New Roman"/>
                <w:color w:val="auto"/>
                <w:sz w:val="24"/>
              </w:rPr>
              <w:t>详细</w:t>
            </w:r>
            <w:r>
              <w:rPr>
                <w:rFonts w:hint="default" w:ascii="Times New Roman" w:hAnsi="Times New Roman" w:cs="Times New Roman"/>
                <w:color w:val="auto"/>
                <w:sz w:val="24"/>
              </w:rPr>
              <w:t>查明矿床开采技术条件，</w:t>
            </w:r>
            <w:r>
              <w:rPr>
                <w:rFonts w:hint="eastAsia" w:ascii="Times New Roman" w:hAnsi="Times New Roman" w:cs="Times New Roman"/>
                <w:color w:val="auto"/>
                <w:sz w:val="24"/>
              </w:rPr>
              <w:t>通过上述工作，为是矿产开发提供地质依据</w:t>
            </w:r>
            <w:r>
              <w:rPr>
                <w:rFonts w:hint="default" w:ascii="Times New Roman" w:hAnsi="Times New Roman" w:cs="Times New Roman"/>
                <w:color w:val="auto"/>
                <w:sz w:val="24"/>
              </w:rPr>
              <w:t>。本次勘探工作任务是：</w:t>
            </w:r>
          </w:p>
          <w:p w14:paraId="790B07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eastAsia" w:ascii="Times New Roman" w:hAnsi="Times New Roman" w:cs="Times New Roman"/>
                <w:color w:val="auto"/>
                <w:sz w:val="24"/>
              </w:rPr>
              <w:t>1</w:t>
            </w:r>
            <w:r>
              <w:rPr>
                <w:rFonts w:hint="default" w:ascii="Times New Roman" w:hAnsi="Times New Roman" w:cs="Times New Roman"/>
                <w:color w:val="auto"/>
                <w:sz w:val="24"/>
              </w:rPr>
              <w:t>、重点对</w:t>
            </w:r>
            <w:r>
              <w:rPr>
                <w:rFonts w:hint="eastAsia" w:ascii="Times New Roman" w:hAnsi="Times New Roman" w:cs="Times New Roman"/>
                <w:color w:val="auto"/>
                <w:sz w:val="24"/>
              </w:rPr>
              <w:t>麦窝坝矿段</w:t>
            </w:r>
            <w:r>
              <w:rPr>
                <w:rFonts w:hint="eastAsia" w:ascii="Times New Roman" w:hAnsi="Times New Roman" w:cs="Times New Roman"/>
                <w:color w:val="auto"/>
                <w:sz w:val="24"/>
                <w:lang w:eastAsia="zh-CN"/>
              </w:rPr>
              <w:t>Ⅶ</w:t>
            </w:r>
            <w:r>
              <w:rPr>
                <w:rFonts w:hint="eastAsia" w:ascii="Times New Roman" w:hAnsi="Times New Roman" w:cs="Times New Roman"/>
                <w:color w:val="auto"/>
                <w:sz w:val="24"/>
              </w:rPr>
              <w:t>矿体2</w:t>
            </w:r>
            <w:r>
              <w:rPr>
                <w:rFonts w:hint="default" w:ascii="Times New Roman" w:hAnsi="Times New Roman" w:cs="Times New Roman"/>
                <w:color w:val="auto"/>
                <w:sz w:val="24"/>
              </w:rPr>
              <w:t>2</w:t>
            </w:r>
            <w:r>
              <w:rPr>
                <w:rFonts w:hint="eastAsia" w:ascii="Times New Roman" w:hAnsi="Times New Roman" w:cs="Times New Roman"/>
                <w:color w:val="auto"/>
                <w:sz w:val="24"/>
              </w:rPr>
              <w:t>线以南</w:t>
            </w:r>
            <w:r>
              <w:rPr>
                <w:rFonts w:hint="default" w:ascii="Times New Roman" w:hAnsi="Times New Roman" w:cs="Times New Roman"/>
                <w:color w:val="auto"/>
                <w:sz w:val="24"/>
              </w:rPr>
              <w:t>带布置探矿工程进行揭露，基本查明矿体（层）的赋存部位、矿体规模、形态、产状、品位、厚度变化及与主元素矿产之关系。通过系统取样分析，基本查明矿石物质组成、赋存状态、矿石类型、质量及其空间分布规律等特征。</w:t>
            </w:r>
          </w:p>
          <w:p w14:paraId="6C6D30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2、对矿床中共伴生的有用组分，要查明种类、含量及赋存状态和分布富集规律，并研究综合利用回收途径。</w:t>
            </w:r>
          </w:p>
          <w:p w14:paraId="160625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eastAsia" w:ascii="Times New Roman" w:hAnsi="Times New Roman" w:cs="Times New Roman"/>
                <w:color w:val="auto"/>
                <w:sz w:val="24"/>
              </w:rPr>
              <w:t>3</w:t>
            </w:r>
            <w:r>
              <w:rPr>
                <w:rFonts w:hint="default" w:ascii="Times New Roman" w:hAnsi="Times New Roman" w:cs="Times New Roman"/>
                <w:color w:val="auto"/>
                <w:sz w:val="24"/>
              </w:rPr>
              <w:t>、设计主要实物工作量</w:t>
            </w:r>
          </w:p>
          <w:p w14:paraId="6A12AE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钻探13110m</w:t>
            </w:r>
            <w:r>
              <w:rPr>
                <w:rFonts w:hint="eastAsia" w:ascii="Times New Roman" w:hAnsi="Times New Roman" w:cs="Times New Roman"/>
                <w:color w:val="auto"/>
                <w:sz w:val="24"/>
              </w:rPr>
              <w:t>/</w:t>
            </w:r>
            <w:r>
              <w:rPr>
                <w:rFonts w:hint="default" w:ascii="Times New Roman" w:hAnsi="Times New Roman" w:cs="Times New Roman"/>
                <w:color w:val="auto"/>
                <w:sz w:val="24"/>
              </w:rPr>
              <w:t>41</w:t>
            </w:r>
            <w:r>
              <w:rPr>
                <w:rFonts w:hint="eastAsia" w:ascii="Times New Roman" w:hAnsi="Times New Roman" w:cs="Times New Roman"/>
                <w:color w:val="auto"/>
                <w:sz w:val="24"/>
              </w:rPr>
              <w:t>孔；</w:t>
            </w:r>
            <w:r>
              <w:rPr>
                <w:rFonts w:hint="default" w:ascii="Times New Roman" w:hAnsi="Times New Roman" w:cs="Times New Roman"/>
                <w:color w:val="auto"/>
                <w:sz w:val="24"/>
              </w:rPr>
              <w:t>基本分析样11250件等。</w:t>
            </w:r>
          </w:p>
          <w:p w14:paraId="29FEA7C9">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color w:val="auto"/>
                <w:highlight w:val="none"/>
                <w:lang w:eastAsia="zh-CN"/>
              </w:rPr>
            </w:pPr>
          </w:p>
        </w:tc>
      </w:tr>
      <w:tr w14:paraId="7DEAA9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1" w:type="dxa"/>
            <w:tcBorders>
              <w:top w:val="single" w:color="auto" w:sz="4" w:space="0"/>
              <w:left w:val="single" w:color="auto" w:sz="8" w:space="0"/>
              <w:bottom w:val="single" w:color="auto" w:sz="8" w:space="0"/>
              <w:right w:val="single" w:color="auto" w:sz="4" w:space="0"/>
            </w:tcBorders>
            <w:noWrap w:val="0"/>
            <w:vAlign w:val="center"/>
          </w:tcPr>
          <w:p w14:paraId="30EAC1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4"/>
                <w:highlight w:val="none"/>
              </w:rPr>
            </w:pPr>
            <w:r>
              <w:rPr>
                <w:rFonts w:hint="eastAsia" w:ascii="Times New Roman" w:hAnsi="Times New Roman" w:eastAsia="宋体" w:cs="Times New Roman"/>
                <w:b/>
                <w:bCs/>
                <w:color w:val="auto"/>
                <w:kern w:val="0"/>
                <w:sz w:val="24"/>
                <w:highlight w:val="none"/>
              </w:rPr>
              <w:t>其他</w:t>
            </w:r>
          </w:p>
        </w:tc>
        <w:tc>
          <w:tcPr>
            <w:tcW w:w="8153" w:type="dxa"/>
            <w:tcBorders>
              <w:top w:val="single" w:color="auto" w:sz="4" w:space="0"/>
              <w:left w:val="single" w:color="auto" w:sz="4" w:space="0"/>
              <w:bottom w:val="single" w:color="auto" w:sz="8" w:space="0"/>
              <w:right w:val="single" w:color="auto" w:sz="8" w:space="0"/>
            </w:tcBorders>
            <w:noWrap w:val="0"/>
            <w:vAlign w:val="center"/>
          </w:tcPr>
          <w:p w14:paraId="7FF66BBD">
            <w:pPr>
              <w:pStyle w:val="10"/>
              <w:keepNext w:val="0"/>
              <w:keepLines w:val="0"/>
              <w:suppressLineNumbers w:val="0"/>
              <w:spacing w:beforeAutospacing="0" w:afterAutospacing="0"/>
              <w:ind w:left="0"/>
              <w:rPr>
                <w:rFonts w:hint="eastAsia" w:ascii="Times New Roman" w:hAnsi="Times New Roman" w:cs="Times New Roman"/>
                <w:color w:val="auto"/>
                <w:lang w:val="en-US" w:eastAsia="zh-CN"/>
              </w:rPr>
            </w:pPr>
          </w:p>
          <w:p w14:paraId="5BF0B513">
            <w:pPr>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p>
          <w:p w14:paraId="5F7A91AD">
            <w:pPr>
              <w:pStyle w:val="10"/>
              <w:keepNext w:val="0"/>
              <w:keepLines w:val="0"/>
              <w:suppressLineNumbers w:val="0"/>
              <w:spacing w:beforeAutospacing="0" w:afterAutospacing="0"/>
              <w:ind w:left="0"/>
              <w:rPr>
                <w:rFonts w:hint="eastAsia" w:ascii="Times New Roman" w:hAnsi="Times New Roman" w:cs="Times New Roman"/>
                <w:color w:val="auto"/>
                <w:lang w:val="en-US" w:eastAsia="zh-CN"/>
              </w:rPr>
            </w:pPr>
          </w:p>
          <w:p w14:paraId="68F7C19B">
            <w:pPr>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p>
          <w:p w14:paraId="119200E8">
            <w:pPr>
              <w:pStyle w:val="10"/>
              <w:keepNext w:val="0"/>
              <w:keepLines w:val="0"/>
              <w:suppressLineNumbers w:val="0"/>
              <w:spacing w:beforeAutospacing="0" w:afterAutospacing="0"/>
              <w:ind w:left="0"/>
              <w:rPr>
                <w:rFonts w:hint="eastAsia" w:ascii="Times New Roman" w:hAnsi="Times New Roman" w:cs="Times New Roman"/>
                <w:color w:val="auto"/>
                <w:lang w:val="en-US" w:eastAsia="zh-CN"/>
              </w:rPr>
            </w:pPr>
          </w:p>
          <w:p w14:paraId="18AB6AEF">
            <w:pPr>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p>
          <w:p w14:paraId="3004C609">
            <w:pPr>
              <w:pStyle w:val="10"/>
              <w:keepNext w:val="0"/>
              <w:keepLines w:val="0"/>
              <w:suppressLineNumbers w:val="0"/>
              <w:spacing w:beforeAutospacing="0" w:afterAutospacing="0"/>
              <w:ind w:left="0"/>
              <w:rPr>
                <w:rFonts w:hint="eastAsia" w:ascii="Times New Roman" w:hAnsi="Times New Roman" w:cs="Times New Roman"/>
                <w:color w:val="auto"/>
                <w:lang w:val="en-US" w:eastAsia="zh-CN"/>
              </w:rPr>
            </w:pPr>
          </w:p>
          <w:p w14:paraId="64344574">
            <w:pPr>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p>
          <w:p w14:paraId="7C26FE1F">
            <w:pPr>
              <w:keepNext w:val="0"/>
              <w:keepLines w:val="0"/>
              <w:suppressLineNumbers w:val="0"/>
              <w:autoSpaceDE w:val="0"/>
              <w:spacing w:before="0" w:beforeAutospacing="0" w:after="0" w:afterAutospacing="0" w:line="360" w:lineRule="auto"/>
              <w:ind w:left="0" w:right="0"/>
              <w:jc w:val="center"/>
              <w:outlineLvl w:val="2"/>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无</w:t>
            </w:r>
          </w:p>
          <w:p w14:paraId="234909B3">
            <w:pPr>
              <w:pStyle w:val="10"/>
              <w:keepNext w:val="0"/>
              <w:keepLines w:val="0"/>
              <w:suppressLineNumbers w:val="0"/>
              <w:spacing w:beforeAutospacing="0" w:afterAutospacing="0"/>
              <w:ind w:left="0"/>
              <w:rPr>
                <w:rFonts w:hint="eastAsia" w:ascii="Times New Roman" w:hAnsi="Times New Roman" w:cs="Times New Roman"/>
                <w:color w:val="auto"/>
                <w:lang w:val="en-US" w:eastAsia="zh-CN"/>
              </w:rPr>
            </w:pPr>
          </w:p>
          <w:p w14:paraId="0E9C352E">
            <w:pPr>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p>
          <w:p w14:paraId="6DB7A314">
            <w:pPr>
              <w:pStyle w:val="2"/>
              <w:keepNext w:val="0"/>
              <w:keepLines w:val="0"/>
              <w:suppressLineNumbers w:val="0"/>
              <w:spacing w:before="0" w:beforeAutospacing="0" w:after="0" w:afterAutospacing="0"/>
              <w:ind w:left="0" w:right="0"/>
              <w:rPr>
                <w:rFonts w:hint="eastAsia" w:cs="Times New Roman"/>
                <w:color w:val="auto"/>
                <w:lang w:val="en-US" w:eastAsia="zh-CN"/>
              </w:rPr>
            </w:pPr>
          </w:p>
          <w:p w14:paraId="795F9F86">
            <w:pPr>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p>
          <w:p w14:paraId="701B2BB4">
            <w:pPr>
              <w:pStyle w:val="2"/>
              <w:keepNext w:val="0"/>
              <w:keepLines w:val="0"/>
              <w:suppressLineNumbers w:val="0"/>
              <w:spacing w:before="0" w:beforeAutospacing="0" w:after="0" w:afterAutospacing="0"/>
              <w:ind w:left="0" w:right="0"/>
              <w:rPr>
                <w:rFonts w:hint="eastAsia" w:cs="Times New Roman"/>
                <w:color w:val="auto"/>
                <w:lang w:val="en-US" w:eastAsia="zh-CN"/>
              </w:rPr>
            </w:pPr>
          </w:p>
          <w:p w14:paraId="12047C24">
            <w:pPr>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p>
          <w:p w14:paraId="720EC6F0">
            <w:pPr>
              <w:pStyle w:val="2"/>
              <w:keepNext w:val="0"/>
              <w:keepLines w:val="0"/>
              <w:suppressLineNumbers w:val="0"/>
              <w:spacing w:before="0" w:beforeAutospacing="0" w:after="0" w:afterAutospacing="0"/>
              <w:ind w:left="0" w:right="0"/>
              <w:rPr>
                <w:rFonts w:hint="eastAsia" w:cs="Times New Roman"/>
                <w:color w:val="auto"/>
                <w:lang w:val="en-US" w:eastAsia="zh-CN"/>
              </w:rPr>
            </w:pPr>
          </w:p>
          <w:p w14:paraId="59C736B5">
            <w:pPr>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p>
          <w:p w14:paraId="0CA5CC53">
            <w:pPr>
              <w:pStyle w:val="2"/>
              <w:keepNext w:val="0"/>
              <w:keepLines w:val="0"/>
              <w:suppressLineNumbers w:val="0"/>
              <w:spacing w:before="0" w:beforeAutospacing="0" w:after="0" w:afterAutospacing="0"/>
              <w:ind w:left="0" w:right="0"/>
              <w:rPr>
                <w:rFonts w:hint="eastAsia" w:cs="Times New Roman"/>
                <w:color w:val="auto"/>
                <w:lang w:val="en-US" w:eastAsia="zh-CN"/>
              </w:rPr>
            </w:pPr>
          </w:p>
          <w:p w14:paraId="2F20AFB6">
            <w:pPr>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p>
          <w:p w14:paraId="4EF7D462">
            <w:pPr>
              <w:pStyle w:val="10"/>
              <w:keepNext w:val="0"/>
              <w:keepLines w:val="0"/>
              <w:suppressLineNumbers w:val="0"/>
              <w:spacing w:beforeAutospacing="0" w:afterAutospacing="0"/>
              <w:ind w:left="0"/>
              <w:rPr>
                <w:rFonts w:hint="eastAsia" w:ascii="Times New Roman" w:hAnsi="Times New Roman" w:cs="Times New Roman"/>
                <w:color w:val="auto"/>
                <w:lang w:val="en-US" w:eastAsia="zh-CN"/>
              </w:rPr>
            </w:pPr>
          </w:p>
          <w:p w14:paraId="5617F965">
            <w:pPr>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p>
          <w:p w14:paraId="67385E11">
            <w:pPr>
              <w:keepNext w:val="0"/>
              <w:keepLines w:val="0"/>
              <w:suppressLineNumbers w:val="0"/>
              <w:spacing w:before="0" w:beforeAutospacing="0" w:after="0" w:afterAutospacing="0"/>
              <w:ind w:left="0" w:right="0"/>
              <w:rPr>
                <w:rFonts w:hint="default" w:ascii="Times New Roman" w:hAnsi="Times New Roman" w:cs="Times New Roman"/>
                <w:color w:val="auto"/>
                <w:lang w:val="en-US" w:eastAsia="zh-CN"/>
              </w:rPr>
            </w:pPr>
          </w:p>
        </w:tc>
      </w:tr>
    </w:tbl>
    <w:p w14:paraId="3E45DF7A">
      <w:pPr>
        <w:pStyle w:val="26"/>
        <w:numPr>
          <w:ilvl w:val="0"/>
          <w:numId w:val="0"/>
        </w:numPr>
        <w:spacing w:before="0" w:beforeAutospacing="0" w:after="0" w:afterAutospacing="0"/>
        <w:jc w:val="center"/>
        <w:outlineLvl w:val="0"/>
        <w:rPr>
          <w:rFonts w:hint="eastAsia" w:ascii="黑体" w:hAnsi="黑体" w:eastAsia="黑体"/>
          <w:snapToGrid w:val="0"/>
          <w:color w:val="auto"/>
          <w:sz w:val="30"/>
          <w:szCs w:val="30"/>
          <w:lang w:val="en-US" w:eastAsia="zh-CN"/>
        </w:rPr>
        <w:sectPr>
          <w:pgSz w:w="11905" w:h="16838"/>
          <w:pgMar w:top="1440" w:right="1701" w:bottom="1440" w:left="1701" w:header="851" w:footer="1077" w:gutter="0"/>
          <w:pgNumType w:fmt="decimal"/>
          <w:cols w:space="720" w:num="1"/>
          <w:docGrid w:type="lines" w:linePitch="317" w:charSpace="0"/>
        </w:sectPr>
      </w:pPr>
    </w:p>
    <w:p w14:paraId="70928B42">
      <w:pPr>
        <w:spacing w:line="560" w:lineRule="exact"/>
        <w:ind w:firstLine="482" w:firstLineChars="200"/>
        <w:jc w:val="center"/>
        <w:rPr>
          <w:rFonts w:ascii="Times New Roman" w:hAnsi="Times New Roman" w:eastAsia="宋体" w:cs="Times New Roman"/>
          <w:color w:val="auto"/>
          <w:szCs w:val="28"/>
        </w:rPr>
      </w:pPr>
      <w:r>
        <w:rPr>
          <w:rFonts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2-3</w:t>
      </w:r>
      <w:r>
        <w:rPr>
          <w:rFonts w:ascii="Times New Roman" w:hAnsi="Times New Roman" w:eastAsia="宋体" w:cs="Times New Roman"/>
          <w:b/>
          <w:bCs/>
          <w:color w:val="auto"/>
          <w:sz w:val="24"/>
        </w:rPr>
        <w:t xml:space="preserve">  </w:t>
      </w:r>
      <w:r>
        <w:rPr>
          <w:rFonts w:hint="eastAsia" w:ascii="Times New Roman" w:hAnsi="Times New Roman" w:eastAsia="宋体" w:cs="Times New Roman"/>
          <w:b/>
          <w:bCs/>
          <w:color w:val="auto"/>
          <w:sz w:val="24"/>
        </w:rPr>
        <w:t>芒市金矿麦窝坝矿段</w:t>
      </w:r>
      <w:r>
        <w:rPr>
          <w:rFonts w:ascii="Times New Roman" w:hAnsi="Times New Roman" w:eastAsia="宋体" w:cs="Times New Roman"/>
          <w:b/>
          <w:bCs/>
          <w:color w:val="auto"/>
          <w:sz w:val="24"/>
        </w:rPr>
        <w:t>设计钻探工程一览表</w:t>
      </w:r>
    </w:p>
    <w:tbl>
      <w:tblPr>
        <w:tblStyle w:val="31"/>
        <w:tblW w:w="5000" w:type="pct"/>
        <w:tblInd w:w="0" w:type="dxa"/>
        <w:tblLayout w:type="autofit"/>
        <w:tblCellMar>
          <w:top w:w="0" w:type="dxa"/>
          <w:left w:w="108" w:type="dxa"/>
          <w:bottom w:w="0" w:type="dxa"/>
          <w:right w:w="108" w:type="dxa"/>
        </w:tblCellMar>
      </w:tblPr>
      <w:tblGrid>
        <w:gridCol w:w="829"/>
        <w:gridCol w:w="1570"/>
        <w:gridCol w:w="1578"/>
        <w:gridCol w:w="1715"/>
        <w:gridCol w:w="1169"/>
        <w:gridCol w:w="1378"/>
        <w:gridCol w:w="829"/>
        <w:gridCol w:w="829"/>
        <w:gridCol w:w="1730"/>
        <w:gridCol w:w="1378"/>
        <w:gridCol w:w="1169"/>
      </w:tblGrid>
      <w:tr w14:paraId="0C461C4C">
        <w:tblPrEx>
          <w:tblCellMar>
            <w:top w:w="0" w:type="dxa"/>
            <w:left w:w="108" w:type="dxa"/>
            <w:bottom w:w="0" w:type="dxa"/>
            <w:right w:w="108" w:type="dxa"/>
          </w:tblCellMar>
        </w:tblPrEx>
        <w:trPr>
          <w:trHeight w:val="227" w:hRule="atLeast"/>
          <w:tblHeader/>
        </w:trPr>
        <w:tc>
          <w:tcPr>
            <w:tcW w:w="0" w:type="auto"/>
            <w:tcBorders>
              <w:top w:val="single" w:color="auto" w:sz="4" w:space="0"/>
              <w:left w:val="single" w:color="auto" w:sz="4" w:space="0"/>
              <w:bottom w:val="single" w:color="auto" w:sz="4" w:space="0"/>
              <w:right w:val="single" w:color="auto" w:sz="4" w:space="0"/>
            </w:tcBorders>
            <w:noWrap/>
            <w:vAlign w:val="center"/>
          </w:tcPr>
          <w:p w14:paraId="7AF8C6E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eastAsia" w:ascii="宋体" w:hAnsi="宋体" w:eastAsia="宋体" w:cs="Times New Roman"/>
                <w:b/>
                <w:bCs/>
                <w:color w:val="auto"/>
                <w:kern w:val="0"/>
                <w:szCs w:val="21"/>
              </w:rPr>
              <w:t>序号</w:t>
            </w:r>
          </w:p>
        </w:tc>
        <w:tc>
          <w:tcPr>
            <w:tcW w:w="0" w:type="auto"/>
            <w:tcBorders>
              <w:top w:val="single" w:color="auto" w:sz="4" w:space="0"/>
              <w:left w:val="nil"/>
              <w:bottom w:val="single" w:color="auto" w:sz="4" w:space="0"/>
              <w:right w:val="single" w:color="auto" w:sz="4" w:space="0"/>
            </w:tcBorders>
            <w:noWrap/>
            <w:vAlign w:val="center"/>
          </w:tcPr>
          <w:p w14:paraId="7C1D2DA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eastAsia" w:ascii="宋体" w:hAnsi="宋体" w:eastAsia="宋体" w:cs="Times New Roman"/>
                <w:b/>
                <w:bCs/>
                <w:color w:val="auto"/>
                <w:kern w:val="0"/>
                <w:szCs w:val="21"/>
              </w:rPr>
              <w:t>钻孔编号</w:t>
            </w:r>
          </w:p>
        </w:tc>
        <w:tc>
          <w:tcPr>
            <w:tcW w:w="0" w:type="auto"/>
            <w:tcBorders>
              <w:top w:val="single" w:color="auto" w:sz="4" w:space="0"/>
              <w:left w:val="nil"/>
              <w:bottom w:val="single" w:color="auto" w:sz="4" w:space="0"/>
              <w:right w:val="single" w:color="auto" w:sz="4" w:space="0"/>
            </w:tcBorders>
            <w:noWrap/>
            <w:vAlign w:val="center"/>
          </w:tcPr>
          <w:p w14:paraId="47C9574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X</w:t>
            </w:r>
          </w:p>
        </w:tc>
        <w:tc>
          <w:tcPr>
            <w:tcW w:w="0" w:type="auto"/>
            <w:tcBorders>
              <w:top w:val="single" w:color="auto" w:sz="4" w:space="0"/>
              <w:left w:val="nil"/>
              <w:bottom w:val="single" w:color="auto" w:sz="4" w:space="0"/>
              <w:right w:val="single" w:color="auto" w:sz="4" w:space="0"/>
            </w:tcBorders>
            <w:noWrap/>
            <w:vAlign w:val="center"/>
          </w:tcPr>
          <w:p w14:paraId="5A9D980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Y</w:t>
            </w:r>
          </w:p>
        </w:tc>
        <w:tc>
          <w:tcPr>
            <w:tcW w:w="0" w:type="auto"/>
            <w:tcBorders>
              <w:top w:val="single" w:color="auto" w:sz="4" w:space="0"/>
              <w:left w:val="nil"/>
              <w:bottom w:val="single" w:color="auto" w:sz="4" w:space="0"/>
              <w:right w:val="single" w:color="auto" w:sz="4" w:space="0"/>
            </w:tcBorders>
            <w:noWrap/>
            <w:vAlign w:val="center"/>
          </w:tcPr>
          <w:p w14:paraId="560CFE1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H</w:t>
            </w:r>
          </w:p>
        </w:tc>
        <w:tc>
          <w:tcPr>
            <w:tcW w:w="0" w:type="auto"/>
            <w:tcBorders>
              <w:top w:val="single" w:color="auto" w:sz="4" w:space="0"/>
              <w:left w:val="nil"/>
              <w:bottom w:val="single" w:color="auto" w:sz="4" w:space="0"/>
              <w:right w:val="single" w:color="auto" w:sz="4" w:space="0"/>
            </w:tcBorders>
            <w:noWrap w:val="0"/>
            <w:vAlign w:val="center"/>
          </w:tcPr>
          <w:p w14:paraId="6E14BE26">
            <w:pPr>
              <w:keepNext w:val="0"/>
              <w:keepLines w:val="0"/>
              <w:widowControl/>
              <w:suppressLineNumbers w:val="0"/>
              <w:spacing w:before="0" w:beforeAutospacing="0" w:after="0" w:afterAutospacing="0"/>
              <w:ind w:left="0" w:right="0"/>
              <w:jc w:val="center"/>
              <w:rPr>
                <w:rFonts w:hint="eastAsia" w:ascii="宋体" w:hAnsi="宋体" w:eastAsia="宋体" w:cs="Times New Roman"/>
                <w:b/>
                <w:bCs/>
                <w:color w:val="auto"/>
                <w:kern w:val="0"/>
                <w:szCs w:val="21"/>
                <w:lang w:eastAsia="zh-CN"/>
              </w:rPr>
            </w:pPr>
            <w:r>
              <w:rPr>
                <w:rFonts w:hint="eastAsia" w:ascii="宋体" w:hAnsi="宋体" w:eastAsia="宋体" w:cs="Times New Roman"/>
                <w:b/>
                <w:bCs/>
                <w:color w:val="auto"/>
                <w:kern w:val="0"/>
                <w:szCs w:val="21"/>
              </w:rPr>
              <w:t>设计深度</w:t>
            </w:r>
          </w:p>
          <w:p w14:paraId="64E0B6A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eastAsia" w:ascii="宋体" w:hAnsi="宋体" w:eastAsia="宋体" w:cs="Times New Roman"/>
                <w:b/>
                <w:bCs/>
                <w:color w:val="auto"/>
                <w:kern w:val="0"/>
                <w:szCs w:val="21"/>
              </w:rPr>
              <w:t>（</w:t>
            </w:r>
            <w:r>
              <w:rPr>
                <w:rFonts w:hint="default" w:ascii="Times New Roman" w:hAnsi="Times New Roman" w:eastAsia="宋体" w:cs="Times New Roman"/>
                <w:b/>
                <w:bCs/>
                <w:color w:val="auto"/>
                <w:kern w:val="0"/>
                <w:szCs w:val="21"/>
              </w:rPr>
              <w:t>m</w:t>
            </w:r>
            <w:r>
              <w:rPr>
                <w:rFonts w:hint="eastAsia" w:ascii="宋体" w:hAnsi="宋体" w:eastAsia="宋体" w:cs="Times New Roman"/>
                <w:b/>
                <w:bCs/>
                <w:color w:val="auto"/>
                <w:kern w:val="0"/>
                <w:szCs w:val="21"/>
              </w:rPr>
              <w:t>）</w:t>
            </w:r>
          </w:p>
        </w:tc>
        <w:tc>
          <w:tcPr>
            <w:tcW w:w="0" w:type="auto"/>
            <w:tcBorders>
              <w:top w:val="single" w:color="auto" w:sz="4" w:space="0"/>
              <w:left w:val="nil"/>
              <w:bottom w:val="single" w:color="auto" w:sz="4" w:space="0"/>
              <w:right w:val="single" w:color="auto" w:sz="4" w:space="0"/>
            </w:tcBorders>
            <w:noWrap w:val="0"/>
            <w:vAlign w:val="center"/>
          </w:tcPr>
          <w:p w14:paraId="1493F1C8">
            <w:pPr>
              <w:keepNext w:val="0"/>
              <w:keepLines w:val="0"/>
              <w:widowControl/>
              <w:suppressLineNumbers w:val="0"/>
              <w:spacing w:before="0" w:beforeAutospacing="0" w:after="0" w:afterAutospacing="0"/>
              <w:ind w:left="0" w:right="0"/>
              <w:jc w:val="center"/>
              <w:rPr>
                <w:rFonts w:hint="eastAsia" w:ascii="宋体" w:hAnsi="宋体" w:eastAsia="宋体" w:cs="Times New Roman"/>
                <w:b/>
                <w:bCs/>
                <w:color w:val="auto"/>
                <w:kern w:val="0"/>
                <w:szCs w:val="21"/>
                <w:lang w:eastAsia="zh-CN"/>
              </w:rPr>
            </w:pPr>
            <w:r>
              <w:rPr>
                <w:rFonts w:hint="eastAsia" w:ascii="宋体" w:hAnsi="宋体" w:eastAsia="宋体" w:cs="Times New Roman"/>
                <w:b/>
                <w:bCs/>
                <w:color w:val="auto"/>
                <w:kern w:val="0"/>
                <w:szCs w:val="21"/>
              </w:rPr>
              <w:t>方位</w:t>
            </w:r>
          </w:p>
          <w:p w14:paraId="77164C1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w:t>
            </w:r>
          </w:p>
        </w:tc>
        <w:tc>
          <w:tcPr>
            <w:tcW w:w="0" w:type="auto"/>
            <w:tcBorders>
              <w:top w:val="single" w:color="auto" w:sz="4" w:space="0"/>
              <w:left w:val="nil"/>
              <w:bottom w:val="single" w:color="auto" w:sz="4" w:space="0"/>
              <w:right w:val="single" w:color="auto" w:sz="4" w:space="0"/>
            </w:tcBorders>
            <w:noWrap w:val="0"/>
            <w:vAlign w:val="center"/>
          </w:tcPr>
          <w:p w14:paraId="2AD40818">
            <w:pPr>
              <w:keepNext w:val="0"/>
              <w:keepLines w:val="0"/>
              <w:widowControl/>
              <w:suppressLineNumbers w:val="0"/>
              <w:spacing w:before="0" w:beforeAutospacing="0" w:after="0" w:afterAutospacing="0"/>
              <w:ind w:left="0" w:right="0"/>
              <w:jc w:val="center"/>
              <w:rPr>
                <w:rFonts w:hint="eastAsia" w:ascii="宋体" w:hAnsi="宋体" w:eastAsia="宋体" w:cs="Times New Roman"/>
                <w:b/>
                <w:bCs/>
                <w:color w:val="auto"/>
                <w:kern w:val="0"/>
                <w:szCs w:val="21"/>
                <w:lang w:eastAsia="zh-CN"/>
              </w:rPr>
            </w:pPr>
            <w:r>
              <w:rPr>
                <w:rFonts w:hint="eastAsia" w:ascii="宋体" w:hAnsi="宋体" w:eastAsia="宋体" w:cs="Times New Roman"/>
                <w:b/>
                <w:bCs/>
                <w:color w:val="auto"/>
                <w:kern w:val="0"/>
                <w:szCs w:val="21"/>
              </w:rPr>
              <w:t>倾角</w:t>
            </w:r>
          </w:p>
          <w:p w14:paraId="239735E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w:t>
            </w:r>
          </w:p>
        </w:tc>
        <w:tc>
          <w:tcPr>
            <w:tcW w:w="0" w:type="auto"/>
            <w:tcBorders>
              <w:top w:val="single" w:color="auto" w:sz="4" w:space="0"/>
              <w:left w:val="nil"/>
              <w:bottom w:val="single" w:color="auto" w:sz="4" w:space="0"/>
              <w:right w:val="single" w:color="auto" w:sz="4" w:space="0"/>
            </w:tcBorders>
            <w:noWrap/>
            <w:vAlign w:val="center"/>
          </w:tcPr>
          <w:p w14:paraId="66D7C33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eastAsia" w:ascii="宋体" w:hAnsi="宋体" w:eastAsia="宋体" w:cs="Times New Roman"/>
                <w:b/>
                <w:bCs/>
                <w:color w:val="auto"/>
                <w:kern w:val="0"/>
                <w:szCs w:val="21"/>
              </w:rPr>
              <w:t>工作量</w:t>
            </w:r>
          </w:p>
        </w:tc>
        <w:tc>
          <w:tcPr>
            <w:tcW w:w="0" w:type="auto"/>
            <w:tcBorders>
              <w:top w:val="single" w:color="auto" w:sz="4" w:space="0"/>
              <w:left w:val="nil"/>
              <w:bottom w:val="single" w:color="auto" w:sz="4" w:space="0"/>
              <w:right w:val="single" w:color="auto" w:sz="4" w:space="0"/>
            </w:tcBorders>
            <w:noWrap/>
            <w:vAlign w:val="center"/>
          </w:tcPr>
          <w:p w14:paraId="7FCBE2E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eastAsia" w:ascii="宋体" w:hAnsi="宋体" w:eastAsia="宋体" w:cs="Times New Roman"/>
                <w:b/>
                <w:bCs/>
                <w:color w:val="auto"/>
                <w:kern w:val="0"/>
                <w:szCs w:val="21"/>
              </w:rPr>
              <w:t>施工顺序</w:t>
            </w:r>
          </w:p>
        </w:tc>
        <w:tc>
          <w:tcPr>
            <w:tcW w:w="0" w:type="auto"/>
            <w:tcBorders>
              <w:top w:val="single" w:color="auto" w:sz="4" w:space="0"/>
              <w:left w:val="nil"/>
              <w:bottom w:val="single" w:color="auto" w:sz="4" w:space="0"/>
              <w:right w:val="single" w:color="auto" w:sz="4" w:space="0"/>
            </w:tcBorders>
            <w:noWrap/>
            <w:vAlign w:val="center"/>
          </w:tcPr>
          <w:p w14:paraId="4A81F02B">
            <w:pPr>
              <w:keepNext w:val="0"/>
              <w:keepLines w:val="0"/>
              <w:widowControl/>
              <w:suppressLineNumbers w:val="0"/>
              <w:spacing w:before="0" w:beforeAutospacing="0" w:after="0" w:afterAutospacing="0"/>
              <w:ind w:left="0" w:right="0"/>
              <w:jc w:val="left"/>
              <w:rPr>
                <w:rFonts w:hint="default" w:ascii="宋体" w:hAnsi="宋体" w:eastAsia="宋体" w:cs="宋体"/>
                <w:b/>
                <w:bCs/>
                <w:color w:val="auto"/>
                <w:kern w:val="0"/>
                <w:szCs w:val="21"/>
              </w:rPr>
            </w:pPr>
            <w:r>
              <w:rPr>
                <w:rFonts w:hint="eastAsia" w:ascii="宋体" w:hAnsi="宋体" w:eastAsia="宋体" w:cs="宋体"/>
                <w:b/>
                <w:bCs/>
                <w:color w:val="auto"/>
                <w:kern w:val="0"/>
                <w:szCs w:val="21"/>
              </w:rPr>
              <w:t>备注</w:t>
            </w:r>
          </w:p>
        </w:tc>
      </w:tr>
      <w:tr w14:paraId="58FC7831">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3D3849F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0" w:type="auto"/>
            <w:tcBorders>
              <w:top w:val="nil"/>
              <w:left w:val="nil"/>
              <w:bottom w:val="single" w:color="auto" w:sz="4" w:space="0"/>
              <w:right w:val="single" w:color="auto" w:sz="4" w:space="0"/>
            </w:tcBorders>
            <w:noWrap w:val="0"/>
            <w:vAlign w:val="center"/>
          </w:tcPr>
          <w:p w14:paraId="37BFF75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22ZK3001</w:t>
            </w:r>
          </w:p>
        </w:tc>
        <w:tc>
          <w:tcPr>
            <w:tcW w:w="0" w:type="auto"/>
            <w:tcBorders>
              <w:top w:val="nil"/>
              <w:left w:val="nil"/>
              <w:bottom w:val="single" w:color="auto" w:sz="4" w:space="0"/>
              <w:right w:val="single" w:color="auto" w:sz="4" w:space="0"/>
            </w:tcBorders>
            <w:noWrap w:val="0"/>
            <w:vAlign w:val="center"/>
          </w:tcPr>
          <w:p w14:paraId="12BD200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2689428.99</w:t>
            </w:r>
          </w:p>
        </w:tc>
        <w:tc>
          <w:tcPr>
            <w:tcW w:w="0" w:type="auto"/>
            <w:tcBorders>
              <w:top w:val="nil"/>
              <w:left w:val="nil"/>
              <w:bottom w:val="single" w:color="auto" w:sz="4" w:space="0"/>
              <w:right w:val="single" w:color="auto" w:sz="4" w:space="0"/>
            </w:tcBorders>
            <w:noWrap w:val="0"/>
            <w:vAlign w:val="center"/>
          </w:tcPr>
          <w:p w14:paraId="03CF7AC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33435229.46</w:t>
            </w:r>
          </w:p>
        </w:tc>
        <w:tc>
          <w:tcPr>
            <w:tcW w:w="0" w:type="auto"/>
            <w:tcBorders>
              <w:top w:val="nil"/>
              <w:left w:val="nil"/>
              <w:bottom w:val="single" w:color="auto" w:sz="4" w:space="0"/>
              <w:right w:val="single" w:color="auto" w:sz="4" w:space="0"/>
            </w:tcBorders>
            <w:noWrap w:val="0"/>
            <w:vAlign w:val="center"/>
          </w:tcPr>
          <w:p w14:paraId="2DD6AD3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1410.03</w:t>
            </w:r>
          </w:p>
        </w:tc>
        <w:tc>
          <w:tcPr>
            <w:tcW w:w="0" w:type="auto"/>
            <w:tcBorders>
              <w:top w:val="nil"/>
              <w:left w:val="nil"/>
              <w:bottom w:val="single" w:color="auto" w:sz="4" w:space="0"/>
              <w:right w:val="single" w:color="auto" w:sz="4" w:space="0"/>
            </w:tcBorders>
            <w:noWrap w:val="0"/>
            <w:vAlign w:val="center"/>
          </w:tcPr>
          <w:p w14:paraId="6243F05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450</w:t>
            </w:r>
          </w:p>
        </w:tc>
        <w:tc>
          <w:tcPr>
            <w:tcW w:w="0" w:type="auto"/>
            <w:tcBorders>
              <w:top w:val="nil"/>
              <w:left w:val="nil"/>
              <w:bottom w:val="single" w:color="auto" w:sz="4" w:space="0"/>
              <w:right w:val="single" w:color="auto" w:sz="4" w:space="0"/>
            </w:tcBorders>
            <w:noWrap w:val="0"/>
            <w:vAlign w:val="center"/>
          </w:tcPr>
          <w:p w14:paraId="25D4A43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1B493BB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restart"/>
            <w:tcBorders>
              <w:top w:val="nil"/>
              <w:left w:val="single" w:color="auto" w:sz="4" w:space="0"/>
              <w:bottom w:val="single" w:color="auto" w:sz="4" w:space="0"/>
              <w:right w:val="single" w:color="auto" w:sz="4" w:space="0"/>
            </w:tcBorders>
            <w:noWrap/>
            <w:vAlign w:val="center"/>
          </w:tcPr>
          <w:p w14:paraId="1C47A13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3860m/10</w:t>
            </w:r>
            <w:r>
              <w:rPr>
                <w:rFonts w:hint="eastAsia" w:ascii="宋体" w:hAnsi="宋体" w:eastAsia="宋体" w:cs="Times New Roman"/>
                <w:color w:val="auto"/>
                <w:kern w:val="0"/>
                <w:szCs w:val="21"/>
              </w:rPr>
              <w:t>孔</w:t>
            </w:r>
          </w:p>
        </w:tc>
        <w:tc>
          <w:tcPr>
            <w:tcW w:w="0" w:type="auto"/>
            <w:vMerge w:val="restart"/>
            <w:tcBorders>
              <w:top w:val="nil"/>
              <w:left w:val="single" w:color="auto" w:sz="4" w:space="0"/>
              <w:bottom w:val="single" w:color="auto" w:sz="4" w:space="0"/>
              <w:right w:val="single" w:color="auto" w:sz="4" w:space="0"/>
            </w:tcBorders>
            <w:noWrap/>
            <w:vAlign w:val="center"/>
          </w:tcPr>
          <w:p w14:paraId="3C78775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eastAsia" w:ascii="宋体" w:hAnsi="宋体" w:eastAsia="宋体" w:cs="Times New Roman"/>
                <w:color w:val="auto"/>
                <w:kern w:val="0"/>
                <w:szCs w:val="21"/>
              </w:rPr>
              <w:t>第一阶段</w:t>
            </w:r>
          </w:p>
        </w:tc>
        <w:tc>
          <w:tcPr>
            <w:tcW w:w="0" w:type="auto"/>
            <w:tcBorders>
              <w:top w:val="nil"/>
              <w:left w:val="nil"/>
              <w:bottom w:val="single" w:color="auto" w:sz="4" w:space="0"/>
              <w:right w:val="single" w:color="auto" w:sz="4" w:space="0"/>
            </w:tcBorders>
            <w:noWrap/>
            <w:vAlign w:val="center"/>
          </w:tcPr>
          <w:p w14:paraId="6BE1A7C0">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347C0461">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6286924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w:t>
            </w:r>
          </w:p>
        </w:tc>
        <w:tc>
          <w:tcPr>
            <w:tcW w:w="0" w:type="auto"/>
            <w:tcBorders>
              <w:top w:val="nil"/>
              <w:left w:val="nil"/>
              <w:bottom w:val="single" w:color="auto" w:sz="4" w:space="0"/>
              <w:right w:val="single" w:color="auto" w:sz="4" w:space="0"/>
            </w:tcBorders>
            <w:noWrap w:val="0"/>
            <w:vAlign w:val="center"/>
          </w:tcPr>
          <w:p w14:paraId="4146068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22ZK3002</w:t>
            </w:r>
          </w:p>
        </w:tc>
        <w:tc>
          <w:tcPr>
            <w:tcW w:w="0" w:type="auto"/>
            <w:tcBorders>
              <w:top w:val="nil"/>
              <w:left w:val="nil"/>
              <w:bottom w:val="single" w:color="auto" w:sz="4" w:space="0"/>
              <w:right w:val="single" w:color="auto" w:sz="4" w:space="0"/>
            </w:tcBorders>
            <w:noWrap w:val="0"/>
            <w:vAlign w:val="center"/>
          </w:tcPr>
          <w:p w14:paraId="4C863D7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2689371.41</w:t>
            </w:r>
          </w:p>
        </w:tc>
        <w:tc>
          <w:tcPr>
            <w:tcW w:w="0" w:type="auto"/>
            <w:tcBorders>
              <w:top w:val="nil"/>
              <w:left w:val="nil"/>
              <w:bottom w:val="single" w:color="auto" w:sz="4" w:space="0"/>
              <w:right w:val="single" w:color="auto" w:sz="4" w:space="0"/>
            </w:tcBorders>
            <w:noWrap w:val="0"/>
            <w:vAlign w:val="center"/>
          </w:tcPr>
          <w:p w14:paraId="1571C87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33435325.91</w:t>
            </w:r>
          </w:p>
        </w:tc>
        <w:tc>
          <w:tcPr>
            <w:tcW w:w="0" w:type="auto"/>
            <w:tcBorders>
              <w:top w:val="nil"/>
              <w:left w:val="nil"/>
              <w:bottom w:val="single" w:color="auto" w:sz="4" w:space="0"/>
              <w:right w:val="single" w:color="auto" w:sz="4" w:space="0"/>
            </w:tcBorders>
            <w:noWrap w:val="0"/>
            <w:vAlign w:val="center"/>
          </w:tcPr>
          <w:p w14:paraId="072EC06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1407.13</w:t>
            </w:r>
          </w:p>
        </w:tc>
        <w:tc>
          <w:tcPr>
            <w:tcW w:w="0" w:type="auto"/>
            <w:tcBorders>
              <w:top w:val="nil"/>
              <w:left w:val="nil"/>
              <w:bottom w:val="single" w:color="auto" w:sz="4" w:space="0"/>
              <w:right w:val="single" w:color="auto" w:sz="4" w:space="0"/>
            </w:tcBorders>
            <w:noWrap w:val="0"/>
            <w:vAlign w:val="center"/>
          </w:tcPr>
          <w:p w14:paraId="2963B66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280</w:t>
            </w:r>
          </w:p>
        </w:tc>
        <w:tc>
          <w:tcPr>
            <w:tcW w:w="0" w:type="auto"/>
            <w:tcBorders>
              <w:top w:val="nil"/>
              <w:left w:val="nil"/>
              <w:bottom w:val="single" w:color="auto" w:sz="4" w:space="0"/>
              <w:right w:val="single" w:color="auto" w:sz="4" w:space="0"/>
            </w:tcBorders>
            <w:noWrap w:val="0"/>
            <w:vAlign w:val="center"/>
          </w:tcPr>
          <w:p w14:paraId="5E93DED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120</w:t>
            </w:r>
          </w:p>
        </w:tc>
        <w:tc>
          <w:tcPr>
            <w:tcW w:w="0" w:type="auto"/>
            <w:tcBorders>
              <w:top w:val="nil"/>
              <w:left w:val="nil"/>
              <w:bottom w:val="single" w:color="auto" w:sz="4" w:space="0"/>
              <w:right w:val="single" w:color="auto" w:sz="4" w:space="0"/>
            </w:tcBorders>
            <w:noWrap w:val="0"/>
            <w:vAlign w:val="center"/>
          </w:tcPr>
          <w:p w14:paraId="2357FAE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77</w:t>
            </w:r>
          </w:p>
        </w:tc>
        <w:tc>
          <w:tcPr>
            <w:tcW w:w="0" w:type="auto"/>
            <w:vMerge w:val="continue"/>
            <w:tcBorders>
              <w:top w:val="nil"/>
              <w:left w:val="single" w:color="auto" w:sz="4" w:space="0"/>
              <w:bottom w:val="single" w:color="auto" w:sz="4" w:space="0"/>
              <w:right w:val="single" w:color="auto" w:sz="4" w:space="0"/>
            </w:tcBorders>
            <w:noWrap w:val="0"/>
            <w:vAlign w:val="center"/>
          </w:tcPr>
          <w:p w14:paraId="0E6EF54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0EF113CB">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7E7AC5C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266B63F7">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627ABE8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w:t>
            </w:r>
          </w:p>
        </w:tc>
        <w:tc>
          <w:tcPr>
            <w:tcW w:w="0" w:type="auto"/>
            <w:tcBorders>
              <w:top w:val="nil"/>
              <w:left w:val="nil"/>
              <w:bottom w:val="single" w:color="auto" w:sz="4" w:space="0"/>
              <w:right w:val="single" w:color="auto" w:sz="4" w:space="0"/>
            </w:tcBorders>
            <w:noWrap w:val="0"/>
            <w:vAlign w:val="center"/>
          </w:tcPr>
          <w:p w14:paraId="6118364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22Zk3202</w:t>
            </w:r>
          </w:p>
        </w:tc>
        <w:tc>
          <w:tcPr>
            <w:tcW w:w="0" w:type="auto"/>
            <w:tcBorders>
              <w:top w:val="nil"/>
              <w:left w:val="nil"/>
              <w:bottom w:val="single" w:color="auto" w:sz="4" w:space="0"/>
              <w:right w:val="single" w:color="auto" w:sz="4" w:space="0"/>
            </w:tcBorders>
            <w:noWrap w:val="0"/>
            <w:vAlign w:val="center"/>
          </w:tcPr>
          <w:p w14:paraId="3C09042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2689231.89</w:t>
            </w:r>
          </w:p>
        </w:tc>
        <w:tc>
          <w:tcPr>
            <w:tcW w:w="0" w:type="auto"/>
            <w:tcBorders>
              <w:top w:val="nil"/>
              <w:left w:val="nil"/>
              <w:bottom w:val="single" w:color="auto" w:sz="4" w:space="0"/>
              <w:right w:val="single" w:color="auto" w:sz="4" w:space="0"/>
            </w:tcBorders>
            <w:noWrap w:val="0"/>
            <w:vAlign w:val="center"/>
          </w:tcPr>
          <w:p w14:paraId="3D6AC24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33435255.73</w:t>
            </w:r>
          </w:p>
        </w:tc>
        <w:tc>
          <w:tcPr>
            <w:tcW w:w="0" w:type="auto"/>
            <w:tcBorders>
              <w:top w:val="nil"/>
              <w:left w:val="nil"/>
              <w:bottom w:val="single" w:color="auto" w:sz="4" w:space="0"/>
              <w:right w:val="single" w:color="auto" w:sz="4" w:space="0"/>
            </w:tcBorders>
            <w:noWrap w:val="0"/>
            <w:vAlign w:val="center"/>
          </w:tcPr>
          <w:p w14:paraId="342A42E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1495.91</w:t>
            </w:r>
          </w:p>
        </w:tc>
        <w:tc>
          <w:tcPr>
            <w:tcW w:w="0" w:type="auto"/>
            <w:tcBorders>
              <w:top w:val="nil"/>
              <w:left w:val="nil"/>
              <w:bottom w:val="single" w:color="auto" w:sz="4" w:space="0"/>
              <w:right w:val="single" w:color="auto" w:sz="4" w:space="0"/>
            </w:tcBorders>
            <w:noWrap w:val="0"/>
            <w:vAlign w:val="center"/>
          </w:tcPr>
          <w:p w14:paraId="624E56B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320</w:t>
            </w:r>
          </w:p>
        </w:tc>
        <w:tc>
          <w:tcPr>
            <w:tcW w:w="0" w:type="auto"/>
            <w:tcBorders>
              <w:top w:val="nil"/>
              <w:left w:val="nil"/>
              <w:bottom w:val="single" w:color="auto" w:sz="4" w:space="0"/>
              <w:right w:val="single" w:color="auto" w:sz="4" w:space="0"/>
            </w:tcBorders>
            <w:noWrap w:val="0"/>
            <w:vAlign w:val="center"/>
          </w:tcPr>
          <w:p w14:paraId="1984370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300</w:t>
            </w:r>
          </w:p>
        </w:tc>
        <w:tc>
          <w:tcPr>
            <w:tcW w:w="0" w:type="auto"/>
            <w:tcBorders>
              <w:top w:val="nil"/>
              <w:left w:val="nil"/>
              <w:bottom w:val="single" w:color="auto" w:sz="4" w:space="0"/>
              <w:right w:val="single" w:color="auto" w:sz="4" w:space="0"/>
            </w:tcBorders>
            <w:noWrap w:val="0"/>
            <w:vAlign w:val="center"/>
          </w:tcPr>
          <w:p w14:paraId="5FDC149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83</w:t>
            </w:r>
          </w:p>
        </w:tc>
        <w:tc>
          <w:tcPr>
            <w:tcW w:w="0" w:type="auto"/>
            <w:vMerge w:val="continue"/>
            <w:tcBorders>
              <w:top w:val="nil"/>
              <w:left w:val="single" w:color="auto" w:sz="4" w:space="0"/>
              <w:bottom w:val="single" w:color="auto" w:sz="4" w:space="0"/>
              <w:right w:val="single" w:color="auto" w:sz="4" w:space="0"/>
            </w:tcBorders>
            <w:noWrap w:val="0"/>
            <w:vAlign w:val="center"/>
          </w:tcPr>
          <w:p w14:paraId="21BF65E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3A4A5F4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69BF2CC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0C1776CC">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6801DD4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w:t>
            </w:r>
          </w:p>
        </w:tc>
        <w:tc>
          <w:tcPr>
            <w:tcW w:w="0" w:type="auto"/>
            <w:tcBorders>
              <w:top w:val="nil"/>
              <w:left w:val="nil"/>
              <w:bottom w:val="single" w:color="auto" w:sz="4" w:space="0"/>
              <w:right w:val="single" w:color="auto" w:sz="4" w:space="0"/>
            </w:tcBorders>
            <w:noWrap w:val="0"/>
            <w:vAlign w:val="center"/>
          </w:tcPr>
          <w:p w14:paraId="7732D20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22ZK3203</w:t>
            </w:r>
          </w:p>
        </w:tc>
        <w:tc>
          <w:tcPr>
            <w:tcW w:w="0" w:type="auto"/>
            <w:tcBorders>
              <w:top w:val="nil"/>
              <w:left w:val="nil"/>
              <w:bottom w:val="single" w:color="auto" w:sz="4" w:space="0"/>
              <w:right w:val="single" w:color="auto" w:sz="4" w:space="0"/>
            </w:tcBorders>
            <w:noWrap w:val="0"/>
            <w:vAlign w:val="center"/>
          </w:tcPr>
          <w:p w14:paraId="4367121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2689280.24</w:t>
            </w:r>
          </w:p>
        </w:tc>
        <w:tc>
          <w:tcPr>
            <w:tcW w:w="0" w:type="auto"/>
            <w:tcBorders>
              <w:top w:val="nil"/>
              <w:left w:val="nil"/>
              <w:bottom w:val="single" w:color="auto" w:sz="4" w:space="0"/>
              <w:right w:val="single" w:color="auto" w:sz="4" w:space="0"/>
            </w:tcBorders>
            <w:noWrap w:val="0"/>
            <w:vAlign w:val="center"/>
          </w:tcPr>
          <w:p w14:paraId="2B1389D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33435171.32</w:t>
            </w:r>
          </w:p>
        </w:tc>
        <w:tc>
          <w:tcPr>
            <w:tcW w:w="0" w:type="auto"/>
            <w:tcBorders>
              <w:top w:val="nil"/>
              <w:left w:val="nil"/>
              <w:bottom w:val="single" w:color="auto" w:sz="4" w:space="0"/>
              <w:right w:val="single" w:color="auto" w:sz="4" w:space="0"/>
            </w:tcBorders>
            <w:noWrap w:val="0"/>
            <w:vAlign w:val="center"/>
          </w:tcPr>
          <w:p w14:paraId="7447B30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1473.32</w:t>
            </w:r>
          </w:p>
        </w:tc>
        <w:tc>
          <w:tcPr>
            <w:tcW w:w="0" w:type="auto"/>
            <w:tcBorders>
              <w:top w:val="nil"/>
              <w:left w:val="nil"/>
              <w:bottom w:val="single" w:color="auto" w:sz="4" w:space="0"/>
              <w:right w:val="single" w:color="auto" w:sz="4" w:space="0"/>
            </w:tcBorders>
            <w:noWrap w:val="0"/>
            <w:vAlign w:val="center"/>
          </w:tcPr>
          <w:p w14:paraId="4066EA5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480</w:t>
            </w:r>
          </w:p>
        </w:tc>
        <w:tc>
          <w:tcPr>
            <w:tcW w:w="0" w:type="auto"/>
            <w:tcBorders>
              <w:top w:val="nil"/>
              <w:left w:val="nil"/>
              <w:bottom w:val="single" w:color="auto" w:sz="4" w:space="0"/>
              <w:right w:val="single" w:color="auto" w:sz="4" w:space="0"/>
            </w:tcBorders>
            <w:noWrap w:val="0"/>
            <w:vAlign w:val="center"/>
          </w:tcPr>
          <w:p w14:paraId="3939448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120</w:t>
            </w:r>
          </w:p>
        </w:tc>
        <w:tc>
          <w:tcPr>
            <w:tcW w:w="0" w:type="auto"/>
            <w:tcBorders>
              <w:top w:val="nil"/>
              <w:left w:val="nil"/>
              <w:bottom w:val="single" w:color="auto" w:sz="4" w:space="0"/>
              <w:right w:val="single" w:color="auto" w:sz="4" w:space="0"/>
            </w:tcBorders>
            <w:noWrap w:val="0"/>
            <w:vAlign w:val="center"/>
          </w:tcPr>
          <w:p w14:paraId="7EC6C98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80</w:t>
            </w:r>
          </w:p>
        </w:tc>
        <w:tc>
          <w:tcPr>
            <w:tcW w:w="0" w:type="auto"/>
            <w:vMerge w:val="continue"/>
            <w:tcBorders>
              <w:top w:val="nil"/>
              <w:left w:val="single" w:color="auto" w:sz="4" w:space="0"/>
              <w:bottom w:val="single" w:color="auto" w:sz="4" w:space="0"/>
              <w:right w:val="single" w:color="auto" w:sz="4" w:space="0"/>
            </w:tcBorders>
            <w:noWrap w:val="0"/>
            <w:vAlign w:val="center"/>
          </w:tcPr>
          <w:p w14:paraId="71889869">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03ED210B">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1B157BCD">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6B224689">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6F5745A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w:t>
            </w:r>
          </w:p>
        </w:tc>
        <w:tc>
          <w:tcPr>
            <w:tcW w:w="0" w:type="auto"/>
            <w:tcBorders>
              <w:top w:val="nil"/>
              <w:left w:val="nil"/>
              <w:bottom w:val="single" w:color="auto" w:sz="4" w:space="0"/>
              <w:right w:val="single" w:color="auto" w:sz="4" w:space="0"/>
            </w:tcBorders>
            <w:noWrap w:val="0"/>
            <w:vAlign w:val="center"/>
          </w:tcPr>
          <w:p w14:paraId="486C0B3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22ZK3102</w:t>
            </w:r>
          </w:p>
        </w:tc>
        <w:tc>
          <w:tcPr>
            <w:tcW w:w="0" w:type="auto"/>
            <w:tcBorders>
              <w:top w:val="nil"/>
              <w:left w:val="nil"/>
              <w:bottom w:val="single" w:color="auto" w:sz="4" w:space="0"/>
              <w:right w:val="single" w:color="auto" w:sz="4" w:space="0"/>
            </w:tcBorders>
            <w:noWrap w:val="0"/>
            <w:vAlign w:val="center"/>
          </w:tcPr>
          <w:p w14:paraId="0DB9BD2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2689323.9</w:t>
            </w:r>
          </w:p>
        </w:tc>
        <w:tc>
          <w:tcPr>
            <w:tcW w:w="0" w:type="auto"/>
            <w:tcBorders>
              <w:top w:val="nil"/>
              <w:left w:val="nil"/>
              <w:bottom w:val="single" w:color="auto" w:sz="4" w:space="0"/>
              <w:right w:val="single" w:color="auto" w:sz="4" w:space="0"/>
            </w:tcBorders>
            <w:noWrap w:val="0"/>
            <w:vAlign w:val="center"/>
          </w:tcPr>
          <w:p w14:paraId="06DD2A9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33435238.21</w:t>
            </w:r>
          </w:p>
        </w:tc>
        <w:tc>
          <w:tcPr>
            <w:tcW w:w="0" w:type="auto"/>
            <w:tcBorders>
              <w:top w:val="nil"/>
              <w:left w:val="nil"/>
              <w:bottom w:val="single" w:color="auto" w:sz="4" w:space="0"/>
              <w:right w:val="single" w:color="auto" w:sz="4" w:space="0"/>
            </w:tcBorders>
            <w:noWrap w:val="0"/>
            <w:vAlign w:val="center"/>
          </w:tcPr>
          <w:p w14:paraId="3C2439A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1451.36</w:t>
            </w:r>
          </w:p>
        </w:tc>
        <w:tc>
          <w:tcPr>
            <w:tcW w:w="0" w:type="auto"/>
            <w:tcBorders>
              <w:top w:val="nil"/>
              <w:left w:val="nil"/>
              <w:bottom w:val="single" w:color="auto" w:sz="4" w:space="0"/>
              <w:right w:val="single" w:color="auto" w:sz="4" w:space="0"/>
            </w:tcBorders>
            <w:noWrap w:val="0"/>
            <w:vAlign w:val="center"/>
          </w:tcPr>
          <w:p w14:paraId="37FC4B2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480</w:t>
            </w:r>
          </w:p>
        </w:tc>
        <w:tc>
          <w:tcPr>
            <w:tcW w:w="0" w:type="auto"/>
            <w:tcBorders>
              <w:top w:val="nil"/>
              <w:left w:val="nil"/>
              <w:bottom w:val="single" w:color="auto" w:sz="4" w:space="0"/>
              <w:right w:val="single" w:color="auto" w:sz="4" w:space="0"/>
            </w:tcBorders>
            <w:noWrap w:val="0"/>
            <w:vAlign w:val="center"/>
          </w:tcPr>
          <w:p w14:paraId="0C8C7D9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300</w:t>
            </w:r>
          </w:p>
        </w:tc>
        <w:tc>
          <w:tcPr>
            <w:tcW w:w="0" w:type="auto"/>
            <w:tcBorders>
              <w:top w:val="nil"/>
              <w:left w:val="nil"/>
              <w:bottom w:val="single" w:color="auto" w:sz="4" w:space="0"/>
              <w:right w:val="single" w:color="auto" w:sz="4" w:space="0"/>
            </w:tcBorders>
            <w:noWrap w:val="0"/>
            <w:vAlign w:val="center"/>
          </w:tcPr>
          <w:p w14:paraId="3E6EDE3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75</w:t>
            </w:r>
          </w:p>
        </w:tc>
        <w:tc>
          <w:tcPr>
            <w:tcW w:w="0" w:type="auto"/>
            <w:vMerge w:val="continue"/>
            <w:tcBorders>
              <w:top w:val="nil"/>
              <w:left w:val="single" w:color="auto" w:sz="4" w:space="0"/>
              <w:bottom w:val="single" w:color="auto" w:sz="4" w:space="0"/>
              <w:right w:val="single" w:color="auto" w:sz="4" w:space="0"/>
            </w:tcBorders>
            <w:noWrap w:val="0"/>
            <w:vAlign w:val="center"/>
          </w:tcPr>
          <w:p w14:paraId="2A94444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6E2939E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3B08BE0D">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2B9765EC">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6A50157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w:t>
            </w:r>
          </w:p>
        </w:tc>
        <w:tc>
          <w:tcPr>
            <w:tcW w:w="0" w:type="auto"/>
            <w:tcBorders>
              <w:top w:val="nil"/>
              <w:left w:val="nil"/>
              <w:bottom w:val="single" w:color="auto" w:sz="4" w:space="0"/>
              <w:right w:val="single" w:color="auto" w:sz="4" w:space="0"/>
            </w:tcBorders>
            <w:noWrap w:val="0"/>
            <w:vAlign w:val="center"/>
          </w:tcPr>
          <w:p w14:paraId="0A10B61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22ZK3103</w:t>
            </w:r>
          </w:p>
        </w:tc>
        <w:tc>
          <w:tcPr>
            <w:tcW w:w="0" w:type="auto"/>
            <w:tcBorders>
              <w:top w:val="nil"/>
              <w:left w:val="nil"/>
              <w:bottom w:val="single" w:color="auto" w:sz="4" w:space="0"/>
              <w:right w:val="single" w:color="auto" w:sz="4" w:space="0"/>
            </w:tcBorders>
            <w:noWrap w:val="0"/>
            <w:vAlign w:val="center"/>
          </w:tcPr>
          <w:p w14:paraId="59205BA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2689305.86</w:t>
            </w:r>
          </w:p>
        </w:tc>
        <w:tc>
          <w:tcPr>
            <w:tcW w:w="0" w:type="auto"/>
            <w:tcBorders>
              <w:top w:val="nil"/>
              <w:left w:val="nil"/>
              <w:bottom w:val="single" w:color="auto" w:sz="4" w:space="0"/>
              <w:right w:val="single" w:color="auto" w:sz="4" w:space="0"/>
            </w:tcBorders>
            <w:noWrap w:val="0"/>
            <w:vAlign w:val="center"/>
          </w:tcPr>
          <w:p w14:paraId="011D40B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33435270.28</w:t>
            </w:r>
          </w:p>
        </w:tc>
        <w:tc>
          <w:tcPr>
            <w:tcW w:w="0" w:type="auto"/>
            <w:tcBorders>
              <w:top w:val="nil"/>
              <w:left w:val="nil"/>
              <w:bottom w:val="single" w:color="auto" w:sz="4" w:space="0"/>
              <w:right w:val="single" w:color="auto" w:sz="4" w:space="0"/>
            </w:tcBorders>
            <w:noWrap w:val="0"/>
            <w:vAlign w:val="center"/>
          </w:tcPr>
          <w:p w14:paraId="37792AE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1460.26</w:t>
            </w:r>
          </w:p>
        </w:tc>
        <w:tc>
          <w:tcPr>
            <w:tcW w:w="0" w:type="auto"/>
            <w:tcBorders>
              <w:top w:val="nil"/>
              <w:left w:val="nil"/>
              <w:bottom w:val="single" w:color="auto" w:sz="4" w:space="0"/>
              <w:right w:val="single" w:color="auto" w:sz="4" w:space="0"/>
            </w:tcBorders>
            <w:noWrap w:val="0"/>
            <w:vAlign w:val="center"/>
          </w:tcPr>
          <w:p w14:paraId="63C4C1C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350</w:t>
            </w:r>
          </w:p>
        </w:tc>
        <w:tc>
          <w:tcPr>
            <w:tcW w:w="0" w:type="auto"/>
            <w:tcBorders>
              <w:top w:val="nil"/>
              <w:left w:val="nil"/>
              <w:bottom w:val="single" w:color="auto" w:sz="4" w:space="0"/>
              <w:right w:val="single" w:color="auto" w:sz="4" w:space="0"/>
            </w:tcBorders>
            <w:noWrap w:val="0"/>
            <w:vAlign w:val="center"/>
          </w:tcPr>
          <w:p w14:paraId="338B5B6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120</w:t>
            </w:r>
          </w:p>
        </w:tc>
        <w:tc>
          <w:tcPr>
            <w:tcW w:w="0" w:type="auto"/>
            <w:tcBorders>
              <w:top w:val="nil"/>
              <w:left w:val="nil"/>
              <w:bottom w:val="single" w:color="auto" w:sz="4" w:space="0"/>
              <w:right w:val="single" w:color="auto" w:sz="4" w:space="0"/>
            </w:tcBorders>
            <w:noWrap w:val="0"/>
            <w:vAlign w:val="center"/>
          </w:tcPr>
          <w:p w14:paraId="17E0935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81</w:t>
            </w:r>
          </w:p>
        </w:tc>
        <w:tc>
          <w:tcPr>
            <w:tcW w:w="0" w:type="auto"/>
            <w:vMerge w:val="continue"/>
            <w:tcBorders>
              <w:top w:val="nil"/>
              <w:left w:val="single" w:color="auto" w:sz="4" w:space="0"/>
              <w:bottom w:val="single" w:color="auto" w:sz="4" w:space="0"/>
              <w:right w:val="single" w:color="auto" w:sz="4" w:space="0"/>
            </w:tcBorders>
            <w:noWrap w:val="0"/>
            <w:vAlign w:val="center"/>
          </w:tcPr>
          <w:p w14:paraId="69AE947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7A38DA1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005E3210">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6AD123F7">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2C8A489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7</w:t>
            </w:r>
          </w:p>
        </w:tc>
        <w:tc>
          <w:tcPr>
            <w:tcW w:w="0" w:type="auto"/>
            <w:tcBorders>
              <w:top w:val="nil"/>
              <w:left w:val="nil"/>
              <w:bottom w:val="single" w:color="auto" w:sz="4" w:space="0"/>
              <w:right w:val="single" w:color="auto" w:sz="4" w:space="0"/>
            </w:tcBorders>
            <w:noWrap w:val="0"/>
            <w:vAlign w:val="center"/>
          </w:tcPr>
          <w:p w14:paraId="620A37D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22ZKJ2602</w:t>
            </w:r>
          </w:p>
        </w:tc>
        <w:tc>
          <w:tcPr>
            <w:tcW w:w="0" w:type="auto"/>
            <w:tcBorders>
              <w:top w:val="nil"/>
              <w:left w:val="nil"/>
              <w:bottom w:val="single" w:color="auto" w:sz="4" w:space="0"/>
              <w:right w:val="single" w:color="auto" w:sz="4" w:space="0"/>
            </w:tcBorders>
            <w:noWrap w:val="0"/>
            <w:vAlign w:val="center"/>
          </w:tcPr>
          <w:p w14:paraId="18433FB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2689455.57</w:t>
            </w:r>
          </w:p>
        </w:tc>
        <w:tc>
          <w:tcPr>
            <w:tcW w:w="0" w:type="auto"/>
            <w:tcBorders>
              <w:top w:val="nil"/>
              <w:left w:val="nil"/>
              <w:bottom w:val="single" w:color="auto" w:sz="4" w:space="0"/>
              <w:right w:val="single" w:color="auto" w:sz="4" w:space="0"/>
            </w:tcBorders>
            <w:noWrap w:val="0"/>
            <w:vAlign w:val="center"/>
          </w:tcPr>
          <w:p w14:paraId="16274DD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33435318.14</w:t>
            </w:r>
          </w:p>
        </w:tc>
        <w:tc>
          <w:tcPr>
            <w:tcW w:w="0" w:type="auto"/>
            <w:tcBorders>
              <w:top w:val="nil"/>
              <w:left w:val="nil"/>
              <w:bottom w:val="single" w:color="auto" w:sz="4" w:space="0"/>
              <w:right w:val="single" w:color="auto" w:sz="4" w:space="0"/>
            </w:tcBorders>
            <w:noWrap w:val="0"/>
            <w:vAlign w:val="center"/>
          </w:tcPr>
          <w:p w14:paraId="0C29679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1357.41</w:t>
            </w:r>
          </w:p>
        </w:tc>
        <w:tc>
          <w:tcPr>
            <w:tcW w:w="0" w:type="auto"/>
            <w:tcBorders>
              <w:top w:val="nil"/>
              <w:left w:val="nil"/>
              <w:bottom w:val="single" w:color="auto" w:sz="4" w:space="0"/>
              <w:right w:val="single" w:color="auto" w:sz="4" w:space="0"/>
            </w:tcBorders>
            <w:noWrap w:val="0"/>
            <w:vAlign w:val="center"/>
          </w:tcPr>
          <w:p w14:paraId="6E3BB88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450</w:t>
            </w:r>
          </w:p>
        </w:tc>
        <w:tc>
          <w:tcPr>
            <w:tcW w:w="0" w:type="auto"/>
            <w:tcBorders>
              <w:top w:val="nil"/>
              <w:left w:val="nil"/>
              <w:bottom w:val="single" w:color="auto" w:sz="4" w:space="0"/>
              <w:right w:val="single" w:color="auto" w:sz="4" w:space="0"/>
            </w:tcBorders>
            <w:noWrap w:val="0"/>
            <w:vAlign w:val="center"/>
          </w:tcPr>
          <w:p w14:paraId="4B46451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7FEE86F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auto" w:sz="4" w:space="0"/>
              <w:right w:val="single" w:color="auto" w:sz="4" w:space="0"/>
            </w:tcBorders>
            <w:noWrap w:val="0"/>
            <w:vAlign w:val="center"/>
          </w:tcPr>
          <w:p w14:paraId="66EF203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57E4598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6A7230DC">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4528898C">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580D97F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w:t>
            </w:r>
          </w:p>
        </w:tc>
        <w:tc>
          <w:tcPr>
            <w:tcW w:w="0" w:type="auto"/>
            <w:tcBorders>
              <w:top w:val="nil"/>
              <w:left w:val="nil"/>
              <w:bottom w:val="single" w:color="auto" w:sz="4" w:space="0"/>
              <w:right w:val="single" w:color="auto" w:sz="4" w:space="0"/>
            </w:tcBorders>
            <w:noWrap w:val="0"/>
            <w:vAlign w:val="center"/>
          </w:tcPr>
          <w:p w14:paraId="4C0E67E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22ZK3402</w:t>
            </w:r>
          </w:p>
        </w:tc>
        <w:tc>
          <w:tcPr>
            <w:tcW w:w="0" w:type="auto"/>
            <w:tcBorders>
              <w:top w:val="nil"/>
              <w:left w:val="nil"/>
              <w:bottom w:val="single" w:color="auto" w:sz="4" w:space="0"/>
              <w:right w:val="single" w:color="auto" w:sz="4" w:space="0"/>
            </w:tcBorders>
            <w:noWrap w:val="0"/>
            <w:vAlign w:val="center"/>
          </w:tcPr>
          <w:p w14:paraId="23CA1AD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2689185.44</w:t>
            </w:r>
          </w:p>
        </w:tc>
        <w:tc>
          <w:tcPr>
            <w:tcW w:w="0" w:type="auto"/>
            <w:tcBorders>
              <w:top w:val="nil"/>
              <w:left w:val="nil"/>
              <w:bottom w:val="single" w:color="auto" w:sz="4" w:space="0"/>
              <w:right w:val="single" w:color="auto" w:sz="4" w:space="0"/>
            </w:tcBorders>
            <w:noWrap w:val="0"/>
            <w:vAlign w:val="center"/>
          </w:tcPr>
          <w:p w14:paraId="4C7C6CD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33435178.21</w:t>
            </w:r>
          </w:p>
        </w:tc>
        <w:tc>
          <w:tcPr>
            <w:tcW w:w="0" w:type="auto"/>
            <w:tcBorders>
              <w:top w:val="nil"/>
              <w:left w:val="nil"/>
              <w:bottom w:val="single" w:color="auto" w:sz="4" w:space="0"/>
              <w:right w:val="single" w:color="auto" w:sz="4" w:space="0"/>
            </w:tcBorders>
            <w:noWrap w:val="0"/>
            <w:vAlign w:val="center"/>
          </w:tcPr>
          <w:p w14:paraId="2AE2D99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1498.35</w:t>
            </w:r>
          </w:p>
        </w:tc>
        <w:tc>
          <w:tcPr>
            <w:tcW w:w="0" w:type="auto"/>
            <w:tcBorders>
              <w:top w:val="nil"/>
              <w:left w:val="nil"/>
              <w:bottom w:val="single" w:color="auto" w:sz="4" w:space="0"/>
              <w:right w:val="single" w:color="auto" w:sz="4" w:space="0"/>
            </w:tcBorders>
            <w:noWrap w:val="0"/>
            <w:vAlign w:val="center"/>
          </w:tcPr>
          <w:p w14:paraId="591AA1E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450</w:t>
            </w:r>
          </w:p>
        </w:tc>
        <w:tc>
          <w:tcPr>
            <w:tcW w:w="0" w:type="auto"/>
            <w:tcBorders>
              <w:top w:val="nil"/>
              <w:left w:val="nil"/>
              <w:bottom w:val="single" w:color="auto" w:sz="4" w:space="0"/>
              <w:right w:val="single" w:color="auto" w:sz="4" w:space="0"/>
            </w:tcBorders>
            <w:noWrap w:val="0"/>
            <w:vAlign w:val="center"/>
          </w:tcPr>
          <w:p w14:paraId="5FD5E78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300</w:t>
            </w:r>
          </w:p>
        </w:tc>
        <w:tc>
          <w:tcPr>
            <w:tcW w:w="0" w:type="auto"/>
            <w:tcBorders>
              <w:top w:val="nil"/>
              <w:left w:val="nil"/>
              <w:bottom w:val="single" w:color="auto" w:sz="4" w:space="0"/>
              <w:right w:val="single" w:color="auto" w:sz="4" w:space="0"/>
            </w:tcBorders>
            <w:noWrap w:val="0"/>
            <w:vAlign w:val="center"/>
          </w:tcPr>
          <w:p w14:paraId="3F46FC4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83</w:t>
            </w:r>
          </w:p>
        </w:tc>
        <w:tc>
          <w:tcPr>
            <w:tcW w:w="0" w:type="auto"/>
            <w:vMerge w:val="continue"/>
            <w:tcBorders>
              <w:top w:val="nil"/>
              <w:left w:val="single" w:color="auto" w:sz="4" w:space="0"/>
              <w:bottom w:val="single" w:color="auto" w:sz="4" w:space="0"/>
              <w:right w:val="single" w:color="auto" w:sz="4" w:space="0"/>
            </w:tcBorders>
            <w:noWrap w:val="0"/>
            <w:vAlign w:val="center"/>
          </w:tcPr>
          <w:p w14:paraId="2AB8719B">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0E8C9AC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3F5201B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4F4B3C99">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0B3E9FF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w:t>
            </w:r>
          </w:p>
        </w:tc>
        <w:tc>
          <w:tcPr>
            <w:tcW w:w="0" w:type="auto"/>
            <w:tcBorders>
              <w:top w:val="nil"/>
              <w:left w:val="nil"/>
              <w:bottom w:val="single" w:color="auto" w:sz="4" w:space="0"/>
              <w:right w:val="single" w:color="auto" w:sz="4" w:space="0"/>
            </w:tcBorders>
            <w:noWrap w:val="0"/>
            <w:vAlign w:val="center"/>
          </w:tcPr>
          <w:p w14:paraId="557942A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22ZK2601</w:t>
            </w:r>
          </w:p>
        </w:tc>
        <w:tc>
          <w:tcPr>
            <w:tcW w:w="0" w:type="auto"/>
            <w:tcBorders>
              <w:top w:val="nil"/>
              <w:left w:val="nil"/>
              <w:bottom w:val="single" w:color="auto" w:sz="4" w:space="0"/>
              <w:right w:val="single" w:color="auto" w:sz="4" w:space="0"/>
            </w:tcBorders>
            <w:noWrap w:val="0"/>
            <w:vAlign w:val="center"/>
          </w:tcPr>
          <w:p w14:paraId="5CCB9AE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2689466.24</w:t>
            </w:r>
          </w:p>
        </w:tc>
        <w:tc>
          <w:tcPr>
            <w:tcW w:w="0" w:type="auto"/>
            <w:tcBorders>
              <w:top w:val="nil"/>
              <w:left w:val="nil"/>
              <w:bottom w:val="single" w:color="auto" w:sz="4" w:space="0"/>
              <w:right w:val="single" w:color="auto" w:sz="4" w:space="0"/>
            </w:tcBorders>
            <w:noWrap w:val="0"/>
            <w:vAlign w:val="center"/>
          </w:tcPr>
          <w:p w14:paraId="265B497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33435352.2</w:t>
            </w:r>
          </w:p>
        </w:tc>
        <w:tc>
          <w:tcPr>
            <w:tcW w:w="0" w:type="auto"/>
            <w:tcBorders>
              <w:top w:val="nil"/>
              <w:left w:val="nil"/>
              <w:bottom w:val="single" w:color="auto" w:sz="4" w:space="0"/>
              <w:right w:val="single" w:color="auto" w:sz="4" w:space="0"/>
            </w:tcBorders>
            <w:noWrap w:val="0"/>
            <w:vAlign w:val="center"/>
          </w:tcPr>
          <w:p w14:paraId="25DEAC5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1321.67</w:t>
            </w:r>
          </w:p>
        </w:tc>
        <w:tc>
          <w:tcPr>
            <w:tcW w:w="0" w:type="auto"/>
            <w:tcBorders>
              <w:top w:val="nil"/>
              <w:left w:val="nil"/>
              <w:bottom w:val="single" w:color="auto" w:sz="4" w:space="0"/>
              <w:right w:val="single" w:color="auto" w:sz="4" w:space="0"/>
            </w:tcBorders>
            <w:noWrap w:val="0"/>
            <w:vAlign w:val="center"/>
          </w:tcPr>
          <w:p w14:paraId="02BCCB5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300</w:t>
            </w:r>
          </w:p>
        </w:tc>
        <w:tc>
          <w:tcPr>
            <w:tcW w:w="0" w:type="auto"/>
            <w:tcBorders>
              <w:top w:val="nil"/>
              <w:left w:val="nil"/>
              <w:bottom w:val="single" w:color="auto" w:sz="4" w:space="0"/>
              <w:right w:val="single" w:color="auto" w:sz="4" w:space="0"/>
            </w:tcBorders>
            <w:noWrap w:val="0"/>
            <w:vAlign w:val="center"/>
          </w:tcPr>
          <w:p w14:paraId="127A6BE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65F7AC6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auto" w:sz="4" w:space="0"/>
              <w:right w:val="single" w:color="auto" w:sz="4" w:space="0"/>
            </w:tcBorders>
            <w:noWrap w:val="0"/>
            <w:vAlign w:val="center"/>
          </w:tcPr>
          <w:p w14:paraId="79945978">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2431373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531925B8">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074C73F8">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0F330A9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w:t>
            </w:r>
          </w:p>
        </w:tc>
        <w:tc>
          <w:tcPr>
            <w:tcW w:w="0" w:type="auto"/>
            <w:tcBorders>
              <w:top w:val="nil"/>
              <w:left w:val="nil"/>
              <w:bottom w:val="single" w:color="auto" w:sz="4" w:space="0"/>
              <w:right w:val="single" w:color="auto" w:sz="4" w:space="0"/>
            </w:tcBorders>
            <w:noWrap w:val="0"/>
            <w:vAlign w:val="center"/>
          </w:tcPr>
          <w:p w14:paraId="0ACC693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22ZK2401</w:t>
            </w:r>
          </w:p>
        </w:tc>
        <w:tc>
          <w:tcPr>
            <w:tcW w:w="0" w:type="auto"/>
            <w:tcBorders>
              <w:top w:val="nil"/>
              <w:left w:val="nil"/>
              <w:bottom w:val="single" w:color="auto" w:sz="4" w:space="0"/>
              <w:right w:val="single" w:color="auto" w:sz="4" w:space="0"/>
            </w:tcBorders>
            <w:noWrap w:val="0"/>
            <w:vAlign w:val="center"/>
          </w:tcPr>
          <w:p w14:paraId="020D6E8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2689550.54</w:t>
            </w:r>
          </w:p>
        </w:tc>
        <w:tc>
          <w:tcPr>
            <w:tcW w:w="0" w:type="auto"/>
            <w:tcBorders>
              <w:top w:val="nil"/>
              <w:left w:val="nil"/>
              <w:bottom w:val="single" w:color="auto" w:sz="4" w:space="0"/>
              <w:right w:val="single" w:color="auto" w:sz="4" w:space="0"/>
            </w:tcBorders>
            <w:noWrap w:val="0"/>
            <w:vAlign w:val="center"/>
          </w:tcPr>
          <w:p w14:paraId="7BD8190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33435355.09</w:t>
            </w:r>
          </w:p>
        </w:tc>
        <w:tc>
          <w:tcPr>
            <w:tcW w:w="0" w:type="auto"/>
            <w:tcBorders>
              <w:top w:val="nil"/>
              <w:left w:val="nil"/>
              <w:bottom w:val="single" w:color="auto" w:sz="4" w:space="0"/>
              <w:right w:val="single" w:color="auto" w:sz="4" w:space="0"/>
            </w:tcBorders>
            <w:noWrap w:val="0"/>
            <w:vAlign w:val="center"/>
          </w:tcPr>
          <w:p w14:paraId="311292C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1298.59</w:t>
            </w:r>
          </w:p>
        </w:tc>
        <w:tc>
          <w:tcPr>
            <w:tcW w:w="0" w:type="auto"/>
            <w:tcBorders>
              <w:top w:val="nil"/>
              <w:left w:val="nil"/>
              <w:bottom w:val="single" w:color="auto" w:sz="4" w:space="0"/>
              <w:right w:val="single" w:color="auto" w:sz="4" w:space="0"/>
            </w:tcBorders>
            <w:noWrap w:val="0"/>
            <w:vAlign w:val="center"/>
          </w:tcPr>
          <w:p w14:paraId="02455AA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300</w:t>
            </w:r>
          </w:p>
        </w:tc>
        <w:tc>
          <w:tcPr>
            <w:tcW w:w="0" w:type="auto"/>
            <w:tcBorders>
              <w:top w:val="nil"/>
              <w:left w:val="nil"/>
              <w:bottom w:val="single" w:color="auto" w:sz="4" w:space="0"/>
              <w:right w:val="single" w:color="auto" w:sz="4" w:space="0"/>
            </w:tcBorders>
            <w:noWrap w:val="0"/>
            <w:vAlign w:val="center"/>
          </w:tcPr>
          <w:p w14:paraId="7492C38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6D63FC1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auto" w:sz="4" w:space="0"/>
              <w:right w:val="single" w:color="auto" w:sz="4" w:space="0"/>
            </w:tcBorders>
            <w:noWrap w:val="0"/>
            <w:vAlign w:val="center"/>
          </w:tcPr>
          <w:p w14:paraId="06BFB76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2AECD16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0B99EE7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7B6E697D">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0E0C401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小计</w:t>
            </w:r>
          </w:p>
        </w:tc>
        <w:tc>
          <w:tcPr>
            <w:tcW w:w="0" w:type="auto"/>
            <w:tcBorders>
              <w:top w:val="nil"/>
              <w:left w:val="nil"/>
              <w:bottom w:val="single" w:color="auto" w:sz="4" w:space="0"/>
              <w:right w:val="single" w:color="auto" w:sz="4" w:space="0"/>
            </w:tcBorders>
            <w:noWrap/>
            <w:vAlign w:val="center"/>
          </w:tcPr>
          <w:p w14:paraId="021D5514">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25127B3A">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648BD239">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18280FAE">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108F3FA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3860</w:t>
            </w:r>
          </w:p>
        </w:tc>
        <w:tc>
          <w:tcPr>
            <w:tcW w:w="0" w:type="auto"/>
            <w:tcBorders>
              <w:top w:val="nil"/>
              <w:left w:val="nil"/>
              <w:bottom w:val="single" w:color="auto" w:sz="4" w:space="0"/>
              <w:right w:val="single" w:color="auto" w:sz="4" w:space="0"/>
            </w:tcBorders>
            <w:noWrap/>
            <w:vAlign w:val="center"/>
          </w:tcPr>
          <w:p w14:paraId="62547DEB">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113A85B5">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0C356817">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35A56E9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3C0665D0">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r>
      <w:tr w14:paraId="5A4BE580">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6A3DAD0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0" w:type="auto"/>
            <w:tcBorders>
              <w:top w:val="nil"/>
              <w:left w:val="nil"/>
              <w:bottom w:val="single" w:color="auto" w:sz="4" w:space="0"/>
              <w:right w:val="single" w:color="auto" w:sz="4" w:space="0"/>
            </w:tcBorders>
            <w:noWrap/>
            <w:vAlign w:val="center"/>
          </w:tcPr>
          <w:p w14:paraId="2AB5755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22ZKJ2601</w:t>
            </w:r>
          </w:p>
        </w:tc>
        <w:tc>
          <w:tcPr>
            <w:tcW w:w="0" w:type="auto"/>
            <w:tcBorders>
              <w:top w:val="nil"/>
              <w:left w:val="nil"/>
              <w:bottom w:val="single" w:color="auto" w:sz="4" w:space="0"/>
              <w:right w:val="single" w:color="auto" w:sz="4" w:space="0"/>
            </w:tcBorders>
            <w:noWrap/>
            <w:vAlign w:val="center"/>
          </w:tcPr>
          <w:p w14:paraId="5662AC8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2689474.81</w:t>
            </w:r>
          </w:p>
        </w:tc>
        <w:tc>
          <w:tcPr>
            <w:tcW w:w="0" w:type="auto"/>
            <w:tcBorders>
              <w:top w:val="nil"/>
              <w:left w:val="nil"/>
              <w:bottom w:val="single" w:color="auto" w:sz="4" w:space="0"/>
              <w:right w:val="single" w:color="auto" w:sz="4" w:space="0"/>
            </w:tcBorders>
            <w:noWrap/>
            <w:vAlign w:val="center"/>
          </w:tcPr>
          <w:p w14:paraId="129D5CB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33435285.78</w:t>
            </w:r>
          </w:p>
        </w:tc>
        <w:tc>
          <w:tcPr>
            <w:tcW w:w="0" w:type="auto"/>
            <w:tcBorders>
              <w:top w:val="nil"/>
              <w:left w:val="nil"/>
              <w:bottom w:val="single" w:color="auto" w:sz="4" w:space="0"/>
              <w:right w:val="single" w:color="auto" w:sz="4" w:space="0"/>
            </w:tcBorders>
            <w:noWrap/>
            <w:vAlign w:val="center"/>
          </w:tcPr>
          <w:p w14:paraId="62611B9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1371.52</w:t>
            </w:r>
          </w:p>
        </w:tc>
        <w:tc>
          <w:tcPr>
            <w:tcW w:w="0" w:type="auto"/>
            <w:tcBorders>
              <w:top w:val="nil"/>
              <w:left w:val="nil"/>
              <w:bottom w:val="single" w:color="auto" w:sz="4" w:space="0"/>
              <w:right w:val="single" w:color="auto" w:sz="4" w:space="0"/>
            </w:tcBorders>
            <w:noWrap w:val="0"/>
            <w:vAlign w:val="center"/>
          </w:tcPr>
          <w:p w14:paraId="07515AF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270</w:t>
            </w:r>
          </w:p>
        </w:tc>
        <w:tc>
          <w:tcPr>
            <w:tcW w:w="0" w:type="auto"/>
            <w:tcBorders>
              <w:top w:val="nil"/>
              <w:left w:val="nil"/>
              <w:bottom w:val="single" w:color="auto" w:sz="4" w:space="0"/>
              <w:right w:val="single" w:color="auto" w:sz="4" w:space="0"/>
            </w:tcBorders>
            <w:noWrap w:val="0"/>
            <w:vAlign w:val="center"/>
          </w:tcPr>
          <w:p w14:paraId="261FADF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4433FD8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restart"/>
            <w:tcBorders>
              <w:top w:val="nil"/>
              <w:left w:val="single" w:color="auto" w:sz="4" w:space="0"/>
              <w:bottom w:val="single" w:color="auto" w:sz="4" w:space="0"/>
              <w:right w:val="single" w:color="auto" w:sz="4" w:space="0"/>
            </w:tcBorders>
            <w:noWrap/>
            <w:vAlign w:val="center"/>
          </w:tcPr>
          <w:p w14:paraId="0DEC08E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4000m/13</w:t>
            </w:r>
            <w:r>
              <w:rPr>
                <w:rFonts w:hint="eastAsia" w:ascii="宋体" w:hAnsi="宋体" w:eastAsia="宋体" w:cs="Times New Roman"/>
                <w:color w:val="auto"/>
                <w:kern w:val="0"/>
                <w:szCs w:val="21"/>
              </w:rPr>
              <w:t>孔</w:t>
            </w:r>
          </w:p>
        </w:tc>
        <w:tc>
          <w:tcPr>
            <w:tcW w:w="0" w:type="auto"/>
            <w:vMerge w:val="restart"/>
            <w:tcBorders>
              <w:top w:val="nil"/>
              <w:left w:val="single" w:color="auto" w:sz="4" w:space="0"/>
              <w:bottom w:val="single" w:color="auto" w:sz="4" w:space="0"/>
              <w:right w:val="single" w:color="auto" w:sz="4" w:space="0"/>
            </w:tcBorders>
            <w:noWrap/>
            <w:vAlign w:val="center"/>
          </w:tcPr>
          <w:p w14:paraId="3DDDDD8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eastAsia" w:ascii="宋体" w:hAnsi="宋体" w:eastAsia="宋体" w:cs="Times New Roman"/>
                <w:color w:val="auto"/>
                <w:kern w:val="0"/>
                <w:szCs w:val="21"/>
              </w:rPr>
              <w:t>第二阶段</w:t>
            </w:r>
          </w:p>
        </w:tc>
        <w:tc>
          <w:tcPr>
            <w:tcW w:w="0" w:type="auto"/>
            <w:tcBorders>
              <w:top w:val="nil"/>
              <w:left w:val="nil"/>
              <w:bottom w:val="single" w:color="auto" w:sz="4" w:space="0"/>
              <w:right w:val="single" w:color="auto" w:sz="4" w:space="0"/>
            </w:tcBorders>
            <w:noWrap/>
            <w:vAlign w:val="center"/>
          </w:tcPr>
          <w:p w14:paraId="54AE1500">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27460B87">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2CBB3AF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w:t>
            </w:r>
          </w:p>
        </w:tc>
        <w:tc>
          <w:tcPr>
            <w:tcW w:w="0" w:type="auto"/>
            <w:tcBorders>
              <w:top w:val="nil"/>
              <w:left w:val="nil"/>
              <w:bottom w:val="single" w:color="auto" w:sz="4" w:space="0"/>
              <w:right w:val="single" w:color="auto" w:sz="4" w:space="0"/>
            </w:tcBorders>
            <w:noWrap/>
            <w:vAlign w:val="center"/>
          </w:tcPr>
          <w:p w14:paraId="21F97F2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22ZK2801</w:t>
            </w:r>
          </w:p>
        </w:tc>
        <w:tc>
          <w:tcPr>
            <w:tcW w:w="0" w:type="auto"/>
            <w:tcBorders>
              <w:top w:val="nil"/>
              <w:left w:val="nil"/>
              <w:bottom w:val="single" w:color="auto" w:sz="4" w:space="0"/>
              <w:right w:val="single" w:color="auto" w:sz="4" w:space="0"/>
            </w:tcBorders>
            <w:noWrap/>
            <w:vAlign w:val="center"/>
          </w:tcPr>
          <w:p w14:paraId="71BA7C4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2689441.62</w:t>
            </w:r>
          </w:p>
        </w:tc>
        <w:tc>
          <w:tcPr>
            <w:tcW w:w="0" w:type="auto"/>
            <w:tcBorders>
              <w:top w:val="nil"/>
              <w:left w:val="nil"/>
              <w:bottom w:val="single" w:color="auto" w:sz="4" w:space="0"/>
              <w:right w:val="single" w:color="auto" w:sz="4" w:space="0"/>
            </w:tcBorders>
            <w:noWrap/>
            <w:vAlign w:val="center"/>
          </w:tcPr>
          <w:p w14:paraId="13E996C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33435282.06</w:t>
            </w:r>
          </w:p>
        </w:tc>
        <w:tc>
          <w:tcPr>
            <w:tcW w:w="0" w:type="auto"/>
            <w:tcBorders>
              <w:top w:val="nil"/>
              <w:left w:val="nil"/>
              <w:bottom w:val="single" w:color="auto" w:sz="4" w:space="0"/>
              <w:right w:val="single" w:color="auto" w:sz="4" w:space="0"/>
            </w:tcBorders>
            <w:noWrap w:val="0"/>
            <w:vAlign w:val="center"/>
          </w:tcPr>
          <w:p w14:paraId="44BED39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1371.30</w:t>
            </w:r>
          </w:p>
        </w:tc>
        <w:tc>
          <w:tcPr>
            <w:tcW w:w="0" w:type="auto"/>
            <w:tcBorders>
              <w:top w:val="nil"/>
              <w:left w:val="nil"/>
              <w:bottom w:val="single" w:color="auto" w:sz="4" w:space="0"/>
              <w:right w:val="single" w:color="auto" w:sz="4" w:space="0"/>
            </w:tcBorders>
            <w:noWrap w:val="0"/>
            <w:vAlign w:val="center"/>
          </w:tcPr>
          <w:p w14:paraId="25A989A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270</w:t>
            </w:r>
          </w:p>
        </w:tc>
        <w:tc>
          <w:tcPr>
            <w:tcW w:w="0" w:type="auto"/>
            <w:tcBorders>
              <w:top w:val="nil"/>
              <w:left w:val="nil"/>
              <w:bottom w:val="single" w:color="auto" w:sz="4" w:space="0"/>
              <w:right w:val="single" w:color="auto" w:sz="4" w:space="0"/>
            </w:tcBorders>
            <w:noWrap w:val="0"/>
            <w:vAlign w:val="center"/>
          </w:tcPr>
          <w:p w14:paraId="054BD47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2EAFA71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auto" w:sz="4" w:space="0"/>
              <w:right w:val="single" w:color="auto" w:sz="4" w:space="0"/>
            </w:tcBorders>
            <w:noWrap w:val="0"/>
            <w:vAlign w:val="center"/>
          </w:tcPr>
          <w:p w14:paraId="005E029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5C31848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0843DEEC">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0EEF22C6">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4553328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w:t>
            </w:r>
          </w:p>
        </w:tc>
        <w:tc>
          <w:tcPr>
            <w:tcW w:w="0" w:type="auto"/>
            <w:tcBorders>
              <w:top w:val="nil"/>
              <w:left w:val="nil"/>
              <w:bottom w:val="single" w:color="auto" w:sz="4" w:space="0"/>
              <w:right w:val="single" w:color="auto" w:sz="4" w:space="0"/>
            </w:tcBorders>
            <w:noWrap/>
            <w:vAlign w:val="center"/>
          </w:tcPr>
          <w:p w14:paraId="0CFDBD1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22ZK2802</w:t>
            </w:r>
          </w:p>
        </w:tc>
        <w:tc>
          <w:tcPr>
            <w:tcW w:w="0" w:type="auto"/>
            <w:tcBorders>
              <w:top w:val="nil"/>
              <w:left w:val="nil"/>
              <w:bottom w:val="single" w:color="auto" w:sz="4" w:space="0"/>
              <w:right w:val="single" w:color="auto" w:sz="4" w:space="0"/>
            </w:tcBorders>
            <w:noWrap/>
            <w:vAlign w:val="center"/>
          </w:tcPr>
          <w:p w14:paraId="1D0C648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2689422.62</w:t>
            </w:r>
          </w:p>
        </w:tc>
        <w:tc>
          <w:tcPr>
            <w:tcW w:w="0" w:type="auto"/>
            <w:tcBorders>
              <w:top w:val="nil"/>
              <w:left w:val="nil"/>
              <w:bottom w:val="single" w:color="auto" w:sz="4" w:space="0"/>
              <w:right w:val="single" w:color="auto" w:sz="4" w:space="0"/>
            </w:tcBorders>
            <w:noWrap/>
            <w:vAlign w:val="center"/>
          </w:tcPr>
          <w:p w14:paraId="69F30CB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33435314.97</w:t>
            </w:r>
          </w:p>
        </w:tc>
        <w:tc>
          <w:tcPr>
            <w:tcW w:w="0" w:type="auto"/>
            <w:tcBorders>
              <w:top w:val="nil"/>
              <w:left w:val="nil"/>
              <w:bottom w:val="single" w:color="auto" w:sz="4" w:space="0"/>
              <w:right w:val="single" w:color="auto" w:sz="4" w:space="0"/>
            </w:tcBorders>
            <w:noWrap w:val="0"/>
            <w:vAlign w:val="center"/>
          </w:tcPr>
          <w:p w14:paraId="39AA853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1371.65</w:t>
            </w:r>
          </w:p>
        </w:tc>
        <w:tc>
          <w:tcPr>
            <w:tcW w:w="0" w:type="auto"/>
            <w:tcBorders>
              <w:top w:val="nil"/>
              <w:left w:val="nil"/>
              <w:bottom w:val="single" w:color="auto" w:sz="4" w:space="0"/>
              <w:right w:val="single" w:color="auto" w:sz="4" w:space="0"/>
            </w:tcBorders>
            <w:noWrap w:val="0"/>
            <w:vAlign w:val="center"/>
          </w:tcPr>
          <w:p w14:paraId="75D7E60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270</w:t>
            </w:r>
          </w:p>
        </w:tc>
        <w:tc>
          <w:tcPr>
            <w:tcW w:w="0" w:type="auto"/>
            <w:tcBorders>
              <w:top w:val="nil"/>
              <w:left w:val="nil"/>
              <w:bottom w:val="single" w:color="auto" w:sz="4" w:space="0"/>
              <w:right w:val="single" w:color="auto" w:sz="4" w:space="0"/>
            </w:tcBorders>
            <w:noWrap w:val="0"/>
            <w:vAlign w:val="center"/>
          </w:tcPr>
          <w:p w14:paraId="13DB5E4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7A94028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auto" w:sz="4" w:space="0"/>
              <w:right w:val="single" w:color="auto" w:sz="4" w:space="0"/>
            </w:tcBorders>
            <w:noWrap w:val="0"/>
            <w:vAlign w:val="center"/>
          </w:tcPr>
          <w:p w14:paraId="017B48E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3F6D0CA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320084FE">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63CDA71B">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4BA83CC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w:t>
            </w:r>
          </w:p>
        </w:tc>
        <w:tc>
          <w:tcPr>
            <w:tcW w:w="0" w:type="auto"/>
            <w:tcBorders>
              <w:top w:val="nil"/>
              <w:left w:val="nil"/>
              <w:bottom w:val="single" w:color="auto" w:sz="4" w:space="0"/>
              <w:right w:val="single" w:color="auto" w:sz="4" w:space="0"/>
            </w:tcBorders>
            <w:noWrap/>
            <w:vAlign w:val="center"/>
          </w:tcPr>
          <w:p w14:paraId="03752BB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22ZK2803</w:t>
            </w:r>
          </w:p>
        </w:tc>
        <w:tc>
          <w:tcPr>
            <w:tcW w:w="0" w:type="auto"/>
            <w:tcBorders>
              <w:top w:val="nil"/>
              <w:left w:val="nil"/>
              <w:bottom w:val="single" w:color="auto" w:sz="4" w:space="0"/>
              <w:right w:val="single" w:color="auto" w:sz="4" w:space="0"/>
            </w:tcBorders>
            <w:noWrap/>
            <w:vAlign w:val="center"/>
          </w:tcPr>
          <w:p w14:paraId="6651012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2689403.62</w:t>
            </w:r>
          </w:p>
        </w:tc>
        <w:tc>
          <w:tcPr>
            <w:tcW w:w="0" w:type="auto"/>
            <w:tcBorders>
              <w:top w:val="nil"/>
              <w:left w:val="nil"/>
              <w:bottom w:val="single" w:color="auto" w:sz="4" w:space="0"/>
              <w:right w:val="single" w:color="auto" w:sz="4" w:space="0"/>
            </w:tcBorders>
            <w:noWrap/>
            <w:vAlign w:val="center"/>
          </w:tcPr>
          <w:p w14:paraId="54DF344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33435347.88</w:t>
            </w:r>
          </w:p>
        </w:tc>
        <w:tc>
          <w:tcPr>
            <w:tcW w:w="0" w:type="auto"/>
            <w:tcBorders>
              <w:top w:val="nil"/>
              <w:left w:val="nil"/>
              <w:bottom w:val="single" w:color="auto" w:sz="4" w:space="0"/>
              <w:right w:val="single" w:color="auto" w:sz="4" w:space="0"/>
            </w:tcBorders>
            <w:noWrap w:val="0"/>
            <w:vAlign w:val="center"/>
          </w:tcPr>
          <w:p w14:paraId="3B23CE1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1372.52</w:t>
            </w:r>
          </w:p>
        </w:tc>
        <w:tc>
          <w:tcPr>
            <w:tcW w:w="0" w:type="auto"/>
            <w:tcBorders>
              <w:top w:val="nil"/>
              <w:left w:val="nil"/>
              <w:bottom w:val="single" w:color="auto" w:sz="4" w:space="0"/>
              <w:right w:val="single" w:color="auto" w:sz="4" w:space="0"/>
            </w:tcBorders>
            <w:noWrap w:val="0"/>
            <w:vAlign w:val="center"/>
          </w:tcPr>
          <w:p w14:paraId="30D15CC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300</w:t>
            </w:r>
          </w:p>
        </w:tc>
        <w:tc>
          <w:tcPr>
            <w:tcW w:w="0" w:type="auto"/>
            <w:tcBorders>
              <w:top w:val="nil"/>
              <w:left w:val="nil"/>
              <w:bottom w:val="single" w:color="auto" w:sz="4" w:space="0"/>
              <w:right w:val="single" w:color="auto" w:sz="4" w:space="0"/>
            </w:tcBorders>
            <w:noWrap w:val="0"/>
            <w:vAlign w:val="center"/>
          </w:tcPr>
          <w:p w14:paraId="6DF3356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03FADC9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auto" w:sz="4" w:space="0"/>
              <w:right w:val="single" w:color="auto" w:sz="4" w:space="0"/>
            </w:tcBorders>
            <w:noWrap w:val="0"/>
            <w:vAlign w:val="center"/>
          </w:tcPr>
          <w:p w14:paraId="1F5E56E9">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2E4DAC8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20811E73">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r>
              <w:rPr>
                <w:rFonts w:hint="eastAsia" w:ascii="宋体" w:hAnsi="宋体" w:eastAsia="宋体" w:cs="宋体"/>
                <w:color w:val="auto"/>
                <w:kern w:val="0"/>
                <w:szCs w:val="21"/>
              </w:rPr>
              <w:t>探求F1</w:t>
            </w:r>
          </w:p>
        </w:tc>
      </w:tr>
      <w:tr w14:paraId="3348B8BD">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647604B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w:t>
            </w:r>
          </w:p>
        </w:tc>
        <w:tc>
          <w:tcPr>
            <w:tcW w:w="0" w:type="auto"/>
            <w:tcBorders>
              <w:top w:val="nil"/>
              <w:left w:val="nil"/>
              <w:bottom w:val="single" w:color="auto" w:sz="4" w:space="0"/>
              <w:right w:val="single" w:color="auto" w:sz="4" w:space="0"/>
            </w:tcBorders>
            <w:noWrap/>
            <w:vAlign w:val="center"/>
          </w:tcPr>
          <w:p w14:paraId="70E179C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22ZKJ3002</w:t>
            </w:r>
          </w:p>
        </w:tc>
        <w:tc>
          <w:tcPr>
            <w:tcW w:w="0" w:type="auto"/>
            <w:tcBorders>
              <w:top w:val="nil"/>
              <w:left w:val="nil"/>
              <w:bottom w:val="single" w:color="auto" w:sz="4" w:space="0"/>
              <w:right w:val="single" w:color="auto" w:sz="4" w:space="0"/>
            </w:tcBorders>
            <w:noWrap/>
            <w:vAlign w:val="center"/>
          </w:tcPr>
          <w:p w14:paraId="2FC8B32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2689363.14</w:t>
            </w:r>
          </w:p>
        </w:tc>
        <w:tc>
          <w:tcPr>
            <w:tcW w:w="0" w:type="auto"/>
            <w:tcBorders>
              <w:top w:val="nil"/>
              <w:left w:val="nil"/>
              <w:bottom w:val="single" w:color="auto" w:sz="4" w:space="0"/>
              <w:right w:val="single" w:color="auto" w:sz="4" w:space="0"/>
            </w:tcBorders>
            <w:noWrap/>
            <w:vAlign w:val="center"/>
          </w:tcPr>
          <w:p w14:paraId="3DD7AF7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33435246.57</w:t>
            </w:r>
          </w:p>
        </w:tc>
        <w:tc>
          <w:tcPr>
            <w:tcW w:w="0" w:type="auto"/>
            <w:tcBorders>
              <w:top w:val="nil"/>
              <w:left w:val="nil"/>
              <w:bottom w:val="single" w:color="auto" w:sz="4" w:space="0"/>
              <w:right w:val="single" w:color="auto" w:sz="4" w:space="0"/>
            </w:tcBorders>
            <w:noWrap w:val="0"/>
            <w:vAlign w:val="center"/>
          </w:tcPr>
          <w:p w14:paraId="687874A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1431.53</w:t>
            </w:r>
          </w:p>
        </w:tc>
        <w:tc>
          <w:tcPr>
            <w:tcW w:w="0" w:type="auto"/>
            <w:tcBorders>
              <w:top w:val="nil"/>
              <w:left w:val="nil"/>
              <w:bottom w:val="single" w:color="auto" w:sz="4" w:space="0"/>
              <w:right w:val="single" w:color="auto" w:sz="4" w:space="0"/>
            </w:tcBorders>
            <w:noWrap w:val="0"/>
            <w:vAlign w:val="center"/>
          </w:tcPr>
          <w:p w14:paraId="5FE0CF9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260</w:t>
            </w:r>
          </w:p>
        </w:tc>
        <w:tc>
          <w:tcPr>
            <w:tcW w:w="0" w:type="auto"/>
            <w:tcBorders>
              <w:top w:val="nil"/>
              <w:left w:val="nil"/>
              <w:bottom w:val="single" w:color="auto" w:sz="4" w:space="0"/>
              <w:right w:val="single" w:color="auto" w:sz="4" w:space="0"/>
            </w:tcBorders>
            <w:noWrap w:val="0"/>
            <w:vAlign w:val="center"/>
          </w:tcPr>
          <w:p w14:paraId="2CCC907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1C6D8BC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auto" w:sz="4" w:space="0"/>
              <w:right w:val="single" w:color="auto" w:sz="4" w:space="0"/>
            </w:tcBorders>
            <w:noWrap w:val="0"/>
            <w:vAlign w:val="center"/>
          </w:tcPr>
          <w:p w14:paraId="22567A5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628CA01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22399DD0">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431F897D">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2CD99F2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w:t>
            </w:r>
          </w:p>
        </w:tc>
        <w:tc>
          <w:tcPr>
            <w:tcW w:w="0" w:type="auto"/>
            <w:tcBorders>
              <w:top w:val="nil"/>
              <w:left w:val="nil"/>
              <w:bottom w:val="single" w:color="auto" w:sz="4" w:space="0"/>
              <w:right w:val="single" w:color="auto" w:sz="4" w:space="0"/>
            </w:tcBorders>
            <w:noWrap/>
            <w:vAlign w:val="center"/>
          </w:tcPr>
          <w:p w14:paraId="379F9DD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22ZKJ3003</w:t>
            </w:r>
          </w:p>
        </w:tc>
        <w:tc>
          <w:tcPr>
            <w:tcW w:w="0" w:type="auto"/>
            <w:tcBorders>
              <w:top w:val="nil"/>
              <w:left w:val="nil"/>
              <w:bottom w:val="single" w:color="auto" w:sz="4" w:space="0"/>
              <w:right w:val="single" w:color="auto" w:sz="4" w:space="0"/>
            </w:tcBorders>
            <w:noWrap/>
            <w:vAlign w:val="center"/>
          </w:tcPr>
          <w:p w14:paraId="4884C14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2689349.30</w:t>
            </w:r>
          </w:p>
        </w:tc>
        <w:tc>
          <w:tcPr>
            <w:tcW w:w="0" w:type="auto"/>
            <w:tcBorders>
              <w:top w:val="nil"/>
              <w:left w:val="nil"/>
              <w:bottom w:val="single" w:color="auto" w:sz="4" w:space="0"/>
              <w:right w:val="single" w:color="auto" w:sz="4" w:space="0"/>
            </w:tcBorders>
            <w:noWrap/>
            <w:vAlign w:val="center"/>
          </w:tcPr>
          <w:p w14:paraId="187878E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33435282.88</w:t>
            </w:r>
          </w:p>
        </w:tc>
        <w:tc>
          <w:tcPr>
            <w:tcW w:w="0" w:type="auto"/>
            <w:tcBorders>
              <w:top w:val="nil"/>
              <w:left w:val="nil"/>
              <w:bottom w:val="single" w:color="auto" w:sz="4" w:space="0"/>
              <w:right w:val="single" w:color="auto" w:sz="4" w:space="0"/>
            </w:tcBorders>
            <w:noWrap w:val="0"/>
            <w:vAlign w:val="center"/>
          </w:tcPr>
          <w:p w14:paraId="0A4A44F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1540.01</w:t>
            </w:r>
          </w:p>
        </w:tc>
        <w:tc>
          <w:tcPr>
            <w:tcW w:w="0" w:type="auto"/>
            <w:tcBorders>
              <w:top w:val="nil"/>
              <w:left w:val="nil"/>
              <w:bottom w:val="single" w:color="auto" w:sz="4" w:space="0"/>
              <w:right w:val="single" w:color="auto" w:sz="4" w:space="0"/>
            </w:tcBorders>
            <w:noWrap w:val="0"/>
            <w:vAlign w:val="center"/>
          </w:tcPr>
          <w:p w14:paraId="3BC3239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270</w:t>
            </w:r>
          </w:p>
        </w:tc>
        <w:tc>
          <w:tcPr>
            <w:tcW w:w="0" w:type="auto"/>
            <w:tcBorders>
              <w:top w:val="nil"/>
              <w:left w:val="nil"/>
              <w:bottom w:val="single" w:color="auto" w:sz="4" w:space="0"/>
              <w:right w:val="single" w:color="auto" w:sz="4" w:space="0"/>
            </w:tcBorders>
            <w:noWrap w:val="0"/>
            <w:vAlign w:val="center"/>
          </w:tcPr>
          <w:p w14:paraId="7CD8D04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1113E57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auto" w:sz="4" w:space="0"/>
              <w:right w:val="single" w:color="auto" w:sz="4" w:space="0"/>
            </w:tcBorders>
            <w:noWrap w:val="0"/>
            <w:vAlign w:val="center"/>
          </w:tcPr>
          <w:p w14:paraId="061468A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31E5786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52236432">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216A363C">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4FD2564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7</w:t>
            </w:r>
          </w:p>
        </w:tc>
        <w:tc>
          <w:tcPr>
            <w:tcW w:w="0" w:type="auto"/>
            <w:tcBorders>
              <w:top w:val="nil"/>
              <w:left w:val="nil"/>
              <w:bottom w:val="single" w:color="auto" w:sz="4" w:space="0"/>
              <w:right w:val="single" w:color="auto" w:sz="4" w:space="0"/>
            </w:tcBorders>
            <w:noWrap/>
            <w:vAlign w:val="center"/>
          </w:tcPr>
          <w:p w14:paraId="1F21BE3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22ZKJ3004</w:t>
            </w:r>
          </w:p>
        </w:tc>
        <w:tc>
          <w:tcPr>
            <w:tcW w:w="0" w:type="auto"/>
            <w:tcBorders>
              <w:top w:val="nil"/>
              <w:left w:val="nil"/>
              <w:bottom w:val="single" w:color="auto" w:sz="4" w:space="0"/>
              <w:right w:val="single" w:color="auto" w:sz="4" w:space="0"/>
            </w:tcBorders>
            <w:noWrap/>
            <w:vAlign w:val="center"/>
          </w:tcPr>
          <w:p w14:paraId="5F8BE8B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2689335.78</w:t>
            </w:r>
          </w:p>
        </w:tc>
        <w:tc>
          <w:tcPr>
            <w:tcW w:w="0" w:type="auto"/>
            <w:tcBorders>
              <w:top w:val="nil"/>
              <w:left w:val="nil"/>
              <w:bottom w:val="single" w:color="auto" w:sz="4" w:space="0"/>
              <w:right w:val="single" w:color="auto" w:sz="4" w:space="0"/>
            </w:tcBorders>
            <w:noWrap/>
            <w:vAlign w:val="center"/>
          </w:tcPr>
          <w:p w14:paraId="6230AE5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33435319.30</w:t>
            </w:r>
          </w:p>
        </w:tc>
        <w:tc>
          <w:tcPr>
            <w:tcW w:w="0" w:type="auto"/>
            <w:tcBorders>
              <w:top w:val="nil"/>
              <w:left w:val="nil"/>
              <w:bottom w:val="single" w:color="auto" w:sz="4" w:space="0"/>
              <w:right w:val="single" w:color="auto" w:sz="4" w:space="0"/>
            </w:tcBorders>
            <w:noWrap w:val="0"/>
            <w:vAlign w:val="center"/>
          </w:tcPr>
          <w:p w14:paraId="24DDF84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1449.74</w:t>
            </w:r>
          </w:p>
        </w:tc>
        <w:tc>
          <w:tcPr>
            <w:tcW w:w="0" w:type="auto"/>
            <w:tcBorders>
              <w:top w:val="nil"/>
              <w:left w:val="nil"/>
              <w:bottom w:val="single" w:color="auto" w:sz="4" w:space="0"/>
              <w:right w:val="single" w:color="auto" w:sz="4" w:space="0"/>
            </w:tcBorders>
            <w:noWrap w:val="0"/>
            <w:vAlign w:val="center"/>
          </w:tcPr>
          <w:p w14:paraId="3996BDA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380</w:t>
            </w:r>
          </w:p>
        </w:tc>
        <w:tc>
          <w:tcPr>
            <w:tcW w:w="0" w:type="auto"/>
            <w:tcBorders>
              <w:top w:val="nil"/>
              <w:left w:val="nil"/>
              <w:bottom w:val="single" w:color="auto" w:sz="4" w:space="0"/>
              <w:right w:val="single" w:color="auto" w:sz="4" w:space="0"/>
            </w:tcBorders>
            <w:noWrap w:val="0"/>
            <w:vAlign w:val="center"/>
          </w:tcPr>
          <w:p w14:paraId="22B09F4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578995E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auto" w:sz="4" w:space="0"/>
              <w:right w:val="single" w:color="auto" w:sz="4" w:space="0"/>
            </w:tcBorders>
            <w:noWrap w:val="0"/>
            <w:vAlign w:val="center"/>
          </w:tcPr>
          <w:p w14:paraId="48A7432A">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272C441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30C1396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r>
              <w:rPr>
                <w:rFonts w:hint="eastAsia" w:ascii="宋体" w:hAnsi="宋体" w:eastAsia="宋体" w:cs="宋体"/>
                <w:color w:val="auto"/>
                <w:kern w:val="0"/>
                <w:szCs w:val="21"/>
              </w:rPr>
              <w:t>探求F1</w:t>
            </w:r>
          </w:p>
        </w:tc>
      </w:tr>
      <w:tr w14:paraId="59A0FFC5">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1E0FF75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w:t>
            </w:r>
          </w:p>
        </w:tc>
        <w:tc>
          <w:tcPr>
            <w:tcW w:w="0" w:type="auto"/>
            <w:tcBorders>
              <w:top w:val="nil"/>
              <w:left w:val="nil"/>
              <w:bottom w:val="single" w:color="auto" w:sz="4" w:space="0"/>
              <w:right w:val="single" w:color="auto" w:sz="4" w:space="0"/>
            </w:tcBorders>
            <w:noWrap/>
            <w:vAlign w:val="center"/>
          </w:tcPr>
          <w:p w14:paraId="5A7B78E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22ZKJ3101</w:t>
            </w:r>
          </w:p>
        </w:tc>
        <w:tc>
          <w:tcPr>
            <w:tcW w:w="0" w:type="auto"/>
            <w:tcBorders>
              <w:top w:val="nil"/>
              <w:left w:val="nil"/>
              <w:bottom w:val="single" w:color="auto" w:sz="4" w:space="0"/>
              <w:right w:val="single" w:color="auto" w:sz="4" w:space="0"/>
            </w:tcBorders>
            <w:noWrap/>
            <w:vAlign w:val="center"/>
          </w:tcPr>
          <w:p w14:paraId="547289B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2689302.38</w:t>
            </w:r>
          </w:p>
        </w:tc>
        <w:tc>
          <w:tcPr>
            <w:tcW w:w="0" w:type="auto"/>
            <w:tcBorders>
              <w:top w:val="nil"/>
              <w:left w:val="nil"/>
              <w:bottom w:val="single" w:color="auto" w:sz="4" w:space="0"/>
              <w:right w:val="single" w:color="auto" w:sz="4" w:space="0"/>
            </w:tcBorders>
            <w:noWrap/>
            <w:vAlign w:val="center"/>
          </w:tcPr>
          <w:p w14:paraId="3565E41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33435203.91</w:t>
            </w:r>
          </w:p>
        </w:tc>
        <w:tc>
          <w:tcPr>
            <w:tcW w:w="0" w:type="auto"/>
            <w:tcBorders>
              <w:top w:val="nil"/>
              <w:left w:val="nil"/>
              <w:bottom w:val="single" w:color="auto" w:sz="4" w:space="0"/>
              <w:right w:val="single" w:color="auto" w:sz="4" w:space="0"/>
            </w:tcBorders>
            <w:noWrap w:val="0"/>
            <w:vAlign w:val="center"/>
          </w:tcPr>
          <w:p w14:paraId="241416D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1470.88</w:t>
            </w:r>
          </w:p>
        </w:tc>
        <w:tc>
          <w:tcPr>
            <w:tcW w:w="0" w:type="auto"/>
            <w:tcBorders>
              <w:top w:val="nil"/>
              <w:left w:val="nil"/>
              <w:bottom w:val="single" w:color="auto" w:sz="4" w:space="0"/>
              <w:right w:val="single" w:color="auto" w:sz="4" w:space="0"/>
            </w:tcBorders>
            <w:noWrap w:val="0"/>
            <w:vAlign w:val="center"/>
          </w:tcPr>
          <w:p w14:paraId="0562E39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280</w:t>
            </w:r>
          </w:p>
        </w:tc>
        <w:tc>
          <w:tcPr>
            <w:tcW w:w="0" w:type="auto"/>
            <w:tcBorders>
              <w:top w:val="nil"/>
              <w:left w:val="nil"/>
              <w:bottom w:val="single" w:color="auto" w:sz="4" w:space="0"/>
              <w:right w:val="single" w:color="auto" w:sz="4" w:space="0"/>
            </w:tcBorders>
            <w:noWrap w:val="0"/>
            <w:vAlign w:val="center"/>
          </w:tcPr>
          <w:p w14:paraId="42C2363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1F8CDB0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auto" w:sz="4" w:space="0"/>
              <w:right w:val="single" w:color="auto" w:sz="4" w:space="0"/>
            </w:tcBorders>
            <w:noWrap w:val="0"/>
            <w:vAlign w:val="center"/>
          </w:tcPr>
          <w:p w14:paraId="202E0F2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06235AA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1A712236">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7D5623F6">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6569F0A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w:t>
            </w:r>
          </w:p>
        </w:tc>
        <w:tc>
          <w:tcPr>
            <w:tcW w:w="0" w:type="auto"/>
            <w:tcBorders>
              <w:top w:val="nil"/>
              <w:left w:val="nil"/>
              <w:bottom w:val="single" w:color="auto" w:sz="4" w:space="0"/>
              <w:right w:val="single" w:color="auto" w:sz="4" w:space="0"/>
            </w:tcBorders>
            <w:noWrap/>
            <w:vAlign w:val="center"/>
          </w:tcPr>
          <w:p w14:paraId="4D8C53C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22ZKJ3102</w:t>
            </w:r>
          </w:p>
        </w:tc>
        <w:tc>
          <w:tcPr>
            <w:tcW w:w="0" w:type="auto"/>
            <w:tcBorders>
              <w:top w:val="nil"/>
              <w:left w:val="nil"/>
              <w:bottom w:val="single" w:color="auto" w:sz="4" w:space="0"/>
              <w:right w:val="single" w:color="auto" w:sz="4" w:space="0"/>
            </w:tcBorders>
            <w:noWrap/>
            <w:vAlign w:val="center"/>
          </w:tcPr>
          <w:p w14:paraId="2463245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2689283.03</w:t>
            </w:r>
          </w:p>
        </w:tc>
        <w:tc>
          <w:tcPr>
            <w:tcW w:w="0" w:type="auto"/>
            <w:tcBorders>
              <w:top w:val="nil"/>
              <w:left w:val="nil"/>
              <w:bottom w:val="single" w:color="auto" w:sz="4" w:space="0"/>
              <w:right w:val="single" w:color="auto" w:sz="4" w:space="0"/>
            </w:tcBorders>
            <w:noWrap/>
            <w:vAlign w:val="center"/>
          </w:tcPr>
          <w:p w14:paraId="27F91ED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33435237.43</w:t>
            </w:r>
          </w:p>
        </w:tc>
        <w:tc>
          <w:tcPr>
            <w:tcW w:w="0" w:type="auto"/>
            <w:tcBorders>
              <w:top w:val="nil"/>
              <w:left w:val="nil"/>
              <w:bottom w:val="single" w:color="auto" w:sz="4" w:space="0"/>
              <w:right w:val="single" w:color="auto" w:sz="4" w:space="0"/>
            </w:tcBorders>
            <w:noWrap w:val="0"/>
            <w:vAlign w:val="center"/>
          </w:tcPr>
          <w:p w14:paraId="4C11522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1478.50</w:t>
            </w:r>
          </w:p>
        </w:tc>
        <w:tc>
          <w:tcPr>
            <w:tcW w:w="0" w:type="auto"/>
            <w:tcBorders>
              <w:top w:val="nil"/>
              <w:left w:val="nil"/>
              <w:bottom w:val="single" w:color="auto" w:sz="4" w:space="0"/>
              <w:right w:val="single" w:color="auto" w:sz="4" w:space="0"/>
            </w:tcBorders>
            <w:noWrap w:val="0"/>
            <w:vAlign w:val="center"/>
          </w:tcPr>
          <w:p w14:paraId="1020E46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280</w:t>
            </w:r>
          </w:p>
        </w:tc>
        <w:tc>
          <w:tcPr>
            <w:tcW w:w="0" w:type="auto"/>
            <w:tcBorders>
              <w:top w:val="nil"/>
              <w:left w:val="nil"/>
              <w:bottom w:val="single" w:color="auto" w:sz="4" w:space="0"/>
              <w:right w:val="single" w:color="auto" w:sz="4" w:space="0"/>
            </w:tcBorders>
            <w:noWrap w:val="0"/>
            <w:vAlign w:val="center"/>
          </w:tcPr>
          <w:p w14:paraId="57F66FA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293DF39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auto" w:sz="4" w:space="0"/>
              <w:right w:val="single" w:color="auto" w:sz="4" w:space="0"/>
            </w:tcBorders>
            <w:noWrap w:val="0"/>
            <w:vAlign w:val="center"/>
          </w:tcPr>
          <w:p w14:paraId="75B1DC5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5B205A5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25CCD308">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1398F77C">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1CFF45F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w:t>
            </w:r>
          </w:p>
        </w:tc>
        <w:tc>
          <w:tcPr>
            <w:tcW w:w="0" w:type="auto"/>
            <w:tcBorders>
              <w:top w:val="nil"/>
              <w:left w:val="nil"/>
              <w:bottom w:val="single" w:color="auto" w:sz="4" w:space="0"/>
              <w:right w:val="single" w:color="auto" w:sz="4" w:space="0"/>
            </w:tcBorders>
            <w:noWrap/>
            <w:vAlign w:val="center"/>
          </w:tcPr>
          <w:p w14:paraId="0B9EAF2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22ZKJ3103</w:t>
            </w:r>
          </w:p>
        </w:tc>
        <w:tc>
          <w:tcPr>
            <w:tcW w:w="0" w:type="auto"/>
            <w:tcBorders>
              <w:top w:val="nil"/>
              <w:left w:val="nil"/>
              <w:bottom w:val="single" w:color="auto" w:sz="4" w:space="0"/>
              <w:right w:val="single" w:color="auto" w:sz="4" w:space="0"/>
            </w:tcBorders>
            <w:noWrap/>
            <w:vAlign w:val="center"/>
          </w:tcPr>
          <w:p w14:paraId="0261372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2689263.03</w:t>
            </w:r>
          </w:p>
        </w:tc>
        <w:tc>
          <w:tcPr>
            <w:tcW w:w="0" w:type="auto"/>
            <w:tcBorders>
              <w:top w:val="nil"/>
              <w:left w:val="nil"/>
              <w:bottom w:val="single" w:color="auto" w:sz="4" w:space="0"/>
              <w:right w:val="single" w:color="auto" w:sz="4" w:space="0"/>
            </w:tcBorders>
            <w:noWrap/>
            <w:vAlign w:val="center"/>
          </w:tcPr>
          <w:p w14:paraId="351C25F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33435272.07</w:t>
            </w:r>
          </w:p>
        </w:tc>
        <w:tc>
          <w:tcPr>
            <w:tcW w:w="0" w:type="auto"/>
            <w:tcBorders>
              <w:top w:val="nil"/>
              <w:left w:val="nil"/>
              <w:bottom w:val="single" w:color="auto" w:sz="4" w:space="0"/>
              <w:right w:val="single" w:color="auto" w:sz="4" w:space="0"/>
            </w:tcBorders>
            <w:noWrap w:val="0"/>
            <w:vAlign w:val="center"/>
          </w:tcPr>
          <w:p w14:paraId="047CF25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1482.23</w:t>
            </w:r>
          </w:p>
        </w:tc>
        <w:tc>
          <w:tcPr>
            <w:tcW w:w="0" w:type="auto"/>
            <w:tcBorders>
              <w:top w:val="nil"/>
              <w:left w:val="nil"/>
              <w:bottom w:val="single" w:color="auto" w:sz="4" w:space="0"/>
              <w:right w:val="single" w:color="auto" w:sz="4" w:space="0"/>
            </w:tcBorders>
            <w:noWrap w:val="0"/>
            <w:vAlign w:val="center"/>
          </w:tcPr>
          <w:p w14:paraId="324BFFB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280</w:t>
            </w:r>
          </w:p>
        </w:tc>
        <w:tc>
          <w:tcPr>
            <w:tcW w:w="0" w:type="auto"/>
            <w:tcBorders>
              <w:top w:val="nil"/>
              <w:left w:val="nil"/>
              <w:bottom w:val="single" w:color="auto" w:sz="4" w:space="0"/>
              <w:right w:val="single" w:color="auto" w:sz="4" w:space="0"/>
            </w:tcBorders>
            <w:noWrap w:val="0"/>
            <w:vAlign w:val="center"/>
          </w:tcPr>
          <w:p w14:paraId="2F5718B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0ABF1A8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auto" w:sz="4" w:space="0"/>
              <w:right w:val="single" w:color="auto" w:sz="4" w:space="0"/>
            </w:tcBorders>
            <w:noWrap w:val="0"/>
            <w:vAlign w:val="center"/>
          </w:tcPr>
          <w:p w14:paraId="26909FF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34B1CFE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16D92711">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06EFBEC9">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6FBF566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11</w:t>
            </w:r>
          </w:p>
        </w:tc>
        <w:tc>
          <w:tcPr>
            <w:tcW w:w="0" w:type="auto"/>
            <w:tcBorders>
              <w:top w:val="nil"/>
              <w:left w:val="nil"/>
              <w:bottom w:val="single" w:color="auto" w:sz="4" w:space="0"/>
              <w:right w:val="single" w:color="auto" w:sz="4" w:space="0"/>
            </w:tcBorders>
            <w:noWrap/>
            <w:vAlign w:val="center"/>
          </w:tcPr>
          <w:p w14:paraId="58C81CA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22ZKJ3201</w:t>
            </w:r>
          </w:p>
        </w:tc>
        <w:tc>
          <w:tcPr>
            <w:tcW w:w="0" w:type="auto"/>
            <w:tcBorders>
              <w:top w:val="nil"/>
              <w:left w:val="nil"/>
              <w:bottom w:val="single" w:color="auto" w:sz="4" w:space="0"/>
              <w:right w:val="single" w:color="auto" w:sz="4" w:space="0"/>
            </w:tcBorders>
            <w:noWrap/>
            <w:vAlign w:val="center"/>
          </w:tcPr>
          <w:p w14:paraId="6A9E9A0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2689245.05</w:t>
            </w:r>
          </w:p>
        </w:tc>
        <w:tc>
          <w:tcPr>
            <w:tcW w:w="0" w:type="auto"/>
            <w:tcBorders>
              <w:top w:val="nil"/>
              <w:left w:val="nil"/>
              <w:bottom w:val="single" w:color="auto" w:sz="4" w:space="0"/>
              <w:right w:val="single" w:color="auto" w:sz="4" w:space="0"/>
            </w:tcBorders>
            <w:noWrap/>
            <w:vAlign w:val="center"/>
          </w:tcPr>
          <w:p w14:paraId="6371DF7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33435159.41</w:t>
            </w:r>
          </w:p>
        </w:tc>
        <w:tc>
          <w:tcPr>
            <w:tcW w:w="0" w:type="auto"/>
            <w:tcBorders>
              <w:top w:val="nil"/>
              <w:left w:val="nil"/>
              <w:bottom w:val="single" w:color="auto" w:sz="4" w:space="0"/>
              <w:right w:val="single" w:color="auto" w:sz="4" w:space="0"/>
            </w:tcBorders>
            <w:noWrap w:val="0"/>
            <w:vAlign w:val="center"/>
          </w:tcPr>
          <w:p w14:paraId="22E2498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1481.11</w:t>
            </w:r>
          </w:p>
        </w:tc>
        <w:tc>
          <w:tcPr>
            <w:tcW w:w="0" w:type="auto"/>
            <w:tcBorders>
              <w:top w:val="nil"/>
              <w:left w:val="nil"/>
              <w:bottom w:val="single" w:color="auto" w:sz="4" w:space="0"/>
              <w:right w:val="single" w:color="auto" w:sz="4" w:space="0"/>
            </w:tcBorders>
            <w:noWrap w:val="0"/>
            <w:vAlign w:val="center"/>
          </w:tcPr>
          <w:p w14:paraId="4537B02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480</w:t>
            </w:r>
          </w:p>
        </w:tc>
        <w:tc>
          <w:tcPr>
            <w:tcW w:w="0" w:type="auto"/>
            <w:tcBorders>
              <w:top w:val="nil"/>
              <w:left w:val="nil"/>
              <w:bottom w:val="single" w:color="auto" w:sz="4" w:space="0"/>
              <w:right w:val="single" w:color="auto" w:sz="4" w:space="0"/>
            </w:tcBorders>
            <w:noWrap w:val="0"/>
            <w:vAlign w:val="center"/>
          </w:tcPr>
          <w:p w14:paraId="1DF118F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44919B8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auto" w:sz="4" w:space="0"/>
              <w:right w:val="single" w:color="auto" w:sz="4" w:space="0"/>
            </w:tcBorders>
            <w:noWrap w:val="0"/>
            <w:vAlign w:val="center"/>
          </w:tcPr>
          <w:p w14:paraId="5029AAC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2E4D7A0B">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0AF6F6E4">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r>
              <w:rPr>
                <w:rFonts w:hint="eastAsia" w:ascii="宋体" w:hAnsi="宋体" w:eastAsia="宋体" w:cs="宋体"/>
                <w:color w:val="auto"/>
                <w:kern w:val="0"/>
                <w:szCs w:val="21"/>
              </w:rPr>
              <w:t>探求F1</w:t>
            </w:r>
          </w:p>
        </w:tc>
      </w:tr>
      <w:tr w14:paraId="75F30630">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0D066D1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12</w:t>
            </w:r>
          </w:p>
        </w:tc>
        <w:tc>
          <w:tcPr>
            <w:tcW w:w="0" w:type="auto"/>
            <w:tcBorders>
              <w:top w:val="nil"/>
              <w:left w:val="nil"/>
              <w:bottom w:val="single" w:color="auto" w:sz="4" w:space="0"/>
              <w:right w:val="single" w:color="auto" w:sz="4" w:space="0"/>
            </w:tcBorders>
            <w:noWrap/>
            <w:vAlign w:val="center"/>
          </w:tcPr>
          <w:p w14:paraId="519B482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22ZKJ3202</w:t>
            </w:r>
          </w:p>
        </w:tc>
        <w:tc>
          <w:tcPr>
            <w:tcW w:w="0" w:type="auto"/>
            <w:tcBorders>
              <w:top w:val="nil"/>
              <w:left w:val="nil"/>
              <w:bottom w:val="single" w:color="auto" w:sz="4" w:space="0"/>
              <w:right w:val="single" w:color="auto" w:sz="4" w:space="0"/>
            </w:tcBorders>
            <w:noWrap/>
            <w:vAlign w:val="center"/>
          </w:tcPr>
          <w:p w14:paraId="2C8D29B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2689223.01</w:t>
            </w:r>
          </w:p>
        </w:tc>
        <w:tc>
          <w:tcPr>
            <w:tcW w:w="0" w:type="auto"/>
            <w:tcBorders>
              <w:top w:val="nil"/>
              <w:left w:val="nil"/>
              <w:bottom w:val="single" w:color="auto" w:sz="4" w:space="0"/>
              <w:right w:val="single" w:color="auto" w:sz="4" w:space="0"/>
            </w:tcBorders>
            <w:noWrap/>
            <w:vAlign w:val="center"/>
          </w:tcPr>
          <w:p w14:paraId="5645D0A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33435190.03</w:t>
            </w:r>
          </w:p>
        </w:tc>
        <w:tc>
          <w:tcPr>
            <w:tcW w:w="0" w:type="auto"/>
            <w:tcBorders>
              <w:top w:val="nil"/>
              <w:left w:val="nil"/>
              <w:bottom w:val="single" w:color="auto" w:sz="4" w:space="0"/>
              <w:right w:val="single" w:color="auto" w:sz="4" w:space="0"/>
            </w:tcBorders>
            <w:noWrap w:val="0"/>
            <w:vAlign w:val="center"/>
          </w:tcPr>
          <w:p w14:paraId="3E39BF1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1498.32</w:t>
            </w:r>
          </w:p>
        </w:tc>
        <w:tc>
          <w:tcPr>
            <w:tcW w:w="0" w:type="auto"/>
            <w:tcBorders>
              <w:top w:val="nil"/>
              <w:left w:val="nil"/>
              <w:bottom w:val="single" w:color="auto" w:sz="4" w:space="0"/>
              <w:right w:val="single" w:color="auto" w:sz="4" w:space="0"/>
            </w:tcBorders>
            <w:noWrap w:val="0"/>
            <w:vAlign w:val="center"/>
          </w:tcPr>
          <w:p w14:paraId="3782738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300</w:t>
            </w:r>
          </w:p>
        </w:tc>
        <w:tc>
          <w:tcPr>
            <w:tcW w:w="0" w:type="auto"/>
            <w:tcBorders>
              <w:top w:val="nil"/>
              <w:left w:val="nil"/>
              <w:bottom w:val="single" w:color="auto" w:sz="4" w:space="0"/>
              <w:right w:val="single" w:color="auto" w:sz="4" w:space="0"/>
            </w:tcBorders>
            <w:noWrap w:val="0"/>
            <w:vAlign w:val="center"/>
          </w:tcPr>
          <w:p w14:paraId="1D2BF8D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2AD06D8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auto" w:sz="4" w:space="0"/>
              <w:right w:val="single" w:color="auto" w:sz="4" w:space="0"/>
            </w:tcBorders>
            <w:noWrap w:val="0"/>
            <w:vAlign w:val="center"/>
          </w:tcPr>
          <w:p w14:paraId="3D4F3C1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11BDC04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4D8B4C6E">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46906D3A">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0909CFE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13</w:t>
            </w:r>
          </w:p>
        </w:tc>
        <w:tc>
          <w:tcPr>
            <w:tcW w:w="0" w:type="auto"/>
            <w:tcBorders>
              <w:top w:val="nil"/>
              <w:left w:val="nil"/>
              <w:bottom w:val="single" w:color="auto" w:sz="4" w:space="0"/>
              <w:right w:val="single" w:color="auto" w:sz="4" w:space="0"/>
            </w:tcBorders>
            <w:noWrap/>
            <w:vAlign w:val="center"/>
          </w:tcPr>
          <w:p w14:paraId="6C4789C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22ZKJ3203</w:t>
            </w:r>
          </w:p>
        </w:tc>
        <w:tc>
          <w:tcPr>
            <w:tcW w:w="0" w:type="auto"/>
            <w:tcBorders>
              <w:top w:val="nil"/>
              <w:left w:val="nil"/>
              <w:bottom w:val="single" w:color="auto" w:sz="4" w:space="0"/>
              <w:right w:val="single" w:color="auto" w:sz="4" w:space="0"/>
            </w:tcBorders>
            <w:noWrap/>
            <w:vAlign w:val="center"/>
          </w:tcPr>
          <w:p w14:paraId="30EE95C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2689208.76</w:t>
            </w:r>
          </w:p>
        </w:tc>
        <w:tc>
          <w:tcPr>
            <w:tcW w:w="0" w:type="auto"/>
            <w:tcBorders>
              <w:top w:val="nil"/>
              <w:left w:val="nil"/>
              <w:bottom w:val="single" w:color="auto" w:sz="4" w:space="0"/>
              <w:right w:val="single" w:color="auto" w:sz="4" w:space="0"/>
            </w:tcBorders>
            <w:noWrap/>
            <w:vAlign w:val="center"/>
          </w:tcPr>
          <w:p w14:paraId="210C638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33435225.67</w:t>
            </w:r>
          </w:p>
        </w:tc>
        <w:tc>
          <w:tcPr>
            <w:tcW w:w="0" w:type="auto"/>
            <w:tcBorders>
              <w:top w:val="nil"/>
              <w:left w:val="nil"/>
              <w:bottom w:val="single" w:color="auto" w:sz="4" w:space="0"/>
              <w:right w:val="single" w:color="auto" w:sz="4" w:space="0"/>
            </w:tcBorders>
            <w:noWrap w:val="0"/>
            <w:vAlign w:val="center"/>
          </w:tcPr>
          <w:p w14:paraId="3E8AF38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1506.35</w:t>
            </w:r>
          </w:p>
        </w:tc>
        <w:tc>
          <w:tcPr>
            <w:tcW w:w="0" w:type="auto"/>
            <w:tcBorders>
              <w:top w:val="nil"/>
              <w:left w:val="nil"/>
              <w:bottom w:val="single" w:color="auto" w:sz="4" w:space="0"/>
              <w:right w:val="single" w:color="auto" w:sz="4" w:space="0"/>
            </w:tcBorders>
            <w:noWrap w:val="0"/>
            <w:vAlign w:val="center"/>
          </w:tcPr>
          <w:p w14:paraId="6F17995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360</w:t>
            </w:r>
          </w:p>
        </w:tc>
        <w:tc>
          <w:tcPr>
            <w:tcW w:w="0" w:type="auto"/>
            <w:tcBorders>
              <w:top w:val="nil"/>
              <w:left w:val="nil"/>
              <w:bottom w:val="single" w:color="auto" w:sz="4" w:space="0"/>
              <w:right w:val="single" w:color="auto" w:sz="4" w:space="0"/>
            </w:tcBorders>
            <w:noWrap w:val="0"/>
            <w:vAlign w:val="center"/>
          </w:tcPr>
          <w:p w14:paraId="35A937E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3DA5979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auto" w:sz="4" w:space="0"/>
              <w:right w:val="single" w:color="auto" w:sz="4" w:space="0"/>
            </w:tcBorders>
            <w:noWrap w:val="0"/>
            <w:vAlign w:val="center"/>
          </w:tcPr>
          <w:p w14:paraId="79C6AD9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2603C98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1D18AB8B">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r>
              <w:rPr>
                <w:rFonts w:hint="eastAsia" w:ascii="宋体" w:hAnsi="宋体" w:eastAsia="宋体" w:cs="宋体"/>
                <w:color w:val="auto"/>
                <w:kern w:val="0"/>
                <w:szCs w:val="21"/>
              </w:rPr>
              <w:t>探求F1</w:t>
            </w:r>
          </w:p>
        </w:tc>
      </w:tr>
      <w:tr w14:paraId="7CAF0DD1">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046C6B6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小计</w:t>
            </w:r>
          </w:p>
        </w:tc>
        <w:tc>
          <w:tcPr>
            <w:tcW w:w="0" w:type="auto"/>
            <w:tcBorders>
              <w:top w:val="nil"/>
              <w:left w:val="nil"/>
              <w:bottom w:val="single" w:color="auto" w:sz="4" w:space="0"/>
              <w:right w:val="single" w:color="auto" w:sz="4" w:space="0"/>
            </w:tcBorders>
            <w:noWrap/>
            <w:vAlign w:val="center"/>
          </w:tcPr>
          <w:p w14:paraId="4D445AA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18B7AE1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12AB791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02F8FC4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40BB67B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4000</w:t>
            </w:r>
          </w:p>
        </w:tc>
        <w:tc>
          <w:tcPr>
            <w:tcW w:w="0" w:type="auto"/>
            <w:tcBorders>
              <w:top w:val="nil"/>
              <w:left w:val="nil"/>
              <w:bottom w:val="single" w:color="auto" w:sz="4" w:space="0"/>
              <w:right w:val="single" w:color="auto" w:sz="4" w:space="0"/>
            </w:tcBorders>
            <w:noWrap/>
            <w:vAlign w:val="center"/>
          </w:tcPr>
          <w:p w14:paraId="7B1E645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2726FB8C">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0E07094A">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7F263DEE">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2C3F0345">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r>
      <w:tr w14:paraId="34A0AF96">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74B7668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0" w:type="auto"/>
            <w:tcBorders>
              <w:top w:val="nil"/>
              <w:left w:val="nil"/>
              <w:bottom w:val="single" w:color="auto" w:sz="4" w:space="0"/>
              <w:right w:val="single" w:color="auto" w:sz="4" w:space="0"/>
            </w:tcBorders>
            <w:noWrap/>
            <w:vAlign w:val="center"/>
          </w:tcPr>
          <w:p w14:paraId="2463FA7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22ZK2201</w:t>
            </w:r>
          </w:p>
        </w:tc>
        <w:tc>
          <w:tcPr>
            <w:tcW w:w="0" w:type="auto"/>
            <w:tcBorders>
              <w:top w:val="nil"/>
              <w:left w:val="nil"/>
              <w:bottom w:val="single" w:color="auto" w:sz="4" w:space="0"/>
              <w:right w:val="single" w:color="auto" w:sz="4" w:space="0"/>
            </w:tcBorders>
            <w:noWrap/>
            <w:vAlign w:val="center"/>
          </w:tcPr>
          <w:p w14:paraId="0F04C5C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2689506.00</w:t>
            </w:r>
          </w:p>
        </w:tc>
        <w:tc>
          <w:tcPr>
            <w:tcW w:w="0" w:type="auto"/>
            <w:tcBorders>
              <w:top w:val="nil"/>
              <w:left w:val="nil"/>
              <w:bottom w:val="single" w:color="auto" w:sz="4" w:space="0"/>
              <w:right w:val="single" w:color="auto" w:sz="4" w:space="0"/>
            </w:tcBorders>
            <w:noWrap/>
            <w:vAlign w:val="center"/>
          </w:tcPr>
          <w:p w14:paraId="1DAEC6B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33435532.45</w:t>
            </w:r>
          </w:p>
        </w:tc>
        <w:tc>
          <w:tcPr>
            <w:tcW w:w="0" w:type="auto"/>
            <w:tcBorders>
              <w:top w:val="nil"/>
              <w:left w:val="nil"/>
              <w:bottom w:val="single" w:color="auto" w:sz="4" w:space="0"/>
              <w:right w:val="single" w:color="auto" w:sz="4" w:space="0"/>
            </w:tcBorders>
            <w:noWrap/>
            <w:vAlign w:val="center"/>
          </w:tcPr>
          <w:p w14:paraId="355F4C2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1252.07</w:t>
            </w:r>
          </w:p>
        </w:tc>
        <w:tc>
          <w:tcPr>
            <w:tcW w:w="0" w:type="auto"/>
            <w:tcBorders>
              <w:top w:val="nil"/>
              <w:left w:val="nil"/>
              <w:bottom w:val="single" w:color="auto" w:sz="4" w:space="0"/>
              <w:right w:val="single" w:color="auto" w:sz="4" w:space="0"/>
            </w:tcBorders>
            <w:noWrap/>
            <w:vAlign w:val="center"/>
          </w:tcPr>
          <w:p w14:paraId="5689349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300</w:t>
            </w:r>
          </w:p>
        </w:tc>
        <w:tc>
          <w:tcPr>
            <w:tcW w:w="0" w:type="auto"/>
            <w:tcBorders>
              <w:top w:val="nil"/>
              <w:left w:val="nil"/>
              <w:bottom w:val="single" w:color="auto" w:sz="4" w:space="0"/>
              <w:right w:val="single" w:color="auto" w:sz="4" w:space="0"/>
            </w:tcBorders>
            <w:noWrap w:val="0"/>
            <w:vAlign w:val="center"/>
          </w:tcPr>
          <w:p w14:paraId="0C00891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60028DF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restart"/>
            <w:tcBorders>
              <w:top w:val="nil"/>
              <w:left w:val="single" w:color="auto" w:sz="4" w:space="0"/>
              <w:bottom w:val="single" w:color="000000" w:sz="4" w:space="0"/>
              <w:right w:val="single" w:color="auto" w:sz="4" w:space="0"/>
            </w:tcBorders>
            <w:noWrap/>
            <w:vAlign w:val="center"/>
          </w:tcPr>
          <w:p w14:paraId="694E347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4670m/14孔</w:t>
            </w:r>
          </w:p>
        </w:tc>
        <w:tc>
          <w:tcPr>
            <w:tcW w:w="0" w:type="auto"/>
            <w:vMerge w:val="restart"/>
            <w:tcBorders>
              <w:top w:val="nil"/>
              <w:left w:val="single" w:color="auto" w:sz="4" w:space="0"/>
              <w:bottom w:val="single" w:color="auto" w:sz="4" w:space="0"/>
              <w:right w:val="single" w:color="auto" w:sz="4" w:space="0"/>
            </w:tcBorders>
            <w:noWrap/>
            <w:vAlign w:val="center"/>
          </w:tcPr>
          <w:p w14:paraId="60ECF83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rPr>
            </w:pPr>
            <w:r>
              <w:rPr>
                <w:rFonts w:hint="eastAsia" w:ascii="宋体" w:hAnsi="宋体" w:eastAsia="宋体" w:cs="宋体"/>
                <w:color w:val="auto"/>
                <w:kern w:val="0"/>
                <w:szCs w:val="21"/>
              </w:rPr>
              <w:t>第三阶段</w:t>
            </w:r>
          </w:p>
        </w:tc>
        <w:tc>
          <w:tcPr>
            <w:tcW w:w="0" w:type="auto"/>
            <w:tcBorders>
              <w:top w:val="nil"/>
              <w:left w:val="nil"/>
              <w:bottom w:val="single" w:color="auto" w:sz="4" w:space="0"/>
              <w:right w:val="single" w:color="auto" w:sz="4" w:space="0"/>
            </w:tcBorders>
            <w:noWrap/>
            <w:vAlign w:val="center"/>
          </w:tcPr>
          <w:p w14:paraId="0562AB39">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r>
      <w:tr w14:paraId="14F5FE82">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5DA1E91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w:t>
            </w:r>
          </w:p>
        </w:tc>
        <w:tc>
          <w:tcPr>
            <w:tcW w:w="0" w:type="auto"/>
            <w:tcBorders>
              <w:top w:val="nil"/>
              <w:left w:val="nil"/>
              <w:bottom w:val="single" w:color="auto" w:sz="4" w:space="0"/>
              <w:right w:val="single" w:color="auto" w:sz="4" w:space="0"/>
            </w:tcBorders>
            <w:noWrap/>
            <w:vAlign w:val="center"/>
          </w:tcPr>
          <w:p w14:paraId="7761863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22ZKJ2401</w:t>
            </w:r>
          </w:p>
        </w:tc>
        <w:tc>
          <w:tcPr>
            <w:tcW w:w="0" w:type="auto"/>
            <w:tcBorders>
              <w:top w:val="nil"/>
              <w:left w:val="nil"/>
              <w:bottom w:val="single" w:color="auto" w:sz="4" w:space="0"/>
              <w:right w:val="single" w:color="auto" w:sz="4" w:space="0"/>
            </w:tcBorders>
            <w:noWrap/>
            <w:vAlign w:val="center"/>
          </w:tcPr>
          <w:p w14:paraId="299B0ED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2689523.50</w:t>
            </w:r>
          </w:p>
        </w:tc>
        <w:tc>
          <w:tcPr>
            <w:tcW w:w="0" w:type="auto"/>
            <w:tcBorders>
              <w:top w:val="nil"/>
              <w:left w:val="nil"/>
              <w:bottom w:val="single" w:color="auto" w:sz="4" w:space="0"/>
              <w:right w:val="single" w:color="auto" w:sz="4" w:space="0"/>
            </w:tcBorders>
            <w:noWrap/>
            <w:vAlign w:val="center"/>
          </w:tcPr>
          <w:p w14:paraId="4D5E548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33435332.09</w:t>
            </w:r>
          </w:p>
        </w:tc>
        <w:tc>
          <w:tcPr>
            <w:tcW w:w="0" w:type="auto"/>
            <w:tcBorders>
              <w:top w:val="nil"/>
              <w:left w:val="nil"/>
              <w:bottom w:val="single" w:color="auto" w:sz="4" w:space="0"/>
              <w:right w:val="single" w:color="auto" w:sz="4" w:space="0"/>
            </w:tcBorders>
            <w:noWrap/>
            <w:vAlign w:val="center"/>
          </w:tcPr>
          <w:p w14:paraId="0AB21A3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1305.26</w:t>
            </w:r>
          </w:p>
        </w:tc>
        <w:tc>
          <w:tcPr>
            <w:tcW w:w="0" w:type="auto"/>
            <w:tcBorders>
              <w:top w:val="nil"/>
              <w:left w:val="nil"/>
              <w:bottom w:val="single" w:color="auto" w:sz="4" w:space="0"/>
              <w:right w:val="single" w:color="auto" w:sz="4" w:space="0"/>
            </w:tcBorders>
            <w:noWrap/>
            <w:vAlign w:val="center"/>
          </w:tcPr>
          <w:p w14:paraId="0525093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300</w:t>
            </w:r>
          </w:p>
        </w:tc>
        <w:tc>
          <w:tcPr>
            <w:tcW w:w="0" w:type="auto"/>
            <w:tcBorders>
              <w:top w:val="nil"/>
              <w:left w:val="nil"/>
              <w:bottom w:val="single" w:color="auto" w:sz="4" w:space="0"/>
              <w:right w:val="single" w:color="auto" w:sz="4" w:space="0"/>
            </w:tcBorders>
            <w:noWrap w:val="0"/>
            <w:vAlign w:val="center"/>
          </w:tcPr>
          <w:p w14:paraId="4B9257D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7A93D7F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000000" w:sz="4" w:space="0"/>
              <w:right w:val="single" w:color="auto" w:sz="4" w:space="0"/>
            </w:tcBorders>
            <w:noWrap w:val="0"/>
            <w:vAlign w:val="center"/>
          </w:tcPr>
          <w:p w14:paraId="76D13CE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2D2A85A5">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6C1C4C7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41CF2403">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4C5F569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w:t>
            </w:r>
          </w:p>
        </w:tc>
        <w:tc>
          <w:tcPr>
            <w:tcW w:w="0" w:type="auto"/>
            <w:tcBorders>
              <w:top w:val="nil"/>
              <w:left w:val="nil"/>
              <w:bottom w:val="single" w:color="auto" w:sz="4" w:space="0"/>
              <w:right w:val="single" w:color="auto" w:sz="4" w:space="0"/>
            </w:tcBorders>
            <w:noWrap/>
            <w:vAlign w:val="center"/>
          </w:tcPr>
          <w:p w14:paraId="19E1DA0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22ZKJ2402</w:t>
            </w:r>
          </w:p>
        </w:tc>
        <w:tc>
          <w:tcPr>
            <w:tcW w:w="0" w:type="auto"/>
            <w:tcBorders>
              <w:top w:val="nil"/>
              <w:left w:val="nil"/>
              <w:bottom w:val="single" w:color="auto" w:sz="4" w:space="0"/>
              <w:right w:val="single" w:color="auto" w:sz="4" w:space="0"/>
            </w:tcBorders>
            <w:noWrap/>
            <w:vAlign w:val="center"/>
          </w:tcPr>
          <w:p w14:paraId="25C01F6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2689483.78</w:t>
            </w:r>
          </w:p>
        </w:tc>
        <w:tc>
          <w:tcPr>
            <w:tcW w:w="0" w:type="auto"/>
            <w:tcBorders>
              <w:top w:val="nil"/>
              <w:left w:val="nil"/>
              <w:bottom w:val="single" w:color="auto" w:sz="4" w:space="0"/>
              <w:right w:val="single" w:color="auto" w:sz="4" w:space="0"/>
            </w:tcBorders>
            <w:noWrap/>
            <w:vAlign w:val="center"/>
          </w:tcPr>
          <w:p w14:paraId="391C4A0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33435401.53</w:t>
            </w:r>
          </w:p>
        </w:tc>
        <w:tc>
          <w:tcPr>
            <w:tcW w:w="0" w:type="auto"/>
            <w:tcBorders>
              <w:top w:val="nil"/>
              <w:left w:val="nil"/>
              <w:bottom w:val="single" w:color="auto" w:sz="4" w:space="0"/>
              <w:right w:val="single" w:color="auto" w:sz="4" w:space="0"/>
            </w:tcBorders>
            <w:noWrap/>
            <w:vAlign w:val="center"/>
          </w:tcPr>
          <w:p w14:paraId="058E4BD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1284.65</w:t>
            </w:r>
          </w:p>
        </w:tc>
        <w:tc>
          <w:tcPr>
            <w:tcW w:w="0" w:type="auto"/>
            <w:tcBorders>
              <w:top w:val="nil"/>
              <w:left w:val="nil"/>
              <w:bottom w:val="single" w:color="auto" w:sz="4" w:space="0"/>
              <w:right w:val="single" w:color="auto" w:sz="4" w:space="0"/>
            </w:tcBorders>
            <w:noWrap/>
            <w:vAlign w:val="center"/>
          </w:tcPr>
          <w:p w14:paraId="0427845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300</w:t>
            </w:r>
          </w:p>
        </w:tc>
        <w:tc>
          <w:tcPr>
            <w:tcW w:w="0" w:type="auto"/>
            <w:tcBorders>
              <w:top w:val="nil"/>
              <w:left w:val="nil"/>
              <w:bottom w:val="single" w:color="auto" w:sz="4" w:space="0"/>
              <w:right w:val="single" w:color="auto" w:sz="4" w:space="0"/>
            </w:tcBorders>
            <w:noWrap w:val="0"/>
            <w:vAlign w:val="center"/>
          </w:tcPr>
          <w:p w14:paraId="028A413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5652E14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000000" w:sz="4" w:space="0"/>
              <w:right w:val="single" w:color="auto" w:sz="4" w:space="0"/>
            </w:tcBorders>
            <w:noWrap w:val="0"/>
            <w:vAlign w:val="center"/>
          </w:tcPr>
          <w:p w14:paraId="430EE5D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63130502">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128C0401">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4029C74D">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2EA509C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w:t>
            </w:r>
          </w:p>
        </w:tc>
        <w:tc>
          <w:tcPr>
            <w:tcW w:w="0" w:type="auto"/>
            <w:tcBorders>
              <w:top w:val="nil"/>
              <w:left w:val="nil"/>
              <w:bottom w:val="single" w:color="auto" w:sz="4" w:space="0"/>
              <w:right w:val="single" w:color="auto" w:sz="4" w:space="0"/>
            </w:tcBorders>
            <w:noWrap/>
            <w:vAlign w:val="center"/>
          </w:tcPr>
          <w:p w14:paraId="79CB63B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22ZKJ2403</w:t>
            </w:r>
          </w:p>
        </w:tc>
        <w:tc>
          <w:tcPr>
            <w:tcW w:w="0" w:type="auto"/>
            <w:tcBorders>
              <w:top w:val="nil"/>
              <w:left w:val="nil"/>
              <w:bottom w:val="single" w:color="auto" w:sz="4" w:space="0"/>
              <w:right w:val="single" w:color="auto" w:sz="4" w:space="0"/>
            </w:tcBorders>
            <w:noWrap/>
            <w:vAlign w:val="center"/>
          </w:tcPr>
          <w:p w14:paraId="057FB03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2689444.06</w:t>
            </w:r>
          </w:p>
        </w:tc>
        <w:tc>
          <w:tcPr>
            <w:tcW w:w="0" w:type="auto"/>
            <w:tcBorders>
              <w:top w:val="nil"/>
              <w:left w:val="nil"/>
              <w:bottom w:val="single" w:color="auto" w:sz="4" w:space="0"/>
              <w:right w:val="single" w:color="auto" w:sz="4" w:space="0"/>
            </w:tcBorders>
            <w:noWrap/>
            <w:vAlign w:val="center"/>
          </w:tcPr>
          <w:p w14:paraId="00C3576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33435470.98</w:t>
            </w:r>
          </w:p>
        </w:tc>
        <w:tc>
          <w:tcPr>
            <w:tcW w:w="0" w:type="auto"/>
            <w:tcBorders>
              <w:top w:val="nil"/>
              <w:left w:val="nil"/>
              <w:bottom w:val="single" w:color="auto" w:sz="4" w:space="0"/>
              <w:right w:val="single" w:color="auto" w:sz="4" w:space="0"/>
            </w:tcBorders>
            <w:noWrap/>
            <w:vAlign w:val="center"/>
          </w:tcPr>
          <w:p w14:paraId="54C025B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74F9AF5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300</w:t>
            </w:r>
          </w:p>
        </w:tc>
        <w:tc>
          <w:tcPr>
            <w:tcW w:w="0" w:type="auto"/>
            <w:tcBorders>
              <w:top w:val="nil"/>
              <w:left w:val="nil"/>
              <w:bottom w:val="single" w:color="auto" w:sz="4" w:space="0"/>
              <w:right w:val="single" w:color="auto" w:sz="4" w:space="0"/>
            </w:tcBorders>
            <w:noWrap w:val="0"/>
            <w:vAlign w:val="center"/>
          </w:tcPr>
          <w:p w14:paraId="5758569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4C58DAE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000000" w:sz="4" w:space="0"/>
              <w:right w:val="single" w:color="auto" w:sz="4" w:space="0"/>
            </w:tcBorders>
            <w:noWrap w:val="0"/>
            <w:vAlign w:val="center"/>
          </w:tcPr>
          <w:p w14:paraId="378CF18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0BE34AAF">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03E3ABCE">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6F4EE625">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03C2AAC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w:t>
            </w:r>
          </w:p>
        </w:tc>
        <w:tc>
          <w:tcPr>
            <w:tcW w:w="0" w:type="auto"/>
            <w:tcBorders>
              <w:top w:val="nil"/>
              <w:left w:val="nil"/>
              <w:bottom w:val="single" w:color="auto" w:sz="4" w:space="0"/>
              <w:right w:val="single" w:color="auto" w:sz="4" w:space="0"/>
            </w:tcBorders>
            <w:noWrap/>
            <w:vAlign w:val="center"/>
          </w:tcPr>
          <w:p w14:paraId="2110906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22ZKJ2603</w:t>
            </w:r>
          </w:p>
        </w:tc>
        <w:tc>
          <w:tcPr>
            <w:tcW w:w="0" w:type="auto"/>
            <w:tcBorders>
              <w:top w:val="nil"/>
              <w:left w:val="nil"/>
              <w:bottom w:val="single" w:color="auto" w:sz="4" w:space="0"/>
              <w:right w:val="single" w:color="auto" w:sz="4" w:space="0"/>
            </w:tcBorders>
            <w:noWrap/>
            <w:vAlign w:val="center"/>
          </w:tcPr>
          <w:p w14:paraId="7B188C8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2689401.67</w:t>
            </w:r>
          </w:p>
        </w:tc>
        <w:tc>
          <w:tcPr>
            <w:tcW w:w="0" w:type="auto"/>
            <w:tcBorders>
              <w:top w:val="nil"/>
              <w:left w:val="nil"/>
              <w:bottom w:val="single" w:color="auto" w:sz="4" w:space="0"/>
              <w:right w:val="single" w:color="auto" w:sz="4" w:space="0"/>
            </w:tcBorders>
            <w:noWrap/>
            <w:vAlign w:val="center"/>
          </w:tcPr>
          <w:p w14:paraId="35C795B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33435415.42</w:t>
            </w:r>
          </w:p>
        </w:tc>
        <w:tc>
          <w:tcPr>
            <w:tcW w:w="0" w:type="auto"/>
            <w:tcBorders>
              <w:top w:val="nil"/>
              <w:left w:val="nil"/>
              <w:bottom w:val="single" w:color="auto" w:sz="4" w:space="0"/>
              <w:right w:val="single" w:color="auto" w:sz="4" w:space="0"/>
            </w:tcBorders>
            <w:noWrap/>
            <w:vAlign w:val="center"/>
          </w:tcPr>
          <w:p w14:paraId="0BC8A9D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1321.37</w:t>
            </w:r>
          </w:p>
        </w:tc>
        <w:tc>
          <w:tcPr>
            <w:tcW w:w="0" w:type="auto"/>
            <w:tcBorders>
              <w:top w:val="nil"/>
              <w:left w:val="nil"/>
              <w:bottom w:val="single" w:color="auto" w:sz="4" w:space="0"/>
              <w:right w:val="single" w:color="auto" w:sz="4" w:space="0"/>
            </w:tcBorders>
            <w:noWrap/>
            <w:vAlign w:val="center"/>
          </w:tcPr>
          <w:p w14:paraId="42C3B3E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300</w:t>
            </w:r>
          </w:p>
        </w:tc>
        <w:tc>
          <w:tcPr>
            <w:tcW w:w="0" w:type="auto"/>
            <w:tcBorders>
              <w:top w:val="nil"/>
              <w:left w:val="nil"/>
              <w:bottom w:val="single" w:color="auto" w:sz="4" w:space="0"/>
              <w:right w:val="single" w:color="auto" w:sz="4" w:space="0"/>
            </w:tcBorders>
            <w:noWrap w:val="0"/>
            <w:vAlign w:val="center"/>
          </w:tcPr>
          <w:p w14:paraId="0DE1FBF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321CD5D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000000" w:sz="4" w:space="0"/>
              <w:right w:val="single" w:color="auto" w:sz="4" w:space="0"/>
            </w:tcBorders>
            <w:noWrap w:val="0"/>
            <w:vAlign w:val="center"/>
          </w:tcPr>
          <w:p w14:paraId="3F680CD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2977172D">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5516D0C3">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7CA4ED0F">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703FEB3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w:t>
            </w:r>
          </w:p>
        </w:tc>
        <w:tc>
          <w:tcPr>
            <w:tcW w:w="0" w:type="auto"/>
            <w:tcBorders>
              <w:top w:val="nil"/>
              <w:left w:val="nil"/>
              <w:bottom w:val="single" w:color="auto" w:sz="4" w:space="0"/>
              <w:right w:val="single" w:color="auto" w:sz="4" w:space="0"/>
            </w:tcBorders>
            <w:noWrap/>
            <w:vAlign w:val="center"/>
          </w:tcPr>
          <w:p w14:paraId="6A9F16E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22ZK3003</w:t>
            </w:r>
          </w:p>
        </w:tc>
        <w:tc>
          <w:tcPr>
            <w:tcW w:w="0" w:type="auto"/>
            <w:tcBorders>
              <w:top w:val="nil"/>
              <w:left w:val="nil"/>
              <w:bottom w:val="single" w:color="auto" w:sz="4" w:space="0"/>
              <w:right w:val="single" w:color="auto" w:sz="4" w:space="0"/>
            </w:tcBorders>
            <w:noWrap/>
            <w:vAlign w:val="center"/>
          </w:tcPr>
          <w:p w14:paraId="0BECF85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2689330.88</w:t>
            </w:r>
          </w:p>
        </w:tc>
        <w:tc>
          <w:tcPr>
            <w:tcW w:w="0" w:type="auto"/>
            <w:tcBorders>
              <w:top w:val="nil"/>
              <w:left w:val="nil"/>
              <w:bottom w:val="single" w:color="auto" w:sz="4" w:space="0"/>
              <w:right w:val="single" w:color="auto" w:sz="4" w:space="0"/>
            </w:tcBorders>
            <w:noWrap/>
            <w:vAlign w:val="center"/>
          </w:tcPr>
          <w:p w14:paraId="6274269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33435398.20</w:t>
            </w:r>
          </w:p>
        </w:tc>
        <w:tc>
          <w:tcPr>
            <w:tcW w:w="0" w:type="auto"/>
            <w:tcBorders>
              <w:top w:val="nil"/>
              <w:left w:val="nil"/>
              <w:bottom w:val="single" w:color="auto" w:sz="4" w:space="0"/>
              <w:right w:val="single" w:color="auto" w:sz="4" w:space="0"/>
            </w:tcBorders>
            <w:noWrap/>
            <w:vAlign w:val="center"/>
          </w:tcPr>
          <w:p w14:paraId="08E3E86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1396.02</w:t>
            </w:r>
          </w:p>
        </w:tc>
        <w:tc>
          <w:tcPr>
            <w:tcW w:w="0" w:type="auto"/>
            <w:tcBorders>
              <w:top w:val="nil"/>
              <w:left w:val="nil"/>
              <w:bottom w:val="single" w:color="auto" w:sz="4" w:space="0"/>
              <w:right w:val="single" w:color="auto" w:sz="4" w:space="0"/>
            </w:tcBorders>
            <w:noWrap/>
            <w:vAlign w:val="center"/>
          </w:tcPr>
          <w:p w14:paraId="5181111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300</w:t>
            </w:r>
          </w:p>
        </w:tc>
        <w:tc>
          <w:tcPr>
            <w:tcW w:w="0" w:type="auto"/>
            <w:tcBorders>
              <w:top w:val="nil"/>
              <w:left w:val="nil"/>
              <w:bottom w:val="single" w:color="auto" w:sz="4" w:space="0"/>
              <w:right w:val="single" w:color="auto" w:sz="4" w:space="0"/>
            </w:tcBorders>
            <w:noWrap w:val="0"/>
            <w:vAlign w:val="center"/>
          </w:tcPr>
          <w:p w14:paraId="54FBBB0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29F5C2C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000000" w:sz="4" w:space="0"/>
              <w:right w:val="single" w:color="auto" w:sz="4" w:space="0"/>
            </w:tcBorders>
            <w:noWrap w:val="0"/>
            <w:vAlign w:val="center"/>
          </w:tcPr>
          <w:p w14:paraId="3265446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1A426A0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765DD140">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2CCF2EFD">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506A5FB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7</w:t>
            </w:r>
          </w:p>
        </w:tc>
        <w:tc>
          <w:tcPr>
            <w:tcW w:w="0" w:type="auto"/>
            <w:tcBorders>
              <w:top w:val="nil"/>
              <w:left w:val="nil"/>
              <w:bottom w:val="single" w:color="auto" w:sz="4" w:space="0"/>
              <w:right w:val="single" w:color="auto" w:sz="4" w:space="0"/>
            </w:tcBorders>
            <w:noWrap/>
            <w:vAlign w:val="center"/>
          </w:tcPr>
          <w:p w14:paraId="60F6DAF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22ZK3101</w:t>
            </w:r>
          </w:p>
        </w:tc>
        <w:tc>
          <w:tcPr>
            <w:tcW w:w="0" w:type="auto"/>
            <w:tcBorders>
              <w:top w:val="nil"/>
              <w:left w:val="nil"/>
              <w:bottom w:val="single" w:color="auto" w:sz="4" w:space="0"/>
              <w:right w:val="single" w:color="auto" w:sz="4" w:space="0"/>
            </w:tcBorders>
            <w:noWrap/>
            <w:vAlign w:val="center"/>
          </w:tcPr>
          <w:p w14:paraId="447633C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2689383.83</w:t>
            </w:r>
          </w:p>
        </w:tc>
        <w:tc>
          <w:tcPr>
            <w:tcW w:w="0" w:type="auto"/>
            <w:tcBorders>
              <w:top w:val="nil"/>
              <w:left w:val="nil"/>
              <w:bottom w:val="single" w:color="auto" w:sz="4" w:space="0"/>
              <w:right w:val="single" w:color="auto" w:sz="4" w:space="0"/>
            </w:tcBorders>
            <w:noWrap/>
            <w:vAlign w:val="center"/>
          </w:tcPr>
          <w:p w14:paraId="2C3B9F7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33435144.28</w:t>
            </w:r>
          </w:p>
        </w:tc>
        <w:tc>
          <w:tcPr>
            <w:tcW w:w="0" w:type="auto"/>
            <w:tcBorders>
              <w:top w:val="nil"/>
              <w:left w:val="nil"/>
              <w:bottom w:val="single" w:color="auto" w:sz="4" w:space="0"/>
              <w:right w:val="single" w:color="auto" w:sz="4" w:space="0"/>
            </w:tcBorders>
            <w:noWrap/>
            <w:vAlign w:val="center"/>
          </w:tcPr>
          <w:p w14:paraId="13DC36C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780C0B3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400</w:t>
            </w:r>
          </w:p>
        </w:tc>
        <w:tc>
          <w:tcPr>
            <w:tcW w:w="0" w:type="auto"/>
            <w:tcBorders>
              <w:top w:val="nil"/>
              <w:left w:val="nil"/>
              <w:bottom w:val="single" w:color="auto" w:sz="4" w:space="0"/>
              <w:right w:val="single" w:color="auto" w:sz="4" w:space="0"/>
            </w:tcBorders>
            <w:noWrap w:val="0"/>
            <w:vAlign w:val="center"/>
          </w:tcPr>
          <w:p w14:paraId="3CD31EC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7799030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000000" w:sz="4" w:space="0"/>
              <w:right w:val="single" w:color="auto" w:sz="4" w:space="0"/>
            </w:tcBorders>
            <w:noWrap w:val="0"/>
            <w:vAlign w:val="center"/>
          </w:tcPr>
          <w:p w14:paraId="73C16A2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23645F30">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1A3777C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658546A9">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5B6B20F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w:t>
            </w:r>
          </w:p>
        </w:tc>
        <w:tc>
          <w:tcPr>
            <w:tcW w:w="0" w:type="auto"/>
            <w:tcBorders>
              <w:top w:val="nil"/>
              <w:left w:val="nil"/>
              <w:bottom w:val="single" w:color="auto" w:sz="4" w:space="0"/>
              <w:right w:val="single" w:color="auto" w:sz="4" w:space="0"/>
            </w:tcBorders>
            <w:noWrap/>
            <w:vAlign w:val="center"/>
          </w:tcPr>
          <w:p w14:paraId="31072F2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22ZK3104</w:t>
            </w:r>
          </w:p>
        </w:tc>
        <w:tc>
          <w:tcPr>
            <w:tcW w:w="0" w:type="auto"/>
            <w:tcBorders>
              <w:top w:val="nil"/>
              <w:left w:val="nil"/>
              <w:bottom w:val="single" w:color="auto" w:sz="4" w:space="0"/>
              <w:right w:val="single" w:color="auto" w:sz="4" w:space="0"/>
            </w:tcBorders>
            <w:noWrap/>
            <w:vAlign w:val="center"/>
          </w:tcPr>
          <w:p w14:paraId="5D6D510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2689258.74</w:t>
            </w:r>
          </w:p>
        </w:tc>
        <w:tc>
          <w:tcPr>
            <w:tcW w:w="0" w:type="auto"/>
            <w:tcBorders>
              <w:top w:val="nil"/>
              <w:left w:val="nil"/>
              <w:bottom w:val="single" w:color="auto" w:sz="4" w:space="0"/>
              <w:right w:val="single" w:color="auto" w:sz="4" w:space="0"/>
            </w:tcBorders>
            <w:noWrap/>
            <w:vAlign w:val="center"/>
          </w:tcPr>
          <w:p w14:paraId="08C2291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33435362.98</w:t>
            </w:r>
          </w:p>
        </w:tc>
        <w:tc>
          <w:tcPr>
            <w:tcW w:w="0" w:type="auto"/>
            <w:tcBorders>
              <w:top w:val="nil"/>
              <w:left w:val="nil"/>
              <w:bottom w:val="single" w:color="auto" w:sz="4" w:space="0"/>
              <w:right w:val="single" w:color="auto" w:sz="4" w:space="0"/>
            </w:tcBorders>
            <w:noWrap/>
            <w:vAlign w:val="center"/>
          </w:tcPr>
          <w:p w14:paraId="4DF1007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6AB61A2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400</w:t>
            </w:r>
          </w:p>
        </w:tc>
        <w:tc>
          <w:tcPr>
            <w:tcW w:w="0" w:type="auto"/>
            <w:tcBorders>
              <w:top w:val="nil"/>
              <w:left w:val="nil"/>
              <w:bottom w:val="single" w:color="auto" w:sz="4" w:space="0"/>
              <w:right w:val="single" w:color="auto" w:sz="4" w:space="0"/>
            </w:tcBorders>
            <w:noWrap w:val="0"/>
            <w:vAlign w:val="center"/>
          </w:tcPr>
          <w:p w14:paraId="46B5521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222FDE0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000000" w:sz="4" w:space="0"/>
              <w:right w:val="single" w:color="auto" w:sz="4" w:space="0"/>
            </w:tcBorders>
            <w:noWrap w:val="0"/>
            <w:vAlign w:val="center"/>
          </w:tcPr>
          <w:p w14:paraId="5DA386D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1C39E851">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57971A06">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50F0867F">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4101440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w:t>
            </w:r>
          </w:p>
        </w:tc>
        <w:tc>
          <w:tcPr>
            <w:tcW w:w="0" w:type="auto"/>
            <w:tcBorders>
              <w:top w:val="nil"/>
              <w:left w:val="nil"/>
              <w:bottom w:val="single" w:color="auto" w:sz="4" w:space="0"/>
              <w:right w:val="single" w:color="auto" w:sz="4" w:space="0"/>
            </w:tcBorders>
            <w:noWrap/>
            <w:vAlign w:val="center"/>
          </w:tcPr>
          <w:p w14:paraId="6EE8A3E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22ZK3201</w:t>
            </w:r>
          </w:p>
        </w:tc>
        <w:tc>
          <w:tcPr>
            <w:tcW w:w="0" w:type="auto"/>
            <w:tcBorders>
              <w:top w:val="nil"/>
              <w:left w:val="nil"/>
              <w:bottom w:val="single" w:color="auto" w:sz="4" w:space="0"/>
              <w:right w:val="single" w:color="auto" w:sz="4" w:space="0"/>
            </w:tcBorders>
            <w:noWrap/>
            <w:vAlign w:val="center"/>
          </w:tcPr>
          <w:p w14:paraId="2D15209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2689316.47</w:t>
            </w:r>
          </w:p>
        </w:tc>
        <w:tc>
          <w:tcPr>
            <w:tcW w:w="0" w:type="auto"/>
            <w:tcBorders>
              <w:top w:val="nil"/>
              <w:left w:val="nil"/>
              <w:bottom w:val="single" w:color="auto" w:sz="4" w:space="0"/>
              <w:right w:val="single" w:color="auto" w:sz="4" w:space="0"/>
            </w:tcBorders>
            <w:noWrap/>
            <w:vAlign w:val="center"/>
          </w:tcPr>
          <w:p w14:paraId="090C441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33435105.27</w:t>
            </w:r>
          </w:p>
        </w:tc>
        <w:tc>
          <w:tcPr>
            <w:tcW w:w="0" w:type="auto"/>
            <w:tcBorders>
              <w:top w:val="nil"/>
              <w:left w:val="nil"/>
              <w:bottom w:val="single" w:color="auto" w:sz="4" w:space="0"/>
              <w:right w:val="single" w:color="auto" w:sz="4" w:space="0"/>
            </w:tcBorders>
            <w:noWrap/>
            <w:vAlign w:val="center"/>
          </w:tcPr>
          <w:p w14:paraId="23596A3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71B30F1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320</w:t>
            </w:r>
          </w:p>
        </w:tc>
        <w:tc>
          <w:tcPr>
            <w:tcW w:w="0" w:type="auto"/>
            <w:tcBorders>
              <w:top w:val="nil"/>
              <w:left w:val="nil"/>
              <w:bottom w:val="single" w:color="auto" w:sz="4" w:space="0"/>
              <w:right w:val="single" w:color="auto" w:sz="4" w:space="0"/>
            </w:tcBorders>
            <w:noWrap w:val="0"/>
            <w:vAlign w:val="center"/>
          </w:tcPr>
          <w:p w14:paraId="1EC6A1B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0343CC4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000000" w:sz="4" w:space="0"/>
              <w:right w:val="single" w:color="auto" w:sz="4" w:space="0"/>
            </w:tcBorders>
            <w:noWrap w:val="0"/>
            <w:vAlign w:val="center"/>
          </w:tcPr>
          <w:p w14:paraId="489E2E4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0F1E9962">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40B5BAFE">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521EFF6A">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3A40316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w:t>
            </w:r>
          </w:p>
        </w:tc>
        <w:tc>
          <w:tcPr>
            <w:tcW w:w="0" w:type="auto"/>
            <w:tcBorders>
              <w:top w:val="nil"/>
              <w:left w:val="nil"/>
              <w:bottom w:val="single" w:color="auto" w:sz="4" w:space="0"/>
              <w:right w:val="single" w:color="auto" w:sz="4" w:space="0"/>
            </w:tcBorders>
            <w:noWrap/>
            <w:vAlign w:val="center"/>
          </w:tcPr>
          <w:p w14:paraId="7E9DBB6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22ZK3204</w:t>
            </w:r>
          </w:p>
        </w:tc>
        <w:tc>
          <w:tcPr>
            <w:tcW w:w="0" w:type="auto"/>
            <w:tcBorders>
              <w:top w:val="nil"/>
              <w:left w:val="nil"/>
              <w:bottom w:val="single" w:color="auto" w:sz="4" w:space="0"/>
              <w:right w:val="single" w:color="auto" w:sz="4" w:space="0"/>
            </w:tcBorders>
            <w:noWrap/>
            <w:vAlign w:val="center"/>
          </w:tcPr>
          <w:p w14:paraId="3CED96A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2689176.78</w:t>
            </w:r>
          </w:p>
        </w:tc>
        <w:tc>
          <w:tcPr>
            <w:tcW w:w="0" w:type="auto"/>
            <w:tcBorders>
              <w:top w:val="nil"/>
              <w:left w:val="nil"/>
              <w:bottom w:val="single" w:color="auto" w:sz="4" w:space="0"/>
              <w:right w:val="single" w:color="auto" w:sz="4" w:space="0"/>
            </w:tcBorders>
            <w:noWrap/>
            <w:vAlign w:val="center"/>
          </w:tcPr>
          <w:p w14:paraId="3091455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33435349.50</w:t>
            </w:r>
          </w:p>
        </w:tc>
        <w:tc>
          <w:tcPr>
            <w:tcW w:w="0" w:type="auto"/>
            <w:tcBorders>
              <w:top w:val="nil"/>
              <w:left w:val="nil"/>
              <w:bottom w:val="single" w:color="auto" w:sz="4" w:space="0"/>
              <w:right w:val="single" w:color="auto" w:sz="4" w:space="0"/>
            </w:tcBorders>
            <w:noWrap/>
            <w:vAlign w:val="center"/>
          </w:tcPr>
          <w:p w14:paraId="5C13C31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2CE552C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400</w:t>
            </w:r>
          </w:p>
        </w:tc>
        <w:tc>
          <w:tcPr>
            <w:tcW w:w="0" w:type="auto"/>
            <w:tcBorders>
              <w:top w:val="nil"/>
              <w:left w:val="nil"/>
              <w:bottom w:val="single" w:color="auto" w:sz="4" w:space="0"/>
              <w:right w:val="single" w:color="auto" w:sz="4" w:space="0"/>
            </w:tcBorders>
            <w:noWrap w:val="0"/>
            <w:vAlign w:val="center"/>
          </w:tcPr>
          <w:p w14:paraId="51EC352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5132074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000000" w:sz="4" w:space="0"/>
              <w:right w:val="single" w:color="auto" w:sz="4" w:space="0"/>
            </w:tcBorders>
            <w:noWrap w:val="0"/>
            <w:vAlign w:val="center"/>
          </w:tcPr>
          <w:p w14:paraId="62668F5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5A8B90AB">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73B14C94">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4B321BFD">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22A1CDE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11</w:t>
            </w:r>
          </w:p>
        </w:tc>
        <w:tc>
          <w:tcPr>
            <w:tcW w:w="0" w:type="auto"/>
            <w:tcBorders>
              <w:top w:val="nil"/>
              <w:left w:val="nil"/>
              <w:bottom w:val="single" w:color="auto" w:sz="4" w:space="0"/>
              <w:right w:val="single" w:color="auto" w:sz="4" w:space="0"/>
            </w:tcBorders>
            <w:noWrap/>
            <w:vAlign w:val="center"/>
          </w:tcPr>
          <w:p w14:paraId="5D69C0A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22ZK3401</w:t>
            </w:r>
          </w:p>
        </w:tc>
        <w:tc>
          <w:tcPr>
            <w:tcW w:w="0" w:type="auto"/>
            <w:tcBorders>
              <w:top w:val="nil"/>
              <w:left w:val="nil"/>
              <w:bottom w:val="single" w:color="auto" w:sz="4" w:space="0"/>
              <w:right w:val="single" w:color="auto" w:sz="4" w:space="0"/>
            </w:tcBorders>
            <w:noWrap/>
            <w:vAlign w:val="center"/>
          </w:tcPr>
          <w:p w14:paraId="2EA4F05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2689248.31</w:t>
            </w:r>
          </w:p>
        </w:tc>
        <w:tc>
          <w:tcPr>
            <w:tcW w:w="0" w:type="auto"/>
            <w:tcBorders>
              <w:top w:val="nil"/>
              <w:left w:val="nil"/>
              <w:bottom w:val="single" w:color="auto" w:sz="4" w:space="0"/>
              <w:right w:val="single" w:color="auto" w:sz="4" w:space="0"/>
            </w:tcBorders>
            <w:noWrap/>
            <w:vAlign w:val="center"/>
          </w:tcPr>
          <w:p w14:paraId="3247E4C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33435075.12</w:t>
            </w:r>
          </w:p>
        </w:tc>
        <w:tc>
          <w:tcPr>
            <w:tcW w:w="0" w:type="auto"/>
            <w:tcBorders>
              <w:top w:val="nil"/>
              <w:left w:val="nil"/>
              <w:bottom w:val="single" w:color="auto" w:sz="4" w:space="0"/>
              <w:right w:val="single" w:color="auto" w:sz="4" w:space="0"/>
            </w:tcBorders>
            <w:noWrap/>
            <w:vAlign w:val="center"/>
          </w:tcPr>
          <w:p w14:paraId="44B20F0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56B985A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350</w:t>
            </w:r>
          </w:p>
        </w:tc>
        <w:tc>
          <w:tcPr>
            <w:tcW w:w="0" w:type="auto"/>
            <w:tcBorders>
              <w:top w:val="nil"/>
              <w:left w:val="nil"/>
              <w:bottom w:val="single" w:color="auto" w:sz="4" w:space="0"/>
              <w:right w:val="single" w:color="auto" w:sz="4" w:space="0"/>
            </w:tcBorders>
            <w:noWrap w:val="0"/>
            <w:vAlign w:val="center"/>
          </w:tcPr>
          <w:p w14:paraId="7C233F4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5AF8051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000000" w:sz="4" w:space="0"/>
              <w:right w:val="single" w:color="auto" w:sz="4" w:space="0"/>
            </w:tcBorders>
            <w:noWrap w:val="0"/>
            <w:vAlign w:val="center"/>
          </w:tcPr>
          <w:p w14:paraId="6F37317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58AD46D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46B1F482">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4FF9E19E">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7C8ABC8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12</w:t>
            </w:r>
          </w:p>
        </w:tc>
        <w:tc>
          <w:tcPr>
            <w:tcW w:w="0" w:type="auto"/>
            <w:tcBorders>
              <w:top w:val="nil"/>
              <w:left w:val="nil"/>
              <w:bottom w:val="single" w:color="auto" w:sz="4" w:space="0"/>
              <w:right w:val="single" w:color="auto" w:sz="4" w:space="0"/>
            </w:tcBorders>
            <w:noWrap/>
            <w:vAlign w:val="center"/>
          </w:tcPr>
          <w:p w14:paraId="0D1936F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22ZK3403</w:t>
            </w:r>
          </w:p>
        </w:tc>
        <w:tc>
          <w:tcPr>
            <w:tcW w:w="0" w:type="auto"/>
            <w:tcBorders>
              <w:top w:val="nil"/>
              <w:left w:val="nil"/>
              <w:bottom w:val="single" w:color="auto" w:sz="4" w:space="0"/>
              <w:right w:val="single" w:color="auto" w:sz="4" w:space="0"/>
            </w:tcBorders>
            <w:noWrap/>
            <w:vAlign w:val="center"/>
          </w:tcPr>
          <w:p w14:paraId="7A0988F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2689133.18</w:t>
            </w:r>
          </w:p>
        </w:tc>
        <w:tc>
          <w:tcPr>
            <w:tcW w:w="0" w:type="auto"/>
            <w:tcBorders>
              <w:top w:val="nil"/>
              <w:left w:val="nil"/>
              <w:bottom w:val="single" w:color="auto" w:sz="4" w:space="0"/>
              <w:right w:val="single" w:color="auto" w:sz="4" w:space="0"/>
            </w:tcBorders>
            <w:noWrap/>
            <w:vAlign w:val="center"/>
          </w:tcPr>
          <w:p w14:paraId="4FCF4F5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33435276.41</w:t>
            </w:r>
          </w:p>
        </w:tc>
        <w:tc>
          <w:tcPr>
            <w:tcW w:w="0" w:type="auto"/>
            <w:tcBorders>
              <w:top w:val="nil"/>
              <w:left w:val="nil"/>
              <w:bottom w:val="single" w:color="auto" w:sz="4" w:space="0"/>
              <w:right w:val="single" w:color="auto" w:sz="4" w:space="0"/>
            </w:tcBorders>
            <w:noWrap/>
            <w:vAlign w:val="center"/>
          </w:tcPr>
          <w:p w14:paraId="4E7D386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5108598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400</w:t>
            </w:r>
          </w:p>
        </w:tc>
        <w:tc>
          <w:tcPr>
            <w:tcW w:w="0" w:type="auto"/>
            <w:tcBorders>
              <w:top w:val="nil"/>
              <w:left w:val="nil"/>
              <w:bottom w:val="single" w:color="auto" w:sz="4" w:space="0"/>
              <w:right w:val="single" w:color="auto" w:sz="4" w:space="0"/>
            </w:tcBorders>
            <w:noWrap w:val="0"/>
            <w:vAlign w:val="center"/>
          </w:tcPr>
          <w:p w14:paraId="0AF5E49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60EC633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000000" w:sz="4" w:space="0"/>
              <w:right w:val="single" w:color="auto" w:sz="4" w:space="0"/>
            </w:tcBorders>
            <w:noWrap w:val="0"/>
            <w:vAlign w:val="center"/>
          </w:tcPr>
          <w:p w14:paraId="0E21AF6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210D6564">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116A6C69">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060B827D">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6D85C29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13</w:t>
            </w:r>
          </w:p>
        </w:tc>
        <w:tc>
          <w:tcPr>
            <w:tcW w:w="0" w:type="auto"/>
            <w:tcBorders>
              <w:top w:val="nil"/>
              <w:left w:val="nil"/>
              <w:bottom w:val="single" w:color="auto" w:sz="4" w:space="0"/>
              <w:right w:val="single" w:color="auto" w:sz="4" w:space="0"/>
            </w:tcBorders>
            <w:noWrap/>
            <w:vAlign w:val="center"/>
          </w:tcPr>
          <w:p w14:paraId="3577C3E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22ZK3601</w:t>
            </w:r>
          </w:p>
        </w:tc>
        <w:tc>
          <w:tcPr>
            <w:tcW w:w="0" w:type="auto"/>
            <w:tcBorders>
              <w:top w:val="nil"/>
              <w:left w:val="nil"/>
              <w:bottom w:val="single" w:color="auto" w:sz="4" w:space="0"/>
              <w:right w:val="single" w:color="auto" w:sz="4" w:space="0"/>
            </w:tcBorders>
            <w:noWrap/>
            <w:vAlign w:val="center"/>
          </w:tcPr>
          <w:p w14:paraId="314F30A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2689192.05</w:t>
            </w:r>
          </w:p>
        </w:tc>
        <w:tc>
          <w:tcPr>
            <w:tcW w:w="0" w:type="auto"/>
            <w:tcBorders>
              <w:top w:val="nil"/>
              <w:left w:val="nil"/>
              <w:bottom w:val="single" w:color="auto" w:sz="4" w:space="0"/>
              <w:right w:val="single" w:color="auto" w:sz="4" w:space="0"/>
            </w:tcBorders>
            <w:noWrap/>
            <w:vAlign w:val="center"/>
          </w:tcPr>
          <w:p w14:paraId="0EB563D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33435012.35</w:t>
            </w:r>
          </w:p>
        </w:tc>
        <w:tc>
          <w:tcPr>
            <w:tcW w:w="0" w:type="auto"/>
            <w:tcBorders>
              <w:top w:val="nil"/>
              <w:left w:val="nil"/>
              <w:bottom w:val="single" w:color="auto" w:sz="4" w:space="0"/>
              <w:right w:val="single" w:color="auto" w:sz="4" w:space="0"/>
            </w:tcBorders>
            <w:noWrap/>
            <w:vAlign w:val="center"/>
          </w:tcPr>
          <w:p w14:paraId="0D47B3C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169C010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300</w:t>
            </w:r>
          </w:p>
        </w:tc>
        <w:tc>
          <w:tcPr>
            <w:tcW w:w="0" w:type="auto"/>
            <w:tcBorders>
              <w:top w:val="nil"/>
              <w:left w:val="nil"/>
              <w:bottom w:val="single" w:color="auto" w:sz="4" w:space="0"/>
              <w:right w:val="single" w:color="auto" w:sz="4" w:space="0"/>
            </w:tcBorders>
            <w:noWrap w:val="0"/>
            <w:vAlign w:val="center"/>
          </w:tcPr>
          <w:p w14:paraId="172C059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1B1B136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000000" w:sz="4" w:space="0"/>
              <w:right w:val="single" w:color="auto" w:sz="4" w:space="0"/>
            </w:tcBorders>
            <w:noWrap w:val="0"/>
            <w:vAlign w:val="center"/>
          </w:tcPr>
          <w:p w14:paraId="691A852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0471AF7F">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1BCDC4C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4C0D357F">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686A797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14</w:t>
            </w:r>
          </w:p>
        </w:tc>
        <w:tc>
          <w:tcPr>
            <w:tcW w:w="0" w:type="auto"/>
            <w:tcBorders>
              <w:top w:val="nil"/>
              <w:left w:val="nil"/>
              <w:bottom w:val="single" w:color="auto" w:sz="4" w:space="0"/>
              <w:right w:val="single" w:color="auto" w:sz="4" w:space="0"/>
            </w:tcBorders>
            <w:noWrap/>
            <w:vAlign w:val="center"/>
          </w:tcPr>
          <w:p w14:paraId="6392A62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22ZK3602</w:t>
            </w:r>
          </w:p>
        </w:tc>
        <w:tc>
          <w:tcPr>
            <w:tcW w:w="0" w:type="auto"/>
            <w:tcBorders>
              <w:top w:val="nil"/>
              <w:left w:val="nil"/>
              <w:bottom w:val="single" w:color="auto" w:sz="4" w:space="0"/>
              <w:right w:val="single" w:color="auto" w:sz="4" w:space="0"/>
            </w:tcBorders>
            <w:noWrap/>
            <w:vAlign w:val="center"/>
          </w:tcPr>
          <w:p w14:paraId="17C0CA0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2689150.67</w:t>
            </w:r>
          </w:p>
        </w:tc>
        <w:tc>
          <w:tcPr>
            <w:tcW w:w="0" w:type="auto"/>
            <w:tcBorders>
              <w:top w:val="nil"/>
              <w:left w:val="nil"/>
              <w:bottom w:val="single" w:color="auto" w:sz="4" w:space="0"/>
              <w:right w:val="single" w:color="auto" w:sz="4" w:space="0"/>
            </w:tcBorders>
            <w:noWrap/>
            <w:vAlign w:val="center"/>
          </w:tcPr>
          <w:p w14:paraId="61ADA2E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33435084.71</w:t>
            </w:r>
          </w:p>
        </w:tc>
        <w:tc>
          <w:tcPr>
            <w:tcW w:w="0" w:type="auto"/>
            <w:tcBorders>
              <w:top w:val="nil"/>
              <w:left w:val="nil"/>
              <w:bottom w:val="single" w:color="auto" w:sz="4" w:space="0"/>
              <w:right w:val="single" w:color="auto" w:sz="4" w:space="0"/>
            </w:tcBorders>
            <w:noWrap/>
            <w:vAlign w:val="center"/>
          </w:tcPr>
          <w:p w14:paraId="5CCBA83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532CC57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300</w:t>
            </w:r>
          </w:p>
        </w:tc>
        <w:tc>
          <w:tcPr>
            <w:tcW w:w="0" w:type="auto"/>
            <w:tcBorders>
              <w:top w:val="nil"/>
              <w:left w:val="nil"/>
              <w:bottom w:val="single" w:color="auto" w:sz="4" w:space="0"/>
              <w:right w:val="single" w:color="auto" w:sz="4" w:space="0"/>
            </w:tcBorders>
            <w:noWrap w:val="0"/>
            <w:vAlign w:val="center"/>
          </w:tcPr>
          <w:p w14:paraId="1F1258C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5ABA6DA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000000" w:sz="4" w:space="0"/>
              <w:right w:val="single" w:color="auto" w:sz="4" w:space="0"/>
            </w:tcBorders>
            <w:noWrap w:val="0"/>
            <w:vAlign w:val="center"/>
          </w:tcPr>
          <w:p w14:paraId="0FD974A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4E89480D">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0245B12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7092A75E">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790FF69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15</w:t>
            </w:r>
          </w:p>
        </w:tc>
        <w:tc>
          <w:tcPr>
            <w:tcW w:w="0" w:type="auto"/>
            <w:tcBorders>
              <w:top w:val="nil"/>
              <w:left w:val="nil"/>
              <w:bottom w:val="single" w:color="auto" w:sz="4" w:space="0"/>
              <w:right w:val="single" w:color="auto" w:sz="4" w:space="0"/>
            </w:tcBorders>
            <w:noWrap/>
            <w:vAlign w:val="center"/>
          </w:tcPr>
          <w:p w14:paraId="58A064D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22ZK2018</w:t>
            </w:r>
          </w:p>
        </w:tc>
        <w:tc>
          <w:tcPr>
            <w:tcW w:w="0" w:type="auto"/>
            <w:tcBorders>
              <w:top w:val="nil"/>
              <w:left w:val="nil"/>
              <w:bottom w:val="single" w:color="auto" w:sz="4" w:space="0"/>
              <w:right w:val="single" w:color="auto" w:sz="4" w:space="0"/>
            </w:tcBorders>
            <w:noWrap/>
            <w:vAlign w:val="center"/>
          </w:tcPr>
          <w:p w14:paraId="1837096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2689610.72</w:t>
            </w:r>
          </w:p>
        </w:tc>
        <w:tc>
          <w:tcPr>
            <w:tcW w:w="0" w:type="auto"/>
            <w:tcBorders>
              <w:top w:val="nil"/>
              <w:left w:val="nil"/>
              <w:bottom w:val="single" w:color="auto" w:sz="4" w:space="0"/>
              <w:right w:val="single" w:color="auto" w:sz="4" w:space="0"/>
            </w:tcBorders>
            <w:noWrap/>
            <w:vAlign w:val="center"/>
          </w:tcPr>
          <w:p w14:paraId="2C1CFB4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33435446.73</w:t>
            </w:r>
          </w:p>
        </w:tc>
        <w:tc>
          <w:tcPr>
            <w:tcW w:w="0" w:type="auto"/>
            <w:tcBorders>
              <w:top w:val="nil"/>
              <w:left w:val="nil"/>
              <w:bottom w:val="single" w:color="auto" w:sz="4" w:space="0"/>
              <w:right w:val="single" w:color="auto" w:sz="4" w:space="0"/>
            </w:tcBorders>
            <w:noWrap/>
            <w:vAlign w:val="center"/>
          </w:tcPr>
          <w:p w14:paraId="1927BE8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46CB730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200</w:t>
            </w:r>
          </w:p>
        </w:tc>
        <w:tc>
          <w:tcPr>
            <w:tcW w:w="0" w:type="auto"/>
            <w:tcBorders>
              <w:top w:val="nil"/>
              <w:left w:val="nil"/>
              <w:bottom w:val="single" w:color="auto" w:sz="4" w:space="0"/>
              <w:right w:val="single" w:color="auto" w:sz="4" w:space="0"/>
            </w:tcBorders>
            <w:noWrap w:val="0"/>
            <w:vAlign w:val="center"/>
          </w:tcPr>
          <w:p w14:paraId="397EB22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14A27FE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restart"/>
            <w:tcBorders>
              <w:top w:val="nil"/>
              <w:left w:val="single" w:color="auto" w:sz="4" w:space="0"/>
              <w:bottom w:val="single" w:color="000000" w:sz="4" w:space="0"/>
              <w:right w:val="single" w:color="auto" w:sz="4" w:space="0"/>
            </w:tcBorders>
            <w:noWrap/>
            <w:vAlign w:val="center"/>
          </w:tcPr>
          <w:p w14:paraId="560300D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580m/4</w:t>
            </w:r>
            <w:r>
              <w:rPr>
                <w:rFonts w:hint="eastAsia" w:ascii="宋体" w:hAnsi="宋体" w:eastAsia="宋体" w:cs="Times New Roman"/>
                <w:color w:val="auto"/>
                <w:kern w:val="0"/>
                <w:szCs w:val="21"/>
              </w:rPr>
              <w:t>孔</w:t>
            </w:r>
          </w:p>
        </w:tc>
        <w:tc>
          <w:tcPr>
            <w:tcW w:w="0" w:type="auto"/>
            <w:vMerge w:val="restart"/>
            <w:tcBorders>
              <w:top w:val="nil"/>
              <w:left w:val="single" w:color="auto" w:sz="4" w:space="0"/>
              <w:bottom w:val="single" w:color="000000" w:sz="4" w:space="0"/>
              <w:right w:val="single" w:color="auto" w:sz="4" w:space="0"/>
            </w:tcBorders>
            <w:noWrap/>
            <w:vAlign w:val="center"/>
          </w:tcPr>
          <w:p w14:paraId="7F0045C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rPr>
            </w:pPr>
            <w:r>
              <w:rPr>
                <w:rFonts w:hint="eastAsia" w:ascii="宋体" w:hAnsi="宋体" w:eastAsia="宋体" w:cs="宋体"/>
                <w:color w:val="auto"/>
                <w:kern w:val="0"/>
                <w:szCs w:val="21"/>
              </w:rPr>
              <w:t>机动组</w:t>
            </w:r>
          </w:p>
        </w:tc>
        <w:tc>
          <w:tcPr>
            <w:tcW w:w="0" w:type="auto"/>
            <w:tcBorders>
              <w:top w:val="nil"/>
              <w:left w:val="nil"/>
              <w:bottom w:val="single" w:color="auto" w:sz="4" w:space="0"/>
              <w:right w:val="single" w:color="auto" w:sz="4" w:space="0"/>
            </w:tcBorders>
            <w:noWrap/>
            <w:vAlign w:val="center"/>
          </w:tcPr>
          <w:p w14:paraId="1E416028">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r>
      <w:tr w14:paraId="2D1A499F">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29209EE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16</w:t>
            </w:r>
          </w:p>
        </w:tc>
        <w:tc>
          <w:tcPr>
            <w:tcW w:w="0" w:type="auto"/>
            <w:tcBorders>
              <w:top w:val="nil"/>
              <w:left w:val="nil"/>
              <w:bottom w:val="single" w:color="auto" w:sz="4" w:space="0"/>
              <w:right w:val="single" w:color="auto" w:sz="4" w:space="0"/>
            </w:tcBorders>
            <w:noWrap/>
            <w:vAlign w:val="center"/>
          </w:tcPr>
          <w:p w14:paraId="6725490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22ZK2016</w:t>
            </w:r>
          </w:p>
        </w:tc>
        <w:tc>
          <w:tcPr>
            <w:tcW w:w="0" w:type="auto"/>
            <w:tcBorders>
              <w:top w:val="nil"/>
              <w:left w:val="nil"/>
              <w:bottom w:val="single" w:color="auto" w:sz="4" w:space="0"/>
              <w:right w:val="single" w:color="auto" w:sz="4" w:space="0"/>
            </w:tcBorders>
            <w:noWrap/>
            <w:vAlign w:val="center"/>
          </w:tcPr>
          <w:p w14:paraId="2CEE9F6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2689549.04</w:t>
            </w:r>
          </w:p>
        </w:tc>
        <w:tc>
          <w:tcPr>
            <w:tcW w:w="0" w:type="auto"/>
            <w:tcBorders>
              <w:top w:val="nil"/>
              <w:left w:val="nil"/>
              <w:bottom w:val="single" w:color="auto" w:sz="4" w:space="0"/>
              <w:right w:val="single" w:color="auto" w:sz="4" w:space="0"/>
            </w:tcBorders>
            <w:noWrap/>
            <w:vAlign w:val="center"/>
          </w:tcPr>
          <w:p w14:paraId="3E25349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33435553.98</w:t>
            </w:r>
          </w:p>
        </w:tc>
        <w:tc>
          <w:tcPr>
            <w:tcW w:w="0" w:type="auto"/>
            <w:tcBorders>
              <w:top w:val="nil"/>
              <w:left w:val="nil"/>
              <w:bottom w:val="single" w:color="auto" w:sz="4" w:space="0"/>
              <w:right w:val="single" w:color="auto" w:sz="4" w:space="0"/>
            </w:tcBorders>
            <w:noWrap/>
            <w:vAlign w:val="center"/>
          </w:tcPr>
          <w:p w14:paraId="07350DF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1FD621F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140</w:t>
            </w:r>
          </w:p>
        </w:tc>
        <w:tc>
          <w:tcPr>
            <w:tcW w:w="0" w:type="auto"/>
            <w:tcBorders>
              <w:top w:val="nil"/>
              <w:left w:val="nil"/>
              <w:bottom w:val="single" w:color="auto" w:sz="4" w:space="0"/>
              <w:right w:val="single" w:color="auto" w:sz="4" w:space="0"/>
            </w:tcBorders>
            <w:noWrap w:val="0"/>
            <w:vAlign w:val="center"/>
          </w:tcPr>
          <w:p w14:paraId="5A95978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736A731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000000" w:sz="4" w:space="0"/>
              <w:right w:val="single" w:color="auto" w:sz="4" w:space="0"/>
            </w:tcBorders>
            <w:noWrap w:val="0"/>
            <w:vAlign w:val="center"/>
          </w:tcPr>
          <w:p w14:paraId="4206AE9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000000" w:sz="4" w:space="0"/>
              <w:right w:val="single" w:color="auto" w:sz="4" w:space="0"/>
            </w:tcBorders>
            <w:noWrap w:val="0"/>
            <w:vAlign w:val="center"/>
          </w:tcPr>
          <w:p w14:paraId="6D2F7D2F">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6DE222C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7F9F625C">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42E1611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17</w:t>
            </w:r>
          </w:p>
        </w:tc>
        <w:tc>
          <w:tcPr>
            <w:tcW w:w="0" w:type="auto"/>
            <w:tcBorders>
              <w:top w:val="nil"/>
              <w:left w:val="nil"/>
              <w:bottom w:val="single" w:color="auto" w:sz="4" w:space="0"/>
              <w:right w:val="single" w:color="auto" w:sz="4" w:space="0"/>
            </w:tcBorders>
            <w:noWrap/>
            <w:vAlign w:val="center"/>
          </w:tcPr>
          <w:p w14:paraId="469834E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22ZK1817</w:t>
            </w:r>
          </w:p>
        </w:tc>
        <w:tc>
          <w:tcPr>
            <w:tcW w:w="0" w:type="auto"/>
            <w:tcBorders>
              <w:top w:val="nil"/>
              <w:left w:val="nil"/>
              <w:bottom w:val="single" w:color="auto" w:sz="4" w:space="0"/>
              <w:right w:val="single" w:color="auto" w:sz="4" w:space="0"/>
            </w:tcBorders>
            <w:noWrap/>
            <w:vAlign w:val="center"/>
          </w:tcPr>
          <w:p w14:paraId="332B5B7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2689648.58</w:t>
            </w:r>
          </w:p>
        </w:tc>
        <w:tc>
          <w:tcPr>
            <w:tcW w:w="0" w:type="auto"/>
            <w:tcBorders>
              <w:top w:val="nil"/>
              <w:left w:val="nil"/>
              <w:bottom w:val="single" w:color="auto" w:sz="4" w:space="0"/>
              <w:right w:val="single" w:color="auto" w:sz="4" w:space="0"/>
            </w:tcBorders>
            <w:noWrap/>
            <w:vAlign w:val="center"/>
          </w:tcPr>
          <w:p w14:paraId="426A2F1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33435481.89</w:t>
            </w:r>
          </w:p>
        </w:tc>
        <w:tc>
          <w:tcPr>
            <w:tcW w:w="0" w:type="auto"/>
            <w:tcBorders>
              <w:top w:val="nil"/>
              <w:left w:val="nil"/>
              <w:bottom w:val="single" w:color="auto" w:sz="4" w:space="0"/>
              <w:right w:val="single" w:color="auto" w:sz="4" w:space="0"/>
            </w:tcBorders>
            <w:noWrap/>
            <w:vAlign w:val="center"/>
          </w:tcPr>
          <w:p w14:paraId="44E3F6A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2DB6DBD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120</w:t>
            </w:r>
          </w:p>
        </w:tc>
        <w:tc>
          <w:tcPr>
            <w:tcW w:w="0" w:type="auto"/>
            <w:tcBorders>
              <w:top w:val="nil"/>
              <w:left w:val="nil"/>
              <w:bottom w:val="single" w:color="auto" w:sz="4" w:space="0"/>
              <w:right w:val="single" w:color="auto" w:sz="4" w:space="0"/>
            </w:tcBorders>
            <w:noWrap w:val="0"/>
            <w:vAlign w:val="center"/>
          </w:tcPr>
          <w:p w14:paraId="62A864C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73E2D35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000000" w:sz="4" w:space="0"/>
              <w:right w:val="single" w:color="auto" w:sz="4" w:space="0"/>
            </w:tcBorders>
            <w:noWrap w:val="0"/>
            <w:vAlign w:val="center"/>
          </w:tcPr>
          <w:p w14:paraId="5503578A">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000000" w:sz="4" w:space="0"/>
              <w:right w:val="single" w:color="auto" w:sz="4" w:space="0"/>
            </w:tcBorders>
            <w:noWrap w:val="0"/>
            <w:vAlign w:val="center"/>
          </w:tcPr>
          <w:p w14:paraId="2C9F31D1">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7CB71FC3">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2E15501B">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090BD56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18</w:t>
            </w:r>
          </w:p>
        </w:tc>
        <w:tc>
          <w:tcPr>
            <w:tcW w:w="0" w:type="auto"/>
            <w:tcBorders>
              <w:top w:val="nil"/>
              <w:left w:val="nil"/>
              <w:bottom w:val="single" w:color="auto" w:sz="4" w:space="0"/>
              <w:right w:val="single" w:color="auto" w:sz="4" w:space="0"/>
            </w:tcBorders>
            <w:noWrap/>
            <w:vAlign w:val="center"/>
          </w:tcPr>
          <w:p w14:paraId="019C059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22ZK1815</w:t>
            </w:r>
          </w:p>
        </w:tc>
        <w:tc>
          <w:tcPr>
            <w:tcW w:w="0" w:type="auto"/>
            <w:tcBorders>
              <w:top w:val="nil"/>
              <w:left w:val="nil"/>
              <w:bottom w:val="single" w:color="auto" w:sz="4" w:space="0"/>
              <w:right w:val="single" w:color="auto" w:sz="4" w:space="0"/>
            </w:tcBorders>
            <w:noWrap/>
            <w:vAlign w:val="center"/>
          </w:tcPr>
          <w:p w14:paraId="0028E14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2689597.58</w:t>
            </w:r>
          </w:p>
        </w:tc>
        <w:tc>
          <w:tcPr>
            <w:tcW w:w="0" w:type="auto"/>
            <w:tcBorders>
              <w:top w:val="nil"/>
              <w:left w:val="nil"/>
              <w:bottom w:val="single" w:color="auto" w:sz="4" w:space="0"/>
              <w:right w:val="single" w:color="auto" w:sz="4" w:space="0"/>
            </w:tcBorders>
            <w:noWrap/>
            <w:vAlign w:val="center"/>
          </w:tcPr>
          <w:p w14:paraId="37EDB96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33435568.53</w:t>
            </w:r>
          </w:p>
        </w:tc>
        <w:tc>
          <w:tcPr>
            <w:tcW w:w="0" w:type="auto"/>
            <w:tcBorders>
              <w:top w:val="nil"/>
              <w:left w:val="nil"/>
              <w:bottom w:val="single" w:color="auto" w:sz="4" w:space="0"/>
              <w:right w:val="single" w:color="auto" w:sz="4" w:space="0"/>
            </w:tcBorders>
            <w:noWrap/>
            <w:vAlign w:val="center"/>
          </w:tcPr>
          <w:p w14:paraId="67CBB72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7118277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120</w:t>
            </w:r>
          </w:p>
        </w:tc>
        <w:tc>
          <w:tcPr>
            <w:tcW w:w="0" w:type="auto"/>
            <w:tcBorders>
              <w:top w:val="nil"/>
              <w:left w:val="nil"/>
              <w:bottom w:val="single" w:color="auto" w:sz="4" w:space="0"/>
              <w:right w:val="single" w:color="auto" w:sz="4" w:space="0"/>
            </w:tcBorders>
            <w:noWrap w:val="0"/>
            <w:vAlign w:val="center"/>
          </w:tcPr>
          <w:p w14:paraId="07A5D4B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0" w:type="auto"/>
            <w:tcBorders>
              <w:top w:val="nil"/>
              <w:left w:val="nil"/>
              <w:bottom w:val="single" w:color="auto" w:sz="4" w:space="0"/>
              <w:right w:val="single" w:color="auto" w:sz="4" w:space="0"/>
            </w:tcBorders>
            <w:noWrap w:val="0"/>
            <w:vAlign w:val="center"/>
          </w:tcPr>
          <w:p w14:paraId="6DE4CA9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0" w:type="auto"/>
            <w:vMerge w:val="continue"/>
            <w:tcBorders>
              <w:top w:val="nil"/>
              <w:left w:val="single" w:color="auto" w:sz="4" w:space="0"/>
              <w:bottom w:val="single" w:color="000000" w:sz="4" w:space="0"/>
              <w:right w:val="single" w:color="auto" w:sz="4" w:space="0"/>
            </w:tcBorders>
            <w:noWrap w:val="0"/>
            <w:vAlign w:val="center"/>
          </w:tcPr>
          <w:p w14:paraId="752762C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vMerge w:val="continue"/>
            <w:tcBorders>
              <w:top w:val="nil"/>
              <w:left w:val="single" w:color="auto" w:sz="4" w:space="0"/>
              <w:bottom w:val="single" w:color="000000" w:sz="4" w:space="0"/>
              <w:right w:val="single" w:color="auto" w:sz="4" w:space="0"/>
            </w:tcBorders>
            <w:noWrap w:val="0"/>
            <w:vAlign w:val="center"/>
          </w:tcPr>
          <w:p w14:paraId="2FA2EC45">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06D0FAFF">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r>
      <w:tr w14:paraId="548AF635">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noWrap/>
            <w:vAlign w:val="center"/>
          </w:tcPr>
          <w:p w14:paraId="3C5B4B4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小计</w:t>
            </w:r>
          </w:p>
        </w:tc>
        <w:tc>
          <w:tcPr>
            <w:tcW w:w="0" w:type="auto"/>
            <w:tcBorders>
              <w:top w:val="nil"/>
              <w:left w:val="nil"/>
              <w:bottom w:val="single" w:color="auto" w:sz="4" w:space="0"/>
              <w:right w:val="single" w:color="auto" w:sz="4" w:space="0"/>
            </w:tcBorders>
            <w:noWrap/>
            <w:vAlign w:val="center"/>
          </w:tcPr>
          <w:p w14:paraId="2A78B2E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2E4A548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6774F1B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15E30B1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1B3E381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5250</w:t>
            </w:r>
          </w:p>
        </w:tc>
        <w:tc>
          <w:tcPr>
            <w:tcW w:w="0" w:type="auto"/>
            <w:tcBorders>
              <w:top w:val="nil"/>
              <w:left w:val="nil"/>
              <w:bottom w:val="single" w:color="auto" w:sz="4" w:space="0"/>
              <w:right w:val="single" w:color="auto" w:sz="4" w:space="0"/>
            </w:tcBorders>
            <w:noWrap/>
            <w:vAlign w:val="center"/>
          </w:tcPr>
          <w:p w14:paraId="511B9B0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78659800">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64F4BB3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0774E8B4">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3B9E3E48">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r>
      <w:tr w14:paraId="4EEE7248">
        <w:tblPrEx>
          <w:tblCellMar>
            <w:top w:w="0" w:type="dxa"/>
            <w:left w:w="108" w:type="dxa"/>
            <w:bottom w:w="0" w:type="dxa"/>
            <w:right w:w="108" w:type="dxa"/>
          </w:tblCellMar>
        </w:tblPrEx>
        <w:trPr>
          <w:trHeight w:val="227" w:hRule="atLeast"/>
        </w:trPr>
        <w:tc>
          <w:tcPr>
            <w:tcW w:w="0" w:type="auto"/>
            <w:vMerge w:val="restart"/>
            <w:tcBorders>
              <w:top w:val="nil"/>
              <w:left w:val="single" w:color="auto" w:sz="4" w:space="0"/>
              <w:bottom w:val="single" w:color="auto" w:sz="4" w:space="0"/>
              <w:right w:val="single" w:color="auto" w:sz="4" w:space="0"/>
            </w:tcBorders>
            <w:noWrap/>
            <w:vAlign w:val="center"/>
          </w:tcPr>
          <w:p w14:paraId="42E0A5B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合计</w:t>
            </w:r>
          </w:p>
        </w:tc>
        <w:tc>
          <w:tcPr>
            <w:tcW w:w="0" w:type="auto"/>
            <w:tcBorders>
              <w:top w:val="nil"/>
              <w:left w:val="nil"/>
              <w:bottom w:val="single" w:color="auto" w:sz="4" w:space="0"/>
              <w:right w:val="single" w:color="auto" w:sz="4" w:space="0"/>
            </w:tcBorders>
            <w:noWrap/>
            <w:vAlign w:val="center"/>
          </w:tcPr>
          <w:p w14:paraId="4D8CFFD2">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4B391BB0">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4FD7377C">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1CE8FCE9">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c>
          <w:tcPr>
            <w:tcW w:w="0" w:type="auto"/>
            <w:vMerge w:val="restart"/>
            <w:tcBorders>
              <w:top w:val="nil"/>
              <w:left w:val="single" w:color="auto" w:sz="4" w:space="0"/>
              <w:bottom w:val="single" w:color="auto" w:sz="4" w:space="0"/>
              <w:right w:val="single" w:color="auto" w:sz="4" w:space="0"/>
            </w:tcBorders>
            <w:noWrap/>
            <w:vAlign w:val="center"/>
          </w:tcPr>
          <w:p w14:paraId="1CA1212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13110</w:t>
            </w:r>
          </w:p>
        </w:tc>
        <w:tc>
          <w:tcPr>
            <w:tcW w:w="0" w:type="auto"/>
            <w:tcBorders>
              <w:top w:val="nil"/>
              <w:left w:val="nil"/>
              <w:bottom w:val="single" w:color="auto" w:sz="4" w:space="0"/>
              <w:right w:val="single" w:color="auto" w:sz="4" w:space="0"/>
            </w:tcBorders>
            <w:noWrap/>
            <w:vAlign w:val="center"/>
          </w:tcPr>
          <w:p w14:paraId="5AE082D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53E1446F">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7CB226A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396692B8">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187FCD64">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r>
      <w:tr w14:paraId="100ED946">
        <w:tblPrEx>
          <w:tblCellMar>
            <w:top w:w="0" w:type="dxa"/>
            <w:left w:w="108" w:type="dxa"/>
            <w:bottom w:w="0" w:type="dxa"/>
            <w:right w:w="108" w:type="dxa"/>
          </w:tblCellMar>
        </w:tblPrEx>
        <w:trPr>
          <w:trHeight w:val="227" w:hRule="atLeast"/>
        </w:trPr>
        <w:tc>
          <w:tcPr>
            <w:tcW w:w="0" w:type="auto"/>
            <w:vMerge w:val="continue"/>
            <w:tcBorders>
              <w:top w:val="nil"/>
              <w:left w:val="single" w:color="auto" w:sz="4" w:space="0"/>
              <w:bottom w:val="single" w:color="auto" w:sz="4" w:space="0"/>
              <w:right w:val="single" w:color="auto" w:sz="4" w:space="0"/>
            </w:tcBorders>
            <w:noWrap w:val="0"/>
            <w:vAlign w:val="center"/>
          </w:tcPr>
          <w:p w14:paraId="34D0A84F">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1245602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69A20D9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485CD57E">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3D809A50">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c>
          <w:tcPr>
            <w:tcW w:w="0" w:type="auto"/>
            <w:vMerge w:val="continue"/>
            <w:tcBorders>
              <w:top w:val="nil"/>
              <w:left w:val="single" w:color="auto" w:sz="4" w:space="0"/>
              <w:bottom w:val="single" w:color="auto" w:sz="4" w:space="0"/>
              <w:right w:val="single" w:color="auto" w:sz="4" w:space="0"/>
            </w:tcBorders>
            <w:noWrap w:val="0"/>
            <w:vAlign w:val="center"/>
          </w:tcPr>
          <w:p w14:paraId="2D610DD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auto"/>
                <w:kern w:val="0"/>
                <w:szCs w:val="21"/>
              </w:rPr>
            </w:pPr>
          </w:p>
        </w:tc>
        <w:tc>
          <w:tcPr>
            <w:tcW w:w="0" w:type="auto"/>
            <w:tcBorders>
              <w:top w:val="nil"/>
              <w:left w:val="nil"/>
              <w:bottom w:val="single" w:color="auto" w:sz="4" w:space="0"/>
              <w:right w:val="single" w:color="auto" w:sz="4" w:space="0"/>
            </w:tcBorders>
            <w:noWrap/>
            <w:vAlign w:val="center"/>
          </w:tcPr>
          <w:p w14:paraId="69826D01">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kern w:val="0"/>
                <w:szCs w:val="21"/>
              </w:rPr>
            </w:pPr>
          </w:p>
        </w:tc>
        <w:tc>
          <w:tcPr>
            <w:tcW w:w="0" w:type="auto"/>
            <w:tcBorders>
              <w:top w:val="nil"/>
              <w:left w:val="nil"/>
              <w:bottom w:val="single" w:color="auto" w:sz="4" w:space="0"/>
              <w:right w:val="single" w:color="auto" w:sz="4" w:space="0"/>
            </w:tcBorders>
            <w:noWrap/>
            <w:vAlign w:val="center"/>
          </w:tcPr>
          <w:p w14:paraId="0A0AC7BB">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53A0F3EC">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540836C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c>
          <w:tcPr>
            <w:tcW w:w="0" w:type="auto"/>
            <w:tcBorders>
              <w:top w:val="nil"/>
              <w:left w:val="nil"/>
              <w:bottom w:val="single" w:color="auto" w:sz="4" w:space="0"/>
              <w:right w:val="single" w:color="auto" w:sz="4" w:space="0"/>
            </w:tcBorders>
            <w:noWrap/>
            <w:vAlign w:val="center"/>
          </w:tcPr>
          <w:p w14:paraId="6431BAB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rPr>
            </w:pPr>
          </w:p>
        </w:tc>
      </w:tr>
    </w:tbl>
    <w:p w14:paraId="26815BB8">
      <w:pPr>
        <w:pStyle w:val="26"/>
        <w:numPr>
          <w:ilvl w:val="0"/>
          <w:numId w:val="0"/>
        </w:numPr>
        <w:spacing w:before="0" w:beforeAutospacing="0" w:after="0" w:afterAutospacing="0"/>
        <w:jc w:val="center"/>
        <w:outlineLvl w:val="0"/>
        <w:rPr>
          <w:rFonts w:hint="eastAsia" w:ascii="黑体" w:hAnsi="黑体" w:eastAsia="黑体"/>
          <w:snapToGrid w:val="0"/>
          <w:color w:val="auto"/>
          <w:sz w:val="30"/>
          <w:szCs w:val="30"/>
          <w:lang w:val="en-US" w:eastAsia="zh-CN"/>
        </w:rPr>
        <w:sectPr>
          <w:pgSz w:w="16838" w:h="11905" w:orient="landscape"/>
          <w:pgMar w:top="1701" w:right="1440" w:bottom="1701" w:left="1440" w:header="851" w:footer="1077" w:gutter="0"/>
          <w:pgNumType w:fmt="decimal"/>
          <w:cols w:space="720" w:num="1"/>
          <w:docGrid w:type="lines" w:linePitch="317" w:charSpace="0"/>
        </w:sectPr>
      </w:pPr>
    </w:p>
    <w:p w14:paraId="6348004C">
      <w:pPr>
        <w:pStyle w:val="3"/>
        <w:jc w:val="center"/>
        <w:rPr>
          <w:ins w:id="0" w:author="Dream girl" w:date="2021-09-02T09:41:00Z"/>
          <w:rFonts w:hint="eastAsia" w:ascii="宋体" w:hAnsi="宋体" w:cs="Times New Roman"/>
          <w:color w:val="auto"/>
          <w:highlight w:val="none"/>
        </w:rPr>
      </w:pPr>
      <w:bookmarkStart w:id="37" w:name="_Toc10845"/>
      <w:r>
        <w:rPr>
          <w:rFonts w:hint="eastAsia" w:ascii="宋体" w:hAnsi="宋体" w:cs="Times New Roman"/>
          <w:color w:val="auto"/>
          <w:highlight w:val="none"/>
          <w:lang w:val="en-US" w:eastAsia="zh-CN"/>
        </w:rPr>
        <w:t>三、生态环境现状</w:t>
      </w:r>
      <w:r>
        <w:rPr>
          <w:rFonts w:hint="eastAsia" w:ascii="宋体" w:hAnsi="宋体" w:cs="Times New Roman"/>
          <w:color w:val="auto"/>
          <w:highlight w:val="none"/>
          <w:lang w:eastAsia="zh-CN"/>
        </w:rPr>
        <w:t>、</w:t>
      </w:r>
      <w:r>
        <w:rPr>
          <w:rFonts w:hint="eastAsia" w:ascii="宋体" w:hAnsi="宋体" w:cs="Times New Roman"/>
          <w:color w:val="auto"/>
          <w:highlight w:val="none"/>
        </w:rPr>
        <w:t>环境保护目标及评价标准</w:t>
      </w:r>
      <w:bookmarkEnd w:id="37"/>
    </w:p>
    <w:tbl>
      <w:tblPr>
        <w:tblStyle w:val="31"/>
        <w:tblpPr w:leftFromText="180" w:rightFromText="180" w:vertAnchor="text" w:horzAnchor="page" w:tblpX="1763" w:tblpY="126"/>
        <w:tblOverlap w:val="never"/>
        <w:tblW w:w="893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7"/>
        <w:gridCol w:w="8497"/>
      </w:tblGrid>
      <w:tr w14:paraId="2E43B7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7" w:type="dxa"/>
            <w:tcBorders>
              <w:top w:val="single" w:color="auto" w:sz="8" w:space="0"/>
              <w:left w:val="single" w:color="auto" w:sz="8" w:space="0"/>
              <w:bottom w:val="single" w:color="auto" w:sz="4" w:space="0"/>
              <w:right w:val="single" w:color="auto" w:sz="4" w:space="0"/>
            </w:tcBorders>
            <w:noWrap w:val="0"/>
            <w:vAlign w:val="center"/>
          </w:tcPr>
          <w:p w14:paraId="66ABAB8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生态环境现状</w:t>
            </w:r>
          </w:p>
        </w:tc>
        <w:tc>
          <w:tcPr>
            <w:tcW w:w="8497" w:type="dxa"/>
            <w:tcBorders>
              <w:top w:val="single" w:color="auto" w:sz="8" w:space="0"/>
              <w:left w:val="single" w:color="auto" w:sz="4" w:space="0"/>
              <w:bottom w:val="single" w:color="auto" w:sz="4" w:space="0"/>
              <w:right w:val="single" w:color="auto" w:sz="8" w:space="0"/>
            </w:tcBorders>
            <w:noWrap w:val="0"/>
            <w:vAlign w:val="center"/>
          </w:tcPr>
          <w:p w14:paraId="272C86D1">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val="en-US" w:eastAsia="zh-CN"/>
              </w:rPr>
              <w:t>1、</w:t>
            </w:r>
            <w:r>
              <w:rPr>
                <w:rFonts w:hint="default" w:ascii="Times New Roman" w:hAnsi="Times New Roman" w:eastAsia="宋体" w:cs="Times New Roman"/>
                <w:b/>
                <w:color w:val="auto"/>
                <w:sz w:val="24"/>
                <w:szCs w:val="24"/>
                <w:highlight w:val="none"/>
              </w:rPr>
              <w:t>生态环境现状</w:t>
            </w:r>
          </w:p>
          <w:p w14:paraId="29373EB8">
            <w:pPr>
              <w:keepNext w:val="0"/>
              <w:keepLines w:val="0"/>
              <w:suppressLineNumbers w:val="0"/>
              <w:spacing w:before="0" w:beforeAutospacing="0" w:after="0" w:afterAutospacing="0" w:line="360" w:lineRule="auto"/>
              <w:ind w:left="0" w:right="0"/>
              <w:outlineLvl w:val="3"/>
              <w:rPr>
                <w:rFonts w:hint="default" w:ascii="Times New Roman" w:hAnsi="Times New Roman" w:cs="Times New Roman"/>
                <w:b/>
                <w:color w:val="auto"/>
                <w:kern w:val="1"/>
                <w:sz w:val="24"/>
              </w:rPr>
            </w:pPr>
            <w:r>
              <w:rPr>
                <w:rFonts w:hint="eastAsia" w:ascii="Times New Roman" w:hAnsi="Times New Roman" w:cs="Times New Roman"/>
                <w:b/>
                <w:color w:val="auto"/>
                <w:kern w:val="1"/>
                <w:sz w:val="24"/>
                <w:lang w:val="en-US" w:eastAsia="zh-CN"/>
              </w:rPr>
              <w:t>1.1</w:t>
            </w:r>
            <w:r>
              <w:rPr>
                <w:rFonts w:hint="default" w:ascii="Times New Roman" w:hAnsi="Times New Roman" w:cs="Times New Roman"/>
                <w:b/>
                <w:color w:val="auto"/>
                <w:kern w:val="1"/>
                <w:sz w:val="24"/>
              </w:rPr>
              <w:t>植被及主要动植物资源现状</w:t>
            </w:r>
          </w:p>
          <w:p w14:paraId="005B758B">
            <w:pPr>
              <w:keepNext w:val="0"/>
              <w:keepLines w:val="0"/>
              <w:suppressLineNumbers w:val="0"/>
              <w:spacing w:before="0" w:beforeAutospacing="0" w:after="0" w:afterAutospacing="0" w:line="360" w:lineRule="auto"/>
              <w:ind w:left="0" w:right="0" w:firstLine="482"/>
              <w:outlineLvl w:val="3"/>
              <w:rPr>
                <w:rFonts w:hint="default" w:ascii="Times New Roman" w:hAnsi="Times New Roman" w:cs="Times New Roman"/>
                <w:b/>
                <w:color w:val="auto"/>
                <w:kern w:val="1"/>
                <w:sz w:val="24"/>
              </w:rPr>
            </w:pPr>
            <w:r>
              <w:rPr>
                <w:rFonts w:hint="eastAsia" w:ascii="Times New Roman" w:hAnsi="Times New Roman" w:cs="Times New Roman"/>
                <w:b/>
                <w:color w:val="auto"/>
                <w:kern w:val="1"/>
                <w:sz w:val="24"/>
                <w:lang w:val="en-US" w:eastAsia="zh-CN"/>
              </w:rPr>
              <w:t>1.1.1</w:t>
            </w:r>
            <w:r>
              <w:rPr>
                <w:rFonts w:hint="default" w:ascii="Times New Roman" w:hAnsi="Times New Roman" w:cs="Times New Roman"/>
                <w:b/>
                <w:color w:val="auto"/>
                <w:kern w:val="1"/>
                <w:sz w:val="24"/>
              </w:rPr>
              <w:t>调查的基本情况</w:t>
            </w:r>
          </w:p>
          <w:p w14:paraId="69C3A3AE">
            <w:pPr>
              <w:keepNext w:val="0"/>
              <w:keepLines w:val="0"/>
              <w:suppressLineNumbers w:val="0"/>
              <w:spacing w:before="0" w:beforeAutospacing="0" w:after="0" w:afterAutospacing="0" w:line="360" w:lineRule="auto"/>
              <w:ind w:left="0" w:right="0" w:firstLine="482"/>
              <w:rPr>
                <w:rFonts w:hint="default" w:ascii="Times New Roman" w:hAnsi="Times New Roman" w:cs="Times New Roman"/>
                <w:b/>
                <w:color w:val="auto"/>
                <w:kern w:val="1"/>
                <w:sz w:val="24"/>
              </w:rPr>
            </w:pPr>
            <w:r>
              <w:rPr>
                <w:rFonts w:hint="eastAsia" w:ascii="Times New Roman" w:hAnsi="Times New Roman" w:cs="Times New Roman"/>
                <w:b/>
                <w:color w:val="auto"/>
                <w:kern w:val="1"/>
                <w:sz w:val="24"/>
                <w:lang w:eastAsia="zh-CN"/>
              </w:rPr>
              <w:t>（</w:t>
            </w:r>
            <w:r>
              <w:rPr>
                <w:rFonts w:hint="eastAsia" w:ascii="Times New Roman" w:hAnsi="Times New Roman" w:cs="Times New Roman"/>
                <w:b/>
                <w:color w:val="auto"/>
                <w:kern w:val="1"/>
                <w:sz w:val="24"/>
                <w:lang w:val="en-US" w:eastAsia="zh-CN"/>
              </w:rPr>
              <w:t>1</w:t>
            </w:r>
            <w:r>
              <w:rPr>
                <w:rFonts w:hint="eastAsia" w:ascii="Times New Roman" w:hAnsi="Times New Roman" w:cs="Times New Roman"/>
                <w:b/>
                <w:color w:val="auto"/>
                <w:kern w:val="1"/>
                <w:sz w:val="24"/>
                <w:lang w:eastAsia="zh-CN"/>
              </w:rPr>
              <w:t>）</w:t>
            </w:r>
            <w:r>
              <w:rPr>
                <w:rFonts w:hint="default" w:ascii="Times New Roman" w:hAnsi="Times New Roman" w:cs="Times New Roman"/>
                <w:b/>
                <w:color w:val="auto"/>
                <w:kern w:val="1"/>
                <w:sz w:val="24"/>
              </w:rPr>
              <w:t>调查方法</w:t>
            </w:r>
          </w:p>
          <w:p w14:paraId="44D0AF55">
            <w:pPr>
              <w:pStyle w:val="2"/>
              <w:keepNext w:val="0"/>
              <w:keepLines w:val="0"/>
              <w:suppressLineNumbers w:val="0"/>
              <w:tabs>
                <w:tab w:val="left" w:pos="2880"/>
              </w:tabs>
              <w:spacing w:before="0" w:beforeAutospacing="0" w:after="0" w:afterAutospacing="0" w:line="360" w:lineRule="auto"/>
              <w:ind w:left="0" w:right="0" w:firstLine="480"/>
              <w:rPr>
                <w:rFonts w:hint="default" w:ascii="Times New Roman" w:hAnsi="Times New Roman" w:cs="Times New Roman"/>
                <w:color w:val="auto"/>
                <w:sz w:val="24"/>
                <w:szCs w:val="24"/>
              </w:rPr>
            </w:pPr>
            <w:r>
              <w:rPr>
                <w:rFonts w:hint="eastAsia" w:ascii="仿宋" w:hAnsi="仿宋" w:eastAsia="仿宋" w:cs="仿宋"/>
                <w:color w:val="auto"/>
                <w:sz w:val="24"/>
                <w:szCs w:val="24"/>
              </w:rPr>
              <w:t>①</w:t>
            </w:r>
            <w:r>
              <w:rPr>
                <w:rFonts w:hint="default" w:ascii="Times New Roman" w:hAnsi="Times New Roman" w:cs="Times New Roman"/>
                <w:color w:val="auto"/>
                <w:sz w:val="24"/>
                <w:szCs w:val="24"/>
              </w:rPr>
              <w:t>路线调查法</w:t>
            </w:r>
          </w:p>
          <w:p w14:paraId="3EAD4F20">
            <w:pPr>
              <w:pStyle w:val="2"/>
              <w:keepNext w:val="0"/>
              <w:keepLines w:val="0"/>
              <w:suppressLineNumbers w:val="0"/>
              <w:tabs>
                <w:tab w:val="left" w:pos="2880"/>
              </w:tabs>
              <w:spacing w:before="0" w:beforeAutospacing="0" w:after="0" w:afterAutospacing="0" w:line="360" w:lineRule="auto"/>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陆生植物和植被采用路线调查的办法确定种类、植物群落。</w:t>
            </w:r>
          </w:p>
          <w:p w14:paraId="0564F695">
            <w:pPr>
              <w:pStyle w:val="2"/>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szCs w:val="24"/>
              </w:rPr>
            </w:pPr>
            <w:r>
              <w:rPr>
                <w:rFonts w:hint="eastAsia" w:ascii="仿宋" w:hAnsi="仿宋" w:eastAsia="仿宋" w:cs="仿宋"/>
                <w:color w:val="auto"/>
                <w:sz w:val="24"/>
                <w:szCs w:val="24"/>
              </w:rPr>
              <w:t>②</w:t>
            </w:r>
            <w:r>
              <w:rPr>
                <w:rFonts w:hint="default" w:ascii="Times New Roman" w:hAnsi="Times New Roman" w:eastAsia="宋体" w:cs="Times New Roman"/>
                <w:color w:val="auto"/>
                <w:sz w:val="24"/>
                <w:szCs w:val="24"/>
              </w:rPr>
              <w:t>访问调查及资料收集</w:t>
            </w:r>
          </w:p>
          <w:p w14:paraId="1EC53E9C">
            <w:pPr>
              <w:pStyle w:val="2"/>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rPr>
              <w:t>芒市华盛金矿开发有限公司芒市金矿年产10万吨金矿石采选项目环境影响报告书</w:t>
            </w:r>
            <w:r>
              <w:rPr>
                <w:rFonts w:hint="eastAsia"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rPr>
              <w:t>向当地</w:t>
            </w:r>
            <w:r>
              <w:rPr>
                <w:rFonts w:hint="eastAsia" w:ascii="Times New Roman" w:hAnsi="Times New Roman" w:eastAsia="宋体" w:cs="Times New Roman"/>
                <w:color w:val="auto"/>
                <w:sz w:val="24"/>
                <w:szCs w:val="24"/>
                <w:lang w:val="en-US" w:eastAsia="zh-CN"/>
              </w:rPr>
              <w:t>专业</w:t>
            </w:r>
            <w:r>
              <w:rPr>
                <w:rFonts w:hint="default" w:ascii="Times New Roman" w:hAnsi="Times New Roman" w:eastAsia="宋体" w:cs="Times New Roman"/>
                <w:color w:val="auto"/>
                <w:sz w:val="24"/>
                <w:szCs w:val="24"/>
              </w:rPr>
              <w:t>人员详细询问了解当地的林业资源情况、野生植物的种类组成和资源变动情况。走访拟建项目周边老年群众，了解野生植物的种类和变动情况。</w:t>
            </w:r>
          </w:p>
          <w:p w14:paraId="1FABE3C0">
            <w:pPr>
              <w:pStyle w:val="2"/>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调查范围</w:t>
            </w:r>
          </w:p>
          <w:p w14:paraId="529C94A7">
            <w:pPr>
              <w:pStyle w:val="2"/>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在评价区边界外延200m范围。</w:t>
            </w:r>
          </w:p>
          <w:p w14:paraId="2DA9EA78">
            <w:pPr>
              <w:pStyle w:val="2"/>
              <w:keepNext w:val="0"/>
              <w:keepLines w:val="0"/>
              <w:suppressLineNumbers w:val="0"/>
              <w:spacing w:before="0" w:beforeAutospacing="0" w:after="0" w:afterAutospacing="0" w:line="360" w:lineRule="auto"/>
              <w:ind w:left="0" w:right="0" w:firstLine="482"/>
              <w:rPr>
                <w:rFonts w:hint="default" w:ascii="Times New Roman" w:hAnsi="Times New Roman" w:cs="Times New Roman"/>
                <w:b/>
                <w:color w:val="auto"/>
                <w:sz w:val="24"/>
                <w:szCs w:val="24"/>
              </w:rPr>
            </w:pPr>
            <w:r>
              <w:rPr>
                <w:rFonts w:hint="eastAsia" w:ascii="Times New Roman" w:hAnsi="Times New Roman" w:cs="Times New Roman"/>
                <w:b/>
                <w:color w:val="auto"/>
                <w:sz w:val="24"/>
                <w:szCs w:val="24"/>
                <w:lang w:eastAsia="zh-CN"/>
              </w:rPr>
              <w:t>（</w:t>
            </w:r>
            <w:r>
              <w:rPr>
                <w:rFonts w:hint="eastAsia" w:ascii="Times New Roman" w:hAnsi="Times New Roman" w:cs="Times New Roman"/>
                <w:b/>
                <w:color w:val="auto"/>
                <w:sz w:val="24"/>
                <w:szCs w:val="24"/>
                <w:lang w:val="en-US" w:eastAsia="zh-CN"/>
              </w:rPr>
              <w:t>3</w:t>
            </w:r>
            <w:r>
              <w:rPr>
                <w:rFonts w:hint="eastAsia" w:ascii="Times New Roman" w:hAnsi="Times New Roman" w:cs="Times New Roman"/>
                <w:b/>
                <w:color w:val="auto"/>
                <w:sz w:val="24"/>
                <w:szCs w:val="24"/>
                <w:lang w:eastAsia="zh-CN"/>
              </w:rPr>
              <w:t>）</w:t>
            </w:r>
            <w:r>
              <w:rPr>
                <w:rFonts w:hint="default" w:ascii="Times New Roman" w:hAnsi="Times New Roman" w:cs="Times New Roman"/>
                <w:b/>
                <w:color w:val="auto"/>
                <w:sz w:val="24"/>
                <w:szCs w:val="24"/>
              </w:rPr>
              <w:t>调查时间</w:t>
            </w:r>
          </w:p>
          <w:p w14:paraId="6DBF5422">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rPr>
            </w:pPr>
            <w:r>
              <w:rPr>
                <w:rFonts w:hint="default" w:ascii="Times New Roman" w:hAnsi="Times New Roman" w:cs="Times New Roman"/>
                <w:color w:val="auto"/>
                <w:sz w:val="24"/>
              </w:rPr>
              <w:t>评价区现状调查时间为20</w:t>
            </w:r>
            <w:r>
              <w:rPr>
                <w:rFonts w:hint="eastAsia" w:ascii="Times New Roman" w:hAnsi="Times New Roman" w:cs="Times New Roman"/>
                <w:color w:val="auto"/>
                <w:sz w:val="24"/>
                <w:lang w:val="en-US" w:eastAsia="zh-CN"/>
              </w:rPr>
              <w:t>22</w:t>
            </w:r>
            <w:r>
              <w:rPr>
                <w:rFonts w:hint="default" w:ascii="Times New Roman" w:hAnsi="Times New Roman" w:cs="Times New Roman"/>
                <w:color w:val="auto"/>
                <w:sz w:val="24"/>
              </w:rPr>
              <w:t>年</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月</w:t>
            </w:r>
            <w:r>
              <w:rPr>
                <w:rFonts w:hint="eastAsia" w:ascii="Times New Roman" w:hAnsi="Times New Roman" w:cs="Times New Roman"/>
                <w:color w:val="auto"/>
                <w:sz w:val="24"/>
                <w:lang w:val="en-US" w:eastAsia="zh-CN"/>
              </w:rPr>
              <w:t>16日</w:t>
            </w:r>
            <w:r>
              <w:rPr>
                <w:rFonts w:hint="default" w:ascii="Times New Roman" w:hAnsi="Times New Roman" w:cs="Times New Roman"/>
                <w:color w:val="auto"/>
                <w:sz w:val="24"/>
              </w:rPr>
              <w:t>。</w:t>
            </w:r>
          </w:p>
          <w:p w14:paraId="3114CA7E">
            <w:pPr>
              <w:pStyle w:val="2"/>
              <w:keepNext w:val="0"/>
              <w:keepLines w:val="0"/>
              <w:suppressLineNumbers w:val="0"/>
              <w:spacing w:before="0" w:beforeAutospacing="0" w:after="0" w:afterAutospacing="0" w:line="360" w:lineRule="auto"/>
              <w:ind w:left="0" w:right="0" w:firstLine="482"/>
              <w:rPr>
                <w:rFonts w:hint="default" w:ascii="Times New Roman" w:hAnsi="Times New Roman" w:cs="Times New Roman"/>
                <w:b/>
                <w:color w:val="auto"/>
                <w:sz w:val="24"/>
              </w:rPr>
            </w:pPr>
            <w:r>
              <w:rPr>
                <w:rFonts w:hint="eastAsia" w:ascii="Times New Roman" w:hAnsi="Times New Roman" w:cs="Times New Roman"/>
                <w:b/>
                <w:color w:val="auto"/>
                <w:sz w:val="24"/>
                <w:lang w:eastAsia="zh-CN"/>
              </w:rPr>
              <w:t>（</w:t>
            </w:r>
            <w:r>
              <w:rPr>
                <w:rFonts w:hint="eastAsia" w:ascii="Times New Roman" w:hAnsi="Times New Roman" w:cs="Times New Roman"/>
                <w:b/>
                <w:color w:val="auto"/>
                <w:sz w:val="24"/>
                <w:lang w:val="en-US" w:eastAsia="zh-CN"/>
              </w:rPr>
              <w:t>4</w:t>
            </w:r>
            <w:r>
              <w:rPr>
                <w:rFonts w:hint="eastAsia" w:ascii="Times New Roman" w:hAnsi="Times New Roman" w:cs="Times New Roman"/>
                <w:b/>
                <w:color w:val="auto"/>
                <w:sz w:val="24"/>
                <w:lang w:eastAsia="zh-CN"/>
              </w:rPr>
              <w:t>）</w:t>
            </w:r>
            <w:r>
              <w:rPr>
                <w:rFonts w:hint="default" w:ascii="Times New Roman" w:hAnsi="Times New Roman" w:cs="Times New Roman"/>
                <w:b/>
                <w:color w:val="auto"/>
                <w:sz w:val="24"/>
              </w:rPr>
              <w:t>调查内容</w:t>
            </w:r>
          </w:p>
          <w:p w14:paraId="709B54D3">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调查评价区内的植被类型及植物物种。重点是特有种、珍稀濒危保护物种和经济价值、科研价值高的物种，评价区的植被类型及相关情况。</w:t>
            </w:r>
          </w:p>
          <w:p w14:paraId="714CE1A3">
            <w:pPr>
              <w:keepNext w:val="0"/>
              <w:keepLines w:val="0"/>
              <w:suppressLineNumbers w:val="0"/>
              <w:spacing w:before="0" w:beforeAutospacing="0" w:after="0" w:afterAutospacing="0" w:line="360" w:lineRule="auto"/>
              <w:ind w:left="0" w:right="0" w:firstLine="482"/>
              <w:outlineLvl w:val="3"/>
              <w:rPr>
                <w:rFonts w:hint="default" w:ascii="Times New Roman" w:hAnsi="Times New Roman" w:cs="Times New Roman"/>
                <w:b/>
                <w:color w:val="auto"/>
                <w:kern w:val="1"/>
                <w:sz w:val="24"/>
              </w:rPr>
            </w:pPr>
            <w:r>
              <w:rPr>
                <w:rFonts w:hint="eastAsia" w:ascii="Times New Roman" w:hAnsi="Times New Roman" w:cs="Times New Roman"/>
                <w:b/>
                <w:color w:val="auto"/>
                <w:kern w:val="1"/>
                <w:sz w:val="24"/>
                <w:lang w:val="en-US" w:eastAsia="zh-CN"/>
              </w:rPr>
              <w:t>1.1.2</w:t>
            </w:r>
            <w:r>
              <w:rPr>
                <w:rFonts w:hint="default" w:ascii="Times New Roman" w:hAnsi="Times New Roman" w:cs="Times New Roman"/>
                <w:b/>
                <w:color w:val="auto"/>
                <w:kern w:val="1"/>
                <w:sz w:val="24"/>
              </w:rPr>
              <w:t>调查评价</w:t>
            </w:r>
          </w:p>
          <w:p w14:paraId="1EB008A2">
            <w:pPr>
              <w:keepNext w:val="0"/>
              <w:keepLines w:val="0"/>
              <w:suppressLineNumbers w:val="0"/>
              <w:spacing w:before="0" w:beforeAutospacing="0" w:after="0" w:afterAutospacing="0" w:line="360" w:lineRule="auto"/>
              <w:ind w:left="0" w:right="0" w:firstLine="482"/>
              <w:rPr>
                <w:rFonts w:hint="default" w:ascii="Times New Roman" w:hAnsi="Times New Roman" w:cs="Times New Roman"/>
                <w:b/>
                <w:color w:val="auto"/>
                <w:kern w:val="1"/>
                <w:sz w:val="24"/>
              </w:rPr>
            </w:pPr>
            <w:r>
              <w:rPr>
                <w:rFonts w:hint="default" w:ascii="Times New Roman" w:hAnsi="Times New Roman" w:cs="Times New Roman"/>
                <w:b/>
                <w:color w:val="auto"/>
                <w:kern w:val="1"/>
                <w:sz w:val="24"/>
              </w:rPr>
              <w:t>一、陆生植物及植被现状调查</w:t>
            </w:r>
          </w:p>
          <w:p w14:paraId="31DA1A20">
            <w:pPr>
              <w:keepNext w:val="0"/>
              <w:keepLines w:val="0"/>
              <w:suppressLineNumbers w:val="0"/>
              <w:spacing w:before="0" w:beforeAutospacing="0" w:after="0" w:afterAutospacing="0" w:line="360" w:lineRule="auto"/>
              <w:ind w:left="0" w:right="0" w:firstLine="470"/>
              <w:rPr>
                <w:rFonts w:hint="default" w:ascii="Times New Roman" w:hAnsi="Times New Roman" w:cs="Times New Roman"/>
                <w:color w:val="auto"/>
                <w:kern w:val="1"/>
                <w:sz w:val="24"/>
              </w:rPr>
            </w:pPr>
            <w:r>
              <w:rPr>
                <w:rFonts w:hint="default" w:ascii="Times New Roman" w:hAnsi="Times New Roman" w:cs="Times New Roman"/>
                <w:color w:val="auto"/>
                <w:kern w:val="1"/>
                <w:sz w:val="24"/>
              </w:rPr>
              <w:t>评价区在云南植被区划上属于热带季雨林，雨林区域——西部季雨林、雨林亚区域——季风热带北缘季节雨林、半常绿季雨林地带——滇南、滇西南间山盆地季节雨林、半常绿季雨林区——滇西南中山宽谷高山榕、麻栎林亚区。</w:t>
            </w:r>
          </w:p>
          <w:p w14:paraId="55FEF65C">
            <w:pPr>
              <w:keepNext w:val="0"/>
              <w:keepLines w:val="0"/>
              <w:suppressLineNumbers w:val="0"/>
              <w:spacing w:before="0" w:beforeAutospacing="0" w:after="0" w:afterAutospacing="0" w:line="360" w:lineRule="auto"/>
              <w:ind w:left="0" w:right="0" w:firstLine="482"/>
              <w:rPr>
                <w:rFonts w:hint="default" w:ascii="Times New Roman" w:hAnsi="Times New Roman" w:cs="Times New Roman"/>
                <w:b/>
                <w:color w:val="auto"/>
                <w:kern w:val="1"/>
                <w:sz w:val="24"/>
              </w:rPr>
            </w:pPr>
            <w:r>
              <w:rPr>
                <w:rFonts w:hint="default" w:ascii="Times New Roman" w:hAnsi="Times New Roman" w:cs="Times New Roman"/>
                <w:b/>
                <w:color w:val="auto"/>
                <w:kern w:val="1"/>
                <w:sz w:val="24"/>
              </w:rPr>
              <w:t>二、评价区主要植被类型</w:t>
            </w:r>
          </w:p>
          <w:p w14:paraId="18FF6C40">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由于矿区周边有村庄分布，故多处地段均开垦为耕地，在评价区分布广泛。天然植被一般分布在地形较为陡峭、人迹少至的地方。现有植被类型见表</w:t>
            </w:r>
            <w:r>
              <w:rPr>
                <w:rFonts w:hint="eastAsia" w:ascii="Times New Roman" w:hAnsi="Times New Roman" w:cs="Times New Roman"/>
                <w:color w:val="auto"/>
                <w:kern w:val="1"/>
                <w:sz w:val="24"/>
                <w:lang w:val="en-US" w:eastAsia="zh-CN"/>
              </w:rPr>
              <w:t>3-1</w:t>
            </w:r>
            <w:r>
              <w:rPr>
                <w:rFonts w:hint="default" w:ascii="Times New Roman" w:hAnsi="Times New Roman" w:cs="Times New Roman"/>
                <w:color w:val="auto"/>
                <w:kern w:val="1"/>
                <w:sz w:val="24"/>
              </w:rPr>
              <w:t>。</w:t>
            </w:r>
          </w:p>
          <w:p w14:paraId="05220060">
            <w:pPr>
              <w:pStyle w:val="15"/>
              <w:keepNext w:val="0"/>
              <w:keepLines w:val="0"/>
              <w:suppressLineNumbers w:val="0"/>
              <w:spacing w:before="0" w:beforeAutospacing="0" w:after="0" w:afterAutospacing="0" w:line="360" w:lineRule="auto"/>
              <w:ind w:left="0" w:right="0" w:firstLine="20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w:t>
            </w:r>
            <w:r>
              <w:rPr>
                <w:rFonts w:hint="eastAsia" w:ascii="Times New Roman" w:hAnsi="Times New Roman" w:cs="Times New Roman"/>
                <w:b/>
                <w:color w:val="auto"/>
                <w:sz w:val="24"/>
                <w:szCs w:val="24"/>
                <w:lang w:val="en-US" w:eastAsia="zh-CN"/>
              </w:rPr>
              <w:t>3-1</w:t>
            </w:r>
            <w:r>
              <w:rPr>
                <w:rFonts w:hint="default" w:ascii="Times New Roman" w:hAnsi="Times New Roman" w:cs="Times New Roman"/>
                <w:b/>
                <w:color w:val="auto"/>
                <w:sz w:val="24"/>
                <w:szCs w:val="24"/>
              </w:rPr>
              <w:t xml:space="preserve">  评价区植被类型分类系统</w:t>
            </w:r>
          </w:p>
          <w:tbl>
            <w:tblPr>
              <w:tblStyle w:val="31"/>
              <w:tblW w:w="8319" w:type="dxa"/>
              <w:jc w:val="center"/>
              <w:tblLayout w:type="fixed"/>
              <w:tblCellMar>
                <w:top w:w="0" w:type="dxa"/>
                <w:left w:w="108" w:type="dxa"/>
                <w:bottom w:w="0" w:type="dxa"/>
                <w:right w:w="108" w:type="dxa"/>
              </w:tblCellMar>
            </w:tblPr>
            <w:tblGrid>
              <w:gridCol w:w="1262"/>
              <w:gridCol w:w="1313"/>
              <w:gridCol w:w="1569"/>
              <w:gridCol w:w="4175"/>
            </w:tblGrid>
            <w:tr w14:paraId="3516A3EE">
              <w:tblPrEx>
                <w:tblCellMar>
                  <w:top w:w="0" w:type="dxa"/>
                  <w:left w:w="108" w:type="dxa"/>
                  <w:bottom w:w="0" w:type="dxa"/>
                  <w:right w:w="108" w:type="dxa"/>
                </w:tblCellMar>
              </w:tblPrEx>
              <w:trPr>
                <w:trHeight w:val="352" w:hRule="atLeast"/>
                <w:jc w:val="center"/>
              </w:trPr>
              <w:tc>
                <w:tcPr>
                  <w:tcW w:w="4144" w:type="dxa"/>
                  <w:gridSpan w:val="3"/>
                  <w:tcBorders>
                    <w:top w:val="single" w:color="000000" w:sz="4" w:space="0"/>
                    <w:left w:val="single" w:color="000000" w:sz="4" w:space="0"/>
                    <w:bottom w:val="single" w:color="000000" w:sz="4" w:space="0"/>
                    <w:right w:val="single" w:color="000000" w:sz="4" w:space="0"/>
                  </w:tcBorders>
                  <w:noWrap w:val="0"/>
                  <w:vAlign w:val="center"/>
                </w:tcPr>
                <w:p w14:paraId="7A789798">
                  <w:pPr>
                    <w:pStyle w:val="11"/>
                    <w:keepNext w:val="0"/>
                    <w:keepLines w:val="0"/>
                    <w:suppressLineNumbers w:val="0"/>
                    <w:tabs>
                      <w:tab w:val="left" w:pos="6957"/>
                    </w:tabs>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植被分类</w:t>
                  </w:r>
                </w:p>
              </w:tc>
              <w:tc>
                <w:tcPr>
                  <w:tcW w:w="4175" w:type="dxa"/>
                  <w:tcBorders>
                    <w:top w:val="single" w:color="000000" w:sz="4" w:space="0"/>
                    <w:left w:val="single" w:color="000000" w:sz="4" w:space="0"/>
                    <w:bottom w:val="single" w:color="000000" w:sz="4" w:space="0"/>
                    <w:right w:val="single" w:color="000000" w:sz="4" w:space="0"/>
                  </w:tcBorders>
                  <w:noWrap w:val="0"/>
                  <w:vAlign w:val="top"/>
                </w:tcPr>
                <w:p w14:paraId="3F05B553">
                  <w:pPr>
                    <w:pStyle w:val="11"/>
                    <w:keepNext w:val="0"/>
                    <w:keepLines w:val="0"/>
                    <w:suppressLineNumbers w:val="0"/>
                    <w:tabs>
                      <w:tab w:val="left" w:pos="6957"/>
                    </w:tabs>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分布情况</w:t>
                  </w:r>
                </w:p>
              </w:tc>
            </w:tr>
            <w:tr w14:paraId="302C3949">
              <w:tblPrEx>
                <w:tblCellMar>
                  <w:top w:w="0" w:type="dxa"/>
                  <w:left w:w="108" w:type="dxa"/>
                  <w:bottom w:w="0" w:type="dxa"/>
                  <w:right w:w="108" w:type="dxa"/>
                </w:tblCellMar>
              </w:tblPrEx>
              <w:trPr>
                <w:trHeight w:val="967" w:hRule="atLeast"/>
                <w:jc w:val="center"/>
              </w:trPr>
              <w:tc>
                <w:tcPr>
                  <w:tcW w:w="1262" w:type="dxa"/>
                  <w:vMerge w:val="restart"/>
                  <w:tcBorders>
                    <w:top w:val="single" w:color="000000" w:sz="4" w:space="0"/>
                    <w:left w:val="single" w:color="000000" w:sz="4" w:space="0"/>
                    <w:bottom w:val="single" w:color="000000" w:sz="4" w:space="0"/>
                    <w:right w:val="single" w:color="000000" w:sz="4" w:space="0"/>
                  </w:tcBorders>
                  <w:noWrap w:val="0"/>
                  <w:vAlign w:val="center"/>
                </w:tcPr>
                <w:p w14:paraId="4C7B17C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sz w:val="21"/>
                      <w:szCs w:val="21"/>
                    </w:rPr>
                  </w:pPr>
                  <w:r>
                    <w:rPr>
                      <w:rFonts w:hint="default" w:ascii="Times New Roman" w:hAnsi="Times New Roman" w:cs="Times New Roman"/>
                      <w:color w:val="auto"/>
                      <w:kern w:val="1"/>
                      <w:sz w:val="21"/>
                      <w:szCs w:val="21"/>
                    </w:rPr>
                    <w:t>①自然植被</w:t>
                  </w:r>
                </w:p>
                <w:p w14:paraId="60B1AD1A">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sz w:val="21"/>
                      <w:szCs w:val="21"/>
                    </w:rPr>
                  </w:pPr>
                  <w:r>
                    <w:rPr>
                      <w:rFonts w:hint="default" w:ascii="Times New Roman" w:hAnsi="Times New Roman" w:cs="Times New Roman"/>
                      <w:color w:val="auto"/>
                      <w:kern w:val="1"/>
                      <w:sz w:val="21"/>
                      <w:szCs w:val="21"/>
                    </w:rPr>
                    <w:t>（含萌生、次生植被）</w:t>
                  </w:r>
                </w:p>
              </w:tc>
              <w:tc>
                <w:tcPr>
                  <w:tcW w:w="1313" w:type="dxa"/>
                  <w:vMerge w:val="restart"/>
                  <w:tcBorders>
                    <w:top w:val="single" w:color="000000" w:sz="4" w:space="0"/>
                    <w:left w:val="single" w:color="000000" w:sz="4" w:space="0"/>
                    <w:bottom w:val="single" w:color="000000" w:sz="4" w:space="0"/>
                    <w:right w:val="single" w:color="000000" w:sz="4" w:space="0"/>
                  </w:tcBorders>
                  <w:noWrap w:val="0"/>
                  <w:vAlign w:val="center"/>
                </w:tcPr>
                <w:p w14:paraId="02ED3F1A">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sz w:val="21"/>
                      <w:szCs w:val="21"/>
                    </w:rPr>
                  </w:pPr>
                  <w:r>
                    <w:rPr>
                      <w:rFonts w:hint="default" w:ascii="Times New Roman" w:hAnsi="Times New Roman" w:cs="Times New Roman"/>
                      <w:color w:val="auto"/>
                      <w:kern w:val="1"/>
                      <w:sz w:val="21"/>
                      <w:szCs w:val="21"/>
                    </w:rPr>
                    <w:t>Ⅰ.常绿阔叶林</w:t>
                  </w:r>
                </w:p>
              </w:tc>
              <w:tc>
                <w:tcPr>
                  <w:tcW w:w="1569" w:type="dxa"/>
                  <w:tcBorders>
                    <w:top w:val="single" w:color="000000" w:sz="4" w:space="0"/>
                    <w:left w:val="single" w:color="000000" w:sz="4" w:space="0"/>
                    <w:bottom w:val="single" w:color="000000" w:sz="4" w:space="0"/>
                    <w:right w:val="single" w:color="000000" w:sz="4" w:space="0"/>
                  </w:tcBorders>
                  <w:noWrap w:val="0"/>
                  <w:vAlign w:val="center"/>
                </w:tcPr>
                <w:p w14:paraId="39559487">
                  <w:pPr>
                    <w:pStyle w:val="11"/>
                    <w:keepNext w:val="0"/>
                    <w:keepLines w:val="0"/>
                    <w:suppressLineNumbers w:val="0"/>
                    <w:tabs>
                      <w:tab w:val="left" w:pos="6957"/>
                    </w:tabs>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高榕、麻栎、铁力木群落</w:t>
                  </w:r>
                </w:p>
              </w:tc>
              <w:tc>
                <w:tcPr>
                  <w:tcW w:w="4175" w:type="dxa"/>
                  <w:tcBorders>
                    <w:top w:val="single" w:color="000000" w:sz="4" w:space="0"/>
                    <w:left w:val="single" w:color="000000" w:sz="4" w:space="0"/>
                    <w:bottom w:val="single" w:color="000000" w:sz="4" w:space="0"/>
                    <w:right w:val="single" w:color="000000" w:sz="4" w:space="0"/>
                  </w:tcBorders>
                  <w:noWrap w:val="0"/>
                  <w:vAlign w:val="center"/>
                </w:tcPr>
                <w:p w14:paraId="77FFF3BA">
                  <w:pPr>
                    <w:pStyle w:val="11"/>
                    <w:keepNext w:val="0"/>
                    <w:keepLines w:val="0"/>
                    <w:suppressLineNumbers w:val="0"/>
                    <w:tabs>
                      <w:tab w:val="left" w:pos="6957"/>
                    </w:tabs>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主要分布在地形陡峭、人迹罕至的地方。</w:t>
                  </w:r>
                </w:p>
              </w:tc>
            </w:tr>
            <w:tr w14:paraId="4C46023D">
              <w:tblPrEx>
                <w:tblCellMar>
                  <w:top w:w="0" w:type="dxa"/>
                  <w:left w:w="108" w:type="dxa"/>
                  <w:bottom w:w="0" w:type="dxa"/>
                  <w:right w:w="108" w:type="dxa"/>
                </w:tblCellMar>
              </w:tblPrEx>
              <w:trPr>
                <w:trHeight w:val="967" w:hRule="atLeast"/>
                <w:jc w:val="center"/>
              </w:trPr>
              <w:tc>
                <w:tcPr>
                  <w:tcW w:w="12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BCCEAC">
                  <w:pPr>
                    <w:keepNext w:val="0"/>
                    <w:keepLines w:val="0"/>
                    <w:suppressLineNumbers w:val="0"/>
                    <w:spacing w:before="0" w:beforeAutospacing="0" w:after="0" w:afterAutospacing="0"/>
                    <w:ind w:left="0" w:right="0"/>
                    <w:jc w:val="left"/>
                    <w:rPr>
                      <w:rFonts w:hint="default" w:ascii="Times New Roman" w:hAnsi="Times New Roman" w:cs="Times New Roman"/>
                      <w:color w:val="auto"/>
                      <w:sz w:val="21"/>
                      <w:szCs w:val="21"/>
                    </w:rPr>
                  </w:pPr>
                </w:p>
              </w:tc>
              <w:tc>
                <w:tcPr>
                  <w:tcW w:w="13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A9CCBE">
                  <w:pPr>
                    <w:keepNext w:val="0"/>
                    <w:keepLines w:val="0"/>
                    <w:suppressLineNumbers w:val="0"/>
                    <w:spacing w:before="0" w:beforeAutospacing="0" w:after="0" w:afterAutospacing="0"/>
                    <w:ind w:left="0" w:right="0"/>
                    <w:jc w:val="left"/>
                    <w:rPr>
                      <w:rFonts w:hint="default" w:ascii="Times New Roman" w:hAnsi="Times New Roman" w:cs="Times New Roman"/>
                      <w:color w:val="auto"/>
                      <w:sz w:val="21"/>
                      <w:szCs w:val="21"/>
                    </w:rPr>
                  </w:pPr>
                </w:p>
              </w:tc>
              <w:tc>
                <w:tcPr>
                  <w:tcW w:w="1569" w:type="dxa"/>
                  <w:tcBorders>
                    <w:top w:val="single" w:color="000000" w:sz="4" w:space="0"/>
                    <w:left w:val="single" w:color="000000" w:sz="4" w:space="0"/>
                    <w:bottom w:val="single" w:color="000000" w:sz="4" w:space="0"/>
                    <w:right w:val="single" w:color="000000" w:sz="4" w:space="0"/>
                  </w:tcBorders>
                  <w:noWrap w:val="0"/>
                  <w:vAlign w:val="center"/>
                </w:tcPr>
                <w:p w14:paraId="5D2B5FBE">
                  <w:pPr>
                    <w:pStyle w:val="11"/>
                    <w:keepNext w:val="0"/>
                    <w:keepLines w:val="0"/>
                    <w:suppressLineNumbers w:val="0"/>
                    <w:tabs>
                      <w:tab w:val="left" w:pos="6957"/>
                    </w:tabs>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刺栲、印栲、红木荷群落</w:t>
                  </w:r>
                </w:p>
              </w:tc>
              <w:tc>
                <w:tcPr>
                  <w:tcW w:w="4175" w:type="dxa"/>
                  <w:tcBorders>
                    <w:top w:val="single" w:color="000000" w:sz="4" w:space="0"/>
                    <w:left w:val="single" w:color="000000" w:sz="4" w:space="0"/>
                    <w:bottom w:val="single" w:color="000000" w:sz="4" w:space="0"/>
                    <w:right w:val="single" w:color="000000" w:sz="4" w:space="0"/>
                  </w:tcBorders>
                  <w:noWrap w:val="0"/>
                  <w:vAlign w:val="center"/>
                </w:tcPr>
                <w:p w14:paraId="1356D101">
                  <w:pPr>
                    <w:pStyle w:val="11"/>
                    <w:keepNext w:val="0"/>
                    <w:keepLines w:val="0"/>
                    <w:suppressLineNumbers w:val="0"/>
                    <w:tabs>
                      <w:tab w:val="left" w:pos="6957"/>
                    </w:tabs>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山地1000m以上，迎风潮湿山坡较多</w:t>
                  </w:r>
                </w:p>
                <w:p w14:paraId="5AC34129">
                  <w:pPr>
                    <w:pStyle w:val="11"/>
                    <w:keepNext w:val="0"/>
                    <w:keepLines w:val="0"/>
                    <w:suppressLineNumbers w:val="0"/>
                    <w:tabs>
                      <w:tab w:val="left" w:pos="6957"/>
                    </w:tabs>
                    <w:spacing w:before="0" w:beforeAutospacing="0" w:afterAutospacing="0"/>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主要分布在山间沟谷内部。</w:t>
                  </w:r>
                </w:p>
              </w:tc>
            </w:tr>
            <w:tr w14:paraId="5FF037C2">
              <w:tblPrEx>
                <w:tblCellMar>
                  <w:top w:w="0" w:type="dxa"/>
                  <w:left w:w="108" w:type="dxa"/>
                  <w:bottom w:w="0" w:type="dxa"/>
                  <w:right w:w="108" w:type="dxa"/>
                </w:tblCellMar>
              </w:tblPrEx>
              <w:trPr>
                <w:trHeight w:val="648" w:hRule="atLeast"/>
                <w:jc w:val="center"/>
              </w:trPr>
              <w:tc>
                <w:tcPr>
                  <w:tcW w:w="12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230A27">
                  <w:pPr>
                    <w:keepNext w:val="0"/>
                    <w:keepLines w:val="0"/>
                    <w:suppressLineNumbers w:val="0"/>
                    <w:spacing w:before="0" w:beforeAutospacing="0" w:after="0" w:afterAutospacing="0"/>
                    <w:ind w:left="0" w:right="0"/>
                    <w:jc w:val="left"/>
                    <w:rPr>
                      <w:rFonts w:hint="default" w:ascii="Times New Roman" w:hAnsi="Times New Roman" w:cs="Times New Roman"/>
                      <w:color w:val="auto"/>
                      <w:sz w:val="21"/>
                      <w:szCs w:val="21"/>
                    </w:rPr>
                  </w:pPr>
                </w:p>
              </w:tc>
              <w:tc>
                <w:tcPr>
                  <w:tcW w:w="1313" w:type="dxa"/>
                  <w:tcBorders>
                    <w:top w:val="single" w:color="000000" w:sz="4" w:space="0"/>
                    <w:left w:val="single" w:color="000000" w:sz="4" w:space="0"/>
                    <w:bottom w:val="single" w:color="000000" w:sz="4" w:space="0"/>
                    <w:right w:val="single" w:color="000000" w:sz="4" w:space="0"/>
                  </w:tcBorders>
                  <w:noWrap w:val="0"/>
                  <w:vAlign w:val="center"/>
                </w:tcPr>
                <w:p w14:paraId="2B2AD0A8">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sz w:val="21"/>
                      <w:szCs w:val="21"/>
                    </w:rPr>
                  </w:pPr>
                  <w:r>
                    <w:rPr>
                      <w:rFonts w:hint="default" w:ascii="Times New Roman" w:hAnsi="Times New Roman" w:cs="Times New Roman"/>
                      <w:color w:val="auto"/>
                      <w:kern w:val="1"/>
                      <w:sz w:val="21"/>
                      <w:szCs w:val="21"/>
                    </w:rPr>
                    <w:t>Ⅱ热性稀树灌木草丛</w:t>
                  </w:r>
                </w:p>
              </w:tc>
              <w:tc>
                <w:tcPr>
                  <w:tcW w:w="1569" w:type="dxa"/>
                  <w:tcBorders>
                    <w:top w:val="single" w:color="000000" w:sz="4" w:space="0"/>
                    <w:left w:val="single" w:color="000000" w:sz="4" w:space="0"/>
                    <w:bottom w:val="single" w:color="000000" w:sz="4" w:space="0"/>
                    <w:right w:val="single" w:color="000000" w:sz="4" w:space="0"/>
                  </w:tcBorders>
                  <w:noWrap w:val="0"/>
                  <w:vAlign w:val="center"/>
                </w:tcPr>
                <w:p w14:paraId="299BE84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sz w:val="21"/>
                      <w:szCs w:val="21"/>
                    </w:rPr>
                  </w:pPr>
                  <w:r>
                    <w:rPr>
                      <w:rFonts w:hint="default" w:ascii="Times New Roman" w:hAnsi="Times New Roman" w:cs="Times New Roman"/>
                      <w:color w:val="auto"/>
                      <w:kern w:val="1"/>
                      <w:sz w:val="21"/>
                      <w:szCs w:val="21"/>
                    </w:rPr>
                    <w:t>类芦、大菅、粽叶芦群落</w:t>
                  </w:r>
                </w:p>
              </w:tc>
              <w:tc>
                <w:tcPr>
                  <w:tcW w:w="4175" w:type="dxa"/>
                  <w:tcBorders>
                    <w:top w:val="single" w:color="000000" w:sz="4" w:space="0"/>
                    <w:left w:val="single" w:color="000000" w:sz="4" w:space="0"/>
                    <w:bottom w:val="single" w:color="000000" w:sz="4" w:space="0"/>
                    <w:right w:val="single" w:color="000000" w:sz="4" w:space="0"/>
                  </w:tcBorders>
                  <w:noWrap w:val="0"/>
                  <w:vAlign w:val="center"/>
                </w:tcPr>
                <w:p w14:paraId="08EEE84D">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sz w:val="21"/>
                      <w:szCs w:val="21"/>
                    </w:rPr>
                  </w:pPr>
                  <w:r>
                    <w:rPr>
                      <w:rFonts w:hint="default" w:ascii="Times New Roman" w:hAnsi="Times New Roman" w:cs="Times New Roman"/>
                      <w:color w:val="auto"/>
                      <w:kern w:val="1"/>
                      <w:sz w:val="21"/>
                      <w:szCs w:val="21"/>
                    </w:rPr>
                    <w:t>分布于村寨周边常受到干扰和破坏的区域</w:t>
                  </w:r>
                </w:p>
              </w:tc>
            </w:tr>
            <w:tr w14:paraId="77E5EE60">
              <w:tblPrEx>
                <w:tblCellMar>
                  <w:top w:w="0" w:type="dxa"/>
                  <w:left w:w="108" w:type="dxa"/>
                  <w:bottom w:w="0" w:type="dxa"/>
                  <w:right w:w="108" w:type="dxa"/>
                </w:tblCellMar>
              </w:tblPrEx>
              <w:trPr>
                <w:trHeight w:val="648" w:hRule="atLeast"/>
                <w:jc w:val="center"/>
              </w:trPr>
              <w:tc>
                <w:tcPr>
                  <w:tcW w:w="12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761247">
                  <w:pPr>
                    <w:keepNext w:val="0"/>
                    <w:keepLines w:val="0"/>
                    <w:suppressLineNumbers w:val="0"/>
                    <w:spacing w:before="0" w:beforeAutospacing="0" w:after="0" w:afterAutospacing="0"/>
                    <w:ind w:left="0" w:right="0"/>
                    <w:jc w:val="left"/>
                    <w:rPr>
                      <w:rFonts w:hint="default" w:ascii="Times New Roman" w:hAnsi="Times New Roman" w:cs="Times New Roman"/>
                      <w:color w:val="auto"/>
                      <w:kern w:val="1"/>
                      <w:sz w:val="21"/>
                      <w:szCs w:val="21"/>
                    </w:rPr>
                  </w:pPr>
                </w:p>
              </w:tc>
              <w:tc>
                <w:tcPr>
                  <w:tcW w:w="1313" w:type="dxa"/>
                  <w:tcBorders>
                    <w:top w:val="single" w:color="000000" w:sz="4" w:space="0"/>
                    <w:left w:val="single" w:color="000000" w:sz="4" w:space="0"/>
                    <w:bottom w:val="single" w:color="000000" w:sz="4" w:space="0"/>
                    <w:right w:val="single" w:color="000000" w:sz="4" w:space="0"/>
                  </w:tcBorders>
                  <w:noWrap w:val="0"/>
                  <w:vAlign w:val="center"/>
                </w:tcPr>
                <w:p w14:paraId="1F6ED5E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sz w:val="21"/>
                      <w:szCs w:val="21"/>
                    </w:rPr>
                  </w:pPr>
                  <w:r>
                    <w:rPr>
                      <w:rFonts w:hint="default" w:ascii="Times New Roman" w:hAnsi="Times New Roman" w:cs="Times New Roman"/>
                      <w:color w:val="auto"/>
                      <w:kern w:val="1"/>
                      <w:sz w:val="21"/>
                      <w:szCs w:val="21"/>
                    </w:rPr>
                    <w:t>Ⅲ.次生中草草丛</w:t>
                  </w:r>
                </w:p>
              </w:tc>
              <w:tc>
                <w:tcPr>
                  <w:tcW w:w="1569" w:type="dxa"/>
                  <w:tcBorders>
                    <w:top w:val="single" w:color="000000" w:sz="4" w:space="0"/>
                    <w:left w:val="single" w:color="000000" w:sz="4" w:space="0"/>
                    <w:bottom w:val="single" w:color="000000" w:sz="4" w:space="0"/>
                    <w:right w:val="single" w:color="000000" w:sz="4" w:space="0"/>
                  </w:tcBorders>
                  <w:noWrap w:val="0"/>
                  <w:vAlign w:val="center"/>
                </w:tcPr>
                <w:p w14:paraId="727B84A2">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sz w:val="21"/>
                      <w:szCs w:val="21"/>
                    </w:rPr>
                  </w:pPr>
                  <w:r>
                    <w:rPr>
                      <w:rFonts w:hint="default" w:ascii="Times New Roman" w:hAnsi="Times New Roman" w:cs="Times New Roman"/>
                      <w:color w:val="auto"/>
                      <w:kern w:val="1"/>
                      <w:sz w:val="21"/>
                      <w:szCs w:val="21"/>
                    </w:rPr>
                    <w:t>刺芒野古草草丛</w:t>
                  </w:r>
                </w:p>
              </w:tc>
              <w:tc>
                <w:tcPr>
                  <w:tcW w:w="4175" w:type="dxa"/>
                  <w:tcBorders>
                    <w:top w:val="single" w:color="000000" w:sz="4" w:space="0"/>
                    <w:left w:val="single" w:color="000000" w:sz="4" w:space="0"/>
                    <w:bottom w:val="single" w:color="000000" w:sz="4" w:space="0"/>
                    <w:right w:val="single" w:color="000000" w:sz="4" w:space="0"/>
                  </w:tcBorders>
                  <w:noWrap w:val="0"/>
                  <w:vAlign w:val="center"/>
                </w:tcPr>
                <w:p w14:paraId="7AF0AC4D">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sz w:val="21"/>
                      <w:szCs w:val="21"/>
                    </w:rPr>
                  </w:pPr>
                  <w:r>
                    <w:rPr>
                      <w:rFonts w:hint="default" w:ascii="Times New Roman" w:hAnsi="Times New Roman" w:cs="Times New Roman"/>
                      <w:color w:val="auto"/>
                      <w:kern w:val="1"/>
                      <w:sz w:val="21"/>
                      <w:szCs w:val="21"/>
                    </w:rPr>
                    <w:t>实际上是灌木林破坏后形成的“放牧地”</w:t>
                  </w:r>
                </w:p>
              </w:tc>
            </w:tr>
            <w:tr w14:paraId="100D41F2">
              <w:tblPrEx>
                <w:tblCellMar>
                  <w:top w:w="0" w:type="dxa"/>
                  <w:left w:w="108" w:type="dxa"/>
                  <w:bottom w:w="0" w:type="dxa"/>
                  <w:right w:w="108" w:type="dxa"/>
                </w:tblCellMar>
              </w:tblPrEx>
              <w:trPr>
                <w:trHeight w:val="648" w:hRule="atLeast"/>
                <w:jc w:val="center"/>
              </w:trPr>
              <w:tc>
                <w:tcPr>
                  <w:tcW w:w="1262" w:type="dxa"/>
                  <w:vMerge w:val="restart"/>
                  <w:tcBorders>
                    <w:top w:val="single" w:color="000000" w:sz="4" w:space="0"/>
                    <w:left w:val="single" w:color="000000" w:sz="4" w:space="0"/>
                    <w:bottom w:val="single" w:color="000000" w:sz="4" w:space="0"/>
                    <w:right w:val="single" w:color="000000" w:sz="4" w:space="0"/>
                  </w:tcBorders>
                  <w:noWrap w:val="0"/>
                  <w:vAlign w:val="center"/>
                </w:tcPr>
                <w:p w14:paraId="246069B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sz w:val="21"/>
                      <w:szCs w:val="21"/>
                    </w:rPr>
                  </w:pPr>
                  <w:r>
                    <w:rPr>
                      <w:rFonts w:hint="default" w:ascii="Times New Roman" w:hAnsi="Times New Roman" w:cs="Times New Roman"/>
                      <w:color w:val="auto"/>
                      <w:kern w:val="1"/>
                      <w:sz w:val="21"/>
                      <w:szCs w:val="21"/>
                    </w:rPr>
                    <w:t>②人工植被</w:t>
                  </w:r>
                </w:p>
              </w:tc>
              <w:tc>
                <w:tcPr>
                  <w:tcW w:w="1313" w:type="dxa"/>
                  <w:tcBorders>
                    <w:top w:val="single" w:color="000000" w:sz="4" w:space="0"/>
                    <w:left w:val="single" w:color="000000" w:sz="4" w:space="0"/>
                    <w:bottom w:val="single" w:color="000000" w:sz="4" w:space="0"/>
                    <w:right w:val="single" w:color="000000" w:sz="4" w:space="0"/>
                  </w:tcBorders>
                  <w:noWrap w:val="0"/>
                  <w:vAlign w:val="center"/>
                </w:tcPr>
                <w:p w14:paraId="0D65662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sz w:val="21"/>
                      <w:szCs w:val="21"/>
                    </w:rPr>
                  </w:pPr>
                  <w:r>
                    <w:rPr>
                      <w:rFonts w:hint="default" w:ascii="Times New Roman" w:hAnsi="Times New Roman" w:cs="Times New Roman"/>
                      <w:color w:val="auto"/>
                      <w:kern w:val="1"/>
                      <w:sz w:val="21"/>
                      <w:szCs w:val="21"/>
                    </w:rPr>
                    <w:t>Ⅰ.农田植被</w:t>
                  </w:r>
                </w:p>
              </w:tc>
              <w:tc>
                <w:tcPr>
                  <w:tcW w:w="1569" w:type="dxa"/>
                  <w:tcBorders>
                    <w:top w:val="single" w:color="000000" w:sz="4" w:space="0"/>
                    <w:left w:val="single" w:color="000000" w:sz="4" w:space="0"/>
                    <w:bottom w:val="single" w:color="000000" w:sz="4" w:space="0"/>
                    <w:right w:val="single" w:color="000000" w:sz="4" w:space="0"/>
                  </w:tcBorders>
                  <w:noWrap w:val="0"/>
                  <w:vAlign w:val="center"/>
                </w:tcPr>
                <w:p w14:paraId="4C71ECB8">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sz w:val="21"/>
                      <w:szCs w:val="21"/>
                    </w:rPr>
                  </w:pPr>
                  <w:r>
                    <w:rPr>
                      <w:rFonts w:hint="default" w:ascii="Times New Roman" w:hAnsi="Times New Roman" w:cs="Times New Roman"/>
                      <w:color w:val="auto"/>
                      <w:kern w:val="1"/>
                      <w:sz w:val="21"/>
                      <w:szCs w:val="21"/>
                    </w:rPr>
                    <w:t>旱地植被</w:t>
                  </w:r>
                </w:p>
              </w:tc>
              <w:tc>
                <w:tcPr>
                  <w:tcW w:w="4175" w:type="dxa"/>
                  <w:tcBorders>
                    <w:top w:val="single" w:color="000000" w:sz="4" w:space="0"/>
                    <w:left w:val="single" w:color="000000" w:sz="4" w:space="0"/>
                    <w:bottom w:val="single" w:color="000000" w:sz="4" w:space="0"/>
                    <w:right w:val="single" w:color="000000" w:sz="4" w:space="0"/>
                  </w:tcBorders>
                  <w:noWrap w:val="0"/>
                  <w:vAlign w:val="center"/>
                </w:tcPr>
                <w:p w14:paraId="7CC1E1F4">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sz w:val="21"/>
                      <w:szCs w:val="21"/>
                    </w:rPr>
                  </w:pPr>
                  <w:r>
                    <w:rPr>
                      <w:rFonts w:hint="default" w:ascii="Times New Roman" w:hAnsi="Times New Roman" w:cs="Times New Roman"/>
                      <w:color w:val="auto"/>
                      <w:kern w:val="1"/>
                      <w:sz w:val="21"/>
                      <w:szCs w:val="21"/>
                    </w:rPr>
                    <w:t>评价区范围内大面积分布，主要种植玉米、晚稻等农作物。</w:t>
                  </w:r>
                </w:p>
              </w:tc>
            </w:tr>
            <w:tr w14:paraId="3E2E590D">
              <w:tblPrEx>
                <w:tblCellMar>
                  <w:top w:w="0" w:type="dxa"/>
                  <w:left w:w="108" w:type="dxa"/>
                  <w:bottom w:w="0" w:type="dxa"/>
                  <w:right w:w="108" w:type="dxa"/>
                </w:tblCellMar>
              </w:tblPrEx>
              <w:trPr>
                <w:trHeight w:val="362" w:hRule="atLeast"/>
                <w:jc w:val="center"/>
              </w:trPr>
              <w:tc>
                <w:tcPr>
                  <w:tcW w:w="12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B0F206">
                  <w:pPr>
                    <w:keepNext w:val="0"/>
                    <w:keepLines w:val="0"/>
                    <w:suppressLineNumbers w:val="0"/>
                    <w:spacing w:before="0" w:beforeAutospacing="0" w:after="0" w:afterAutospacing="0"/>
                    <w:ind w:left="0" w:right="0"/>
                    <w:jc w:val="left"/>
                    <w:rPr>
                      <w:rFonts w:hint="default" w:ascii="Times New Roman" w:hAnsi="Times New Roman" w:cs="Times New Roman"/>
                      <w:color w:val="auto"/>
                      <w:kern w:val="1"/>
                      <w:sz w:val="21"/>
                      <w:szCs w:val="21"/>
                    </w:rPr>
                  </w:pPr>
                </w:p>
              </w:tc>
              <w:tc>
                <w:tcPr>
                  <w:tcW w:w="1313" w:type="dxa"/>
                  <w:tcBorders>
                    <w:top w:val="single" w:color="000000" w:sz="4" w:space="0"/>
                    <w:left w:val="single" w:color="000000" w:sz="4" w:space="0"/>
                    <w:bottom w:val="single" w:color="000000" w:sz="4" w:space="0"/>
                    <w:right w:val="single" w:color="000000" w:sz="4" w:space="0"/>
                  </w:tcBorders>
                  <w:noWrap w:val="0"/>
                  <w:vAlign w:val="center"/>
                </w:tcPr>
                <w:p w14:paraId="784B175D">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sz w:val="21"/>
                      <w:szCs w:val="21"/>
                    </w:rPr>
                  </w:pPr>
                  <w:r>
                    <w:rPr>
                      <w:rFonts w:hint="default" w:ascii="Times New Roman" w:hAnsi="Times New Roman" w:cs="Times New Roman"/>
                      <w:color w:val="auto"/>
                      <w:kern w:val="1"/>
                      <w:sz w:val="21"/>
                      <w:szCs w:val="21"/>
                    </w:rPr>
                    <w:t>Ⅱ经济林</w:t>
                  </w:r>
                </w:p>
              </w:tc>
              <w:tc>
                <w:tcPr>
                  <w:tcW w:w="1569" w:type="dxa"/>
                  <w:tcBorders>
                    <w:top w:val="single" w:color="000000" w:sz="4" w:space="0"/>
                    <w:left w:val="single" w:color="000000" w:sz="4" w:space="0"/>
                    <w:bottom w:val="single" w:color="000000" w:sz="4" w:space="0"/>
                    <w:right w:val="single" w:color="000000" w:sz="4" w:space="0"/>
                  </w:tcBorders>
                  <w:noWrap w:val="0"/>
                  <w:vAlign w:val="center"/>
                </w:tcPr>
                <w:p w14:paraId="71D09930">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sz w:val="21"/>
                      <w:szCs w:val="21"/>
                    </w:rPr>
                  </w:pPr>
                  <w:r>
                    <w:rPr>
                      <w:rFonts w:hint="default" w:ascii="Times New Roman" w:hAnsi="Times New Roman" w:cs="Times New Roman"/>
                      <w:color w:val="auto"/>
                      <w:kern w:val="1"/>
                      <w:sz w:val="21"/>
                      <w:szCs w:val="21"/>
                    </w:rPr>
                    <w:t>经济作物</w:t>
                  </w:r>
                </w:p>
              </w:tc>
              <w:tc>
                <w:tcPr>
                  <w:tcW w:w="4175" w:type="dxa"/>
                  <w:tcBorders>
                    <w:top w:val="single" w:color="000000" w:sz="4" w:space="0"/>
                    <w:left w:val="single" w:color="000000" w:sz="4" w:space="0"/>
                    <w:bottom w:val="single" w:color="000000" w:sz="4" w:space="0"/>
                    <w:right w:val="single" w:color="000000" w:sz="4" w:space="0"/>
                  </w:tcBorders>
                  <w:noWrap w:val="0"/>
                  <w:vAlign w:val="center"/>
                </w:tcPr>
                <w:p w14:paraId="58C52B29">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sz w:val="21"/>
                      <w:szCs w:val="21"/>
                    </w:rPr>
                  </w:pPr>
                  <w:r>
                    <w:rPr>
                      <w:rFonts w:hint="default" w:ascii="Times New Roman" w:hAnsi="Times New Roman" w:cs="Times New Roman"/>
                      <w:color w:val="auto"/>
                      <w:kern w:val="1"/>
                      <w:sz w:val="21"/>
                      <w:szCs w:val="21"/>
                    </w:rPr>
                    <w:t>甘蔗、芒果等</w:t>
                  </w:r>
                </w:p>
              </w:tc>
            </w:tr>
          </w:tbl>
          <w:p w14:paraId="7821BC48">
            <w:pPr>
              <w:pStyle w:val="111"/>
              <w:keepNext w:val="0"/>
              <w:keepLines w:val="0"/>
              <w:suppressLineNumbers w:val="0"/>
              <w:spacing w:before="0" w:beforeAutospacing="0" w:after="0" w:afterAutospacing="0"/>
              <w:ind w:left="0" w:right="0" w:firstLine="482"/>
              <w:rPr>
                <w:rFonts w:hint="default" w:ascii="Times New Roman" w:hAnsi="Times New Roman" w:cs="Times New Roman"/>
                <w:b/>
                <w:color w:val="auto"/>
              </w:rPr>
            </w:pPr>
            <w:r>
              <w:rPr>
                <w:rFonts w:hint="default" w:ascii="Times New Roman" w:hAnsi="Times New Roman" w:cs="Times New Roman"/>
                <w:b/>
                <w:color w:val="auto"/>
              </w:rPr>
              <w:t>三、主要植被类型特征描述</w:t>
            </w:r>
          </w:p>
          <w:p w14:paraId="02463975">
            <w:pPr>
              <w:pStyle w:val="111"/>
              <w:keepNext w:val="0"/>
              <w:keepLines w:val="0"/>
              <w:suppressLineNumbers w:val="0"/>
              <w:spacing w:before="0" w:beforeAutospacing="0" w:after="0" w:afterAutospacing="0"/>
              <w:ind w:left="0" w:right="0" w:firstLine="482"/>
              <w:rPr>
                <w:rFonts w:hint="default" w:ascii="Times New Roman" w:hAnsi="Times New Roman" w:cs="Times New Roman"/>
                <w:b/>
                <w:color w:val="auto"/>
              </w:rPr>
            </w:pPr>
            <w:r>
              <w:rPr>
                <w:rFonts w:hint="default" w:ascii="Times New Roman" w:hAnsi="Times New Roman" w:cs="Times New Roman"/>
                <w:b/>
                <w:color w:val="auto"/>
              </w:rPr>
              <w:t>（一）自然植被</w:t>
            </w:r>
          </w:p>
          <w:p w14:paraId="772A4A92">
            <w:pPr>
              <w:pStyle w:val="111"/>
              <w:keepNext w:val="0"/>
              <w:keepLines w:val="0"/>
              <w:suppressLineNumbers w:val="0"/>
              <w:spacing w:before="0" w:beforeAutospacing="0" w:after="0" w:afterAutospacing="0"/>
              <w:ind w:left="0" w:right="0" w:firstLine="482"/>
              <w:rPr>
                <w:rFonts w:hint="default" w:ascii="Times New Roman" w:hAnsi="Times New Roman" w:cs="Times New Roman"/>
                <w:b/>
                <w:color w:val="auto"/>
              </w:rPr>
            </w:pPr>
            <w:r>
              <w:rPr>
                <w:rFonts w:hint="default" w:ascii="Times New Roman" w:hAnsi="Times New Roman" w:cs="Times New Roman"/>
                <w:b/>
                <w:color w:val="auto"/>
              </w:rPr>
              <w:t>（1）常绿阔叶林</w:t>
            </w:r>
          </w:p>
          <w:p w14:paraId="508CB9B1">
            <w:pPr>
              <w:pStyle w:val="111"/>
              <w:keepNext w:val="0"/>
              <w:keepLines w:val="0"/>
              <w:suppressLineNumbers w:val="0"/>
              <w:spacing w:before="0" w:beforeAutospacing="0" w:after="0" w:afterAutospacing="0"/>
              <w:ind w:left="0" w:right="0" w:firstLine="482"/>
              <w:rPr>
                <w:rFonts w:hint="default" w:ascii="Times New Roman" w:hAnsi="Times New Roman" w:cs="Times New Roman"/>
                <w:b/>
                <w:color w:val="auto"/>
              </w:rPr>
            </w:pPr>
            <w:r>
              <w:rPr>
                <w:rFonts w:hint="default" w:ascii="Times New Roman" w:hAnsi="Times New Roman" w:cs="Times New Roman"/>
                <w:b/>
                <w:color w:val="auto"/>
              </w:rPr>
              <w:t>高榕、麻栎、铁力木群落</w:t>
            </w:r>
          </w:p>
          <w:p w14:paraId="30C12AA7">
            <w:pPr>
              <w:pStyle w:val="111"/>
              <w:keepNext w:val="0"/>
              <w:keepLines w:val="0"/>
              <w:suppressLineNumbers w:val="0"/>
              <w:spacing w:before="0" w:beforeAutospacing="0" w:after="0" w:afterAutospacing="0"/>
              <w:ind w:left="0" w:right="0" w:firstLine="480"/>
              <w:rPr>
                <w:rFonts w:hint="default" w:ascii="Times New Roman" w:hAnsi="Times New Roman" w:cs="Times New Roman"/>
                <w:color w:val="auto"/>
              </w:rPr>
            </w:pPr>
            <w:r>
              <w:rPr>
                <w:rFonts w:hint="default" w:ascii="Times New Roman" w:hAnsi="Times New Roman" w:cs="Times New Roman"/>
                <w:color w:val="auto"/>
              </w:rPr>
              <w:t>该群落一般分布在人迹罕至，地形较为陡峭的地方，呈零星块状分布，多数遭到了砍伐破坏。项目区周边无分布。</w:t>
            </w:r>
          </w:p>
          <w:p w14:paraId="690C58FC">
            <w:pPr>
              <w:pStyle w:val="111"/>
              <w:keepNext w:val="0"/>
              <w:keepLines w:val="0"/>
              <w:suppressLineNumbers w:val="0"/>
              <w:spacing w:before="0" w:beforeAutospacing="0" w:after="0" w:afterAutospacing="0"/>
              <w:ind w:left="0" w:right="0" w:firstLine="482"/>
              <w:rPr>
                <w:rFonts w:hint="default" w:ascii="Times New Roman" w:hAnsi="Times New Roman" w:cs="Times New Roman"/>
                <w:b/>
                <w:color w:val="auto"/>
              </w:rPr>
            </w:pPr>
            <w:r>
              <w:rPr>
                <w:rFonts w:hint="default" w:ascii="Times New Roman" w:hAnsi="Times New Roman" w:cs="Times New Roman"/>
                <w:b/>
                <w:color w:val="auto"/>
              </w:rPr>
              <w:t>刺栲、印栲、红木荷群落</w:t>
            </w:r>
          </w:p>
          <w:p w14:paraId="4D97F4CB">
            <w:pPr>
              <w:pStyle w:val="111"/>
              <w:keepNext w:val="0"/>
              <w:keepLines w:val="0"/>
              <w:suppressLineNumbers w:val="0"/>
              <w:spacing w:before="0" w:beforeAutospacing="0" w:after="0" w:afterAutospacing="0"/>
              <w:ind w:left="0" w:right="0" w:firstLine="480"/>
              <w:rPr>
                <w:rFonts w:hint="default" w:ascii="Times New Roman" w:hAnsi="Times New Roman" w:cs="Times New Roman"/>
                <w:color w:val="auto"/>
              </w:rPr>
            </w:pPr>
            <w:r>
              <w:rPr>
                <w:rFonts w:hint="default" w:ascii="Times New Roman" w:hAnsi="Times New Roman" w:cs="Times New Roman"/>
                <w:color w:val="auto"/>
              </w:rPr>
              <w:t>该群落主要分布在山地区域海拔1000m以上的地带，在迎风潮湿的山坡处分布较为广泛。乔木层主要是刺栲、印栲、红木荷，另外混生有假含笑、思茅黄肉楠、黄叶树、钝叶樟、藤黄等树种。林内藤本、草本植物较多。项目区周边无分布。</w:t>
            </w:r>
          </w:p>
          <w:p w14:paraId="550B93B1">
            <w:pPr>
              <w:pStyle w:val="111"/>
              <w:keepNext w:val="0"/>
              <w:keepLines w:val="0"/>
              <w:suppressLineNumbers w:val="0"/>
              <w:spacing w:before="0" w:beforeAutospacing="0" w:after="0" w:afterAutospacing="0"/>
              <w:ind w:left="0" w:right="0" w:firstLine="482"/>
              <w:rPr>
                <w:rFonts w:hint="default" w:ascii="Times New Roman" w:hAnsi="Times New Roman" w:cs="Times New Roman"/>
                <w:b/>
                <w:color w:val="auto"/>
              </w:rPr>
            </w:pPr>
            <w:r>
              <w:rPr>
                <w:rFonts w:hint="default" w:ascii="Times New Roman" w:hAnsi="Times New Roman" w:cs="Times New Roman"/>
                <w:b/>
                <w:color w:val="auto"/>
              </w:rPr>
              <w:t>（2）热性稀树灌木草丛</w:t>
            </w:r>
          </w:p>
          <w:p w14:paraId="0103931C">
            <w:pPr>
              <w:pStyle w:val="111"/>
              <w:keepNext w:val="0"/>
              <w:keepLines w:val="0"/>
              <w:suppressLineNumbers w:val="0"/>
              <w:spacing w:before="0" w:beforeAutospacing="0" w:after="0" w:afterAutospacing="0"/>
              <w:ind w:left="0" w:right="0" w:firstLine="482"/>
              <w:rPr>
                <w:rFonts w:hint="default" w:ascii="Times New Roman" w:hAnsi="Times New Roman" w:cs="Times New Roman"/>
                <w:b/>
                <w:color w:val="auto"/>
              </w:rPr>
            </w:pPr>
            <w:r>
              <w:rPr>
                <w:rFonts w:hint="default" w:ascii="Times New Roman" w:hAnsi="Times New Roman" w:cs="Times New Roman"/>
                <w:b/>
                <w:color w:val="auto"/>
              </w:rPr>
              <w:t>类芦、大菅、粽叶芦群落</w:t>
            </w:r>
          </w:p>
          <w:p w14:paraId="69EBB4D6">
            <w:pPr>
              <w:pStyle w:val="111"/>
              <w:keepNext w:val="0"/>
              <w:keepLines w:val="0"/>
              <w:suppressLineNumbers w:val="0"/>
              <w:spacing w:before="0" w:beforeAutospacing="0" w:after="0" w:afterAutospacing="0"/>
              <w:ind w:left="0" w:right="0" w:firstLine="480"/>
              <w:rPr>
                <w:rFonts w:hint="default" w:ascii="Times New Roman" w:hAnsi="Times New Roman" w:cs="Times New Roman"/>
                <w:color w:val="auto"/>
              </w:rPr>
            </w:pPr>
            <w:r>
              <w:rPr>
                <w:rFonts w:hint="default" w:ascii="Times New Roman" w:hAnsi="Times New Roman" w:cs="Times New Roman"/>
                <w:color w:val="auto"/>
              </w:rPr>
              <w:t>本群落主要分布在丘陵低山地区，海拔700-1000m。是半常绿季雨林和落叶季雨林遭到砍烧后次生的植被。特别是村寨附近的山坡上分布较为广泛。群落以搞1-2m的高禾草为背景。草丛密集，成斑块状，构成了主要层落。草丛的主要成本为禾本科的类芦、大菅、粽叶芦、五节芒（Miscanthus floridulus）、密序野古草、大白茅（Imperata cylindrica）等。偶尔有较高的班茅（Saccharum arundinaceum）。群落中散生各种乔木，盖度不一。有些地方成为无树的高草草地，有的地方则出现以落叶树种为主的旱性疏林。在经常火烧和放牧之处，草层常在80cm以下。</w:t>
            </w:r>
          </w:p>
          <w:p w14:paraId="664F33AD">
            <w:pPr>
              <w:pStyle w:val="111"/>
              <w:keepNext w:val="0"/>
              <w:keepLines w:val="0"/>
              <w:suppressLineNumbers w:val="0"/>
              <w:spacing w:before="0" w:beforeAutospacing="0" w:after="0" w:afterAutospacing="0"/>
              <w:ind w:left="0" w:right="0" w:firstLine="482"/>
              <w:rPr>
                <w:rFonts w:hint="default" w:ascii="Times New Roman" w:hAnsi="Times New Roman" w:cs="Times New Roman"/>
                <w:b/>
                <w:color w:val="auto"/>
              </w:rPr>
            </w:pPr>
            <w:r>
              <w:rPr>
                <w:rFonts w:hint="default" w:ascii="Times New Roman" w:hAnsi="Times New Roman" w:cs="Times New Roman"/>
                <w:b/>
                <w:color w:val="auto"/>
              </w:rPr>
              <w:t>（3）次生中草草丛</w:t>
            </w:r>
          </w:p>
          <w:p w14:paraId="2CC29BB8">
            <w:pPr>
              <w:pStyle w:val="111"/>
              <w:keepNext w:val="0"/>
              <w:keepLines w:val="0"/>
              <w:suppressLineNumbers w:val="0"/>
              <w:spacing w:before="0" w:beforeAutospacing="0" w:after="0" w:afterAutospacing="0"/>
              <w:ind w:left="0" w:right="0" w:firstLine="480"/>
              <w:rPr>
                <w:rFonts w:hint="default" w:ascii="Times New Roman" w:hAnsi="Times New Roman" w:cs="Times New Roman"/>
                <w:color w:val="auto"/>
              </w:rPr>
            </w:pPr>
            <w:r>
              <w:rPr>
                <w:rFonts w:hint="default" w:ascii="Times New Roman" w:hAnsi="Times New Roman" w:cs="Times New Roman"/>
                <w:color w:val="auto"/>
              </w:rPr>
              <w:t>实际上是灌木林破坏后形成的“放牧地”。灌木有皱叶香薷等，草本层主要有刺芒野古草属</w:t>
            </w:r>
            <w:r>
              <w:rPr>
                <w:rFonts w:hint="default" w:ascii="Times New Roman" w:hAnsi="Times New Roman" w:cs="Times New Roman"/>
                <w:i/>
                <w:color w:val="auto"/>
              </w:rPr>
              <w:t>Arundinella setos</w:t>
            </w:r>
            <w:r>
              <w:rPr>
                <w:rFonts w:hint="default" w:ascii="Times New Roman" w:hAnsi="Times New Roman" w:cs="Times New Roman"/>
                <w:color w:val="auto"/>
              </w:rPr>
              <w:t>、紫茎泽兰</w:t>
            </w:r>
            <w:r>
              <w:rPr>
                <w:rFonts w:hint="default" w:ascii="Times New Roman" w:hAnsi="Times New Roman" w:cs="Times New Roman"/>
                <w:i/>
                <w:iCs/>
                <w:color w:val="auto"/>
              </w:rPr>
              <w:t>Ageratina adenophora</w:t>
            </w:r>
            <w:r>
              <w:rPr>
                <w:rFonts w:hint="default" w:ascii="Times New Roman" w:hAnsi="Times New Roman" w:cs="Times New Roman"/>
                <w:color w:val="auto"/>
              </w:rPr>
              <w:t>等。</w:t>
            </w:r>
          </w:p>
          <w:p w14:paraId="363ED5B3">
            <w:pPr>
              <w:pStyle w:val="111"/>
              <w:keepNext w:val="0"/>
              <w:keepLines w:val="0"/>
              <w:suppressLineNumbers w:val="0"/>
              <w:spacing w:before="0" w:beforeAutospacing="0" w:after="0" w:afterAutospacing="0"/>
              <w:ind w:left="0" w:right="0" w:firstLine="480"/>
              <w:rPr>
                <w:rFonts w:hint="default" w:ascii="Times New Roman" w:hAnsi="Times New Roman" w:cs="Times New Roman"/>
                <w:b/>
                <w:color w:val="auto"/>
              </w:rPr>
            </w:pPr>
            <w:r>
              <w:rPr>
                <w:rFonts w:hint="default" w:ascii="Times New Roman" w:hAnsi="Times New Roman" w:cs="Times New Roman"/>
                <w:b/>
                <w:color w:val="auto"/>
              </w:rPr>
              <w:t>（二）人工植被</w:t>
            </w:r>
          </w:p>
          <w:p w14:paraId="60C95A46">
            <w:pPr>
              <w:pStyle w:val="111"/>
              <w:keepNext w:val="0"/>
              <w:keepLines w:val="0"/>
              <w:suppressLineNumbers w:val="0"/>
              <w:spacing w:before="0" w:beforeAutospacing="0" w:after="0" w:afterAutospacing="0"/>
              <w:ind w:left="0" w:right="0" w:firstLine="480"/>
              <w:rPr>
                <w:rFonts w:hint="default" w:ascii="Times New Roman" w:hAnsi="Times New Roman" w:cs="Times New Roman"/>
                <w:color w:val="auto"/>
              </w:rPr>
            </w:pPr>
            <w:r>
              <w:rPr>
                <w:rFonts w:hint="default" w:ascii="Times New Roman" w:hAnsi="Times New Roman" w:cs="Times New Roman"/>
                <w:color w:val="auto"/>
              </w:rPr>
              <w:t>①农田植被</w:t>
            </w:r>
          </w:p>
          <w:p w14:paraId="403BEA27">
            <w:pPr>
              <w:pStyle w:val="111"/>
              <w:keepNext w:val="0"/>
              <w:keepLines w:val="0"/>
              <w:suppressLineNumbers w:val="0"/>
              <w:spacing w:before="0" w:beforeAutospacing="0" w:after="0" w:afterAutospacing="0"/>
              <w:ind w:left="0" w:right="0" w:firstLine="480"/>
              <w:rPr>
                <w:rFonts w:hint="default" w:ascii="Times New Roman" w:hAnsi="Times New Roman" w:cs="Times New Roman"/>
                <w:color w:val="auto"/>
              </w:rPr>
            </w:pPr>
            <w:r>
              <w:rPr>
                <w:rFonts w:hint="default" w:ascii="Times New Roman" w:hAnsi="Times New Roman" w:cs="Times New Roman"/>
                <w:color w:val="auto"/>
              </w:rPr>
              <w:t>旱地植被——主要分布在村寨周边，坡度较缓的山坡上，主要种植玉米、香蕉等。</w:t>
            </w:r>
          </w:p>
          <w:p w14:paraId="74898B71">
            <w:pPr>
              <w:pStyle w:val="111"/>
              <w:keepNext w:val="0"/>
              <w:keepLines w:val="0"/>
              <w:suppressLineNumbers w:val="0"/>
              <w:spacing w:before="0" w:beforeAutospacing="0" w:after="0" w:afterAutospacing="0"/>
              <w:ind w:left="0" w:right="0" w:firstLine="480"/>
              <w:rPr>
                <w:rFonts w:hint="default" w:ascii="Times New Roman" w:hAnsi="Times New Roman" w:cs="Times New Roman"/>
                <w:color w:val="auto"/>
              </w:rPr>
            </w:pPr>
            <w:r>
              <w:rPr>
                <w:rFonts w:hint="default" w:ascii="Times New Roman" w:hAnsi="Times New Roman" w:cs="Times New Roman"/>
                <w:color w:val="auto"/>
              </w:rPr>
              <w:t>②经济林</w:t>
            </w:r>
          </w:p>
          <w:p w14:paraId="16F4BE06">
            <w:pPr>
              <w:pStyle w:val="111"/>
              <w:keepNext w:val="0"/>
              <w:keepLines w:val="0"/>
              <w:suppressLineNumbers w:val="0"/>
              <w:spacing w:before="0" w:beforeAutospacing="0" w:after="0" w:afterAutospacing="0"/>
              <w:ind w:left="0" w:right="0" w:firstLine="480"/>
              <w:rPr>
                <w:rFonts w:hint="default" w:ascii="Times New Roman" w:hAnsi="Times New Roman" w:cs="Times New Roman"/>
                <w:color w:val="auto"/>
              </w:rPr>
            </w:pPr>
            <w:r>
              <w:rPr>
                <w:rFonts w:hint="default" w:ascii="Times New Roman" w:hAnsi="Times New Roman" w:cs="Times New Roman"/>
                <w:color w:val="auto"/>
              </w:rPr>
              <w:t>道路经过区域主要经济林为芒果林等，一般在村寨附近。</w:t>
            </w:r>
          </w:p>
          <w:p w14:paraId="681320C2">
            <w:pPr>
              <w:keepNext w:val="0"/>
              <w:keepLines w:val="0"/>
              <w:suppressLineNumbers w:val="0"/>
              <w:spacing w:before="0" w:beforeAutospacing="0" w:after="0" w:afterAutospacing="0" w:line="360" w:lineRule="auto"/>
              <w:ind w:left="0" w:right="0" w:firstLine="482"/>
              <w:rPr>
                <w:rFonts w:hint="default" w:ascii="Times New Roman" w:hAnsi="Times New Roman" w:cs="Times New Roman"/>
                <w:b/>
                <w:color w:val="auto"/>
                <w:kern w:val="1"/>
                <w:sz w:val="24"/>
              </w:rPr>
            </w:pPr>
            <w:r>
              <w:rPr>
                <w:rFonts w:hint="default" w:ascii="Times New Roman" w:hAnsi="Times New Roman" w:cs="Times New Roman"/>
                <w:b/>
                <w:color w:val="auto"/>
                <w:kern w:val="1"/>
                <w:sz w:val="24"/>
              </w:rPr>
              <w:t>四、动物现状调查</w:t>
            </w:r>
          </w:p>
          <w:p w14:paraId="44F00B24">
            <w:pPr>
              <w:keepNext w:val="0"/>
              <w:keepLines w:val="0"/>
              <w:suppressLineNumbers w:val="0"/>
              <w:tabs>
                <w:tab w:val="left" w:pos="1140"/>
              </w:tabs>
              <w:spacing w:before="0" w:beforeAutospacing="0" w:after="0" w:afterAutospacing="0" w:line="360" w:lineRule="auto"/>
              <w:ind w:left="0" w:right="0"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1、</w:t>
            </w:r>
            <w:r>
              <w:rPr>
                <w:rFonts w:hint="default" w:ascii="Times New Roman" w:hAnsi="Times New Roman" w:cs="Times New Roman"/>
                <w:bCs/>
                <w:color w:val="auto"/>
                <w:kern w:val="1"/>
                <w:sz w:val="24"/>
              </w:rPr>
              <w:t>对珍稀濒危物种的影响调查</w:t>
            </w:r>
          </w:p>
          <w:p w14:paraId="04DBAF79">
            <w:pPr>
              <w:keepNext w:val="0"/>
              <w:keepLines w:val="0"/>
              <w:suppressLineNumbers w:val="0"/>
              <w:tabs>
                <w:tab w:val="left" w:pos="1140"/>
              </w:tabs>
              <w:spacing w:before="0" w:beforeAutospacing="0" w:after="0" w:afterAutospacing="0" w:line="360" w:lineRule="auto"/>
              <w:ind w:left="0" w:right="0"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在本项目现场调查中，我单位调查人员做了认真的现场勘查，并积极向业主和当地群众进行询问，确定本矿山周边地区无重点保护及珍稀濒危植物分布，亦无云南省人民政府发文保护的古树名木，也无州县发文保护的古树名木。</w:t>
            </w:r>
          </w:p>
          <w:p w14:paraId="373ED960">
            <w:pPr>
              <w:keepNext w:val="0"/>
              <w:keepLines w:val="0"/>
              <w:suppressLineNumbers w:val="0"/>
              <w:tabs>
                <w:tab w:val="left" w:pos="1140"/>
              </w:tabs>
              <w:spacing w:before="0" w:beforeAutospacing="0" w:after="0" w:afterAutospacing="0" w:line="360" w:lineRule="auto"/>
              <w:ind w:left="0" w:right="0"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2、对野生动物的影响调查</w:t>
            </w:r>
          </w:p>
          <w:p w14:paraId="3A62F90A">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kern w:val="1"/>
                <w:sz w:val="24"/>
                <w:lang w:val="zh-CN"/>
              </w:rPr>
            </w:pPr>
            <w:r>
              <w:rPr>
                <w:rFonts w:hint="default" w:ascii="Times New Roman" w:hAnsi="Times New Roman" w:cs="Times New Roman"/>
                <w:color w:val="auto"/>
                <w:kern w:val="1"/>
                <w:sz w:val="24"/>
                <w:lang w:val="zh-CN"/>
              </w:rPr>
              <w:t>根据对工程评价区现场调查及文献记载，评价区分布的陆栖脊椎动物共有72种，隶属4纲、15目、36科、72属。其中两栖纲、爬行纲、鸟纲和哺乳纲中各纲下所隶属的目、科名称及属、种的数量统计均见表</w:t>
            </w:r>
            <w:r>
              <w:rPr>
                <w:rFonts w:hint="eastAsia" w:ascii="Times New Roman" w:hAnsi="Times New Roman" w:cs="Times New Roman"/>
                <w:color w:val="auto"/>
                <w:kern w:val="1"/>
                <w:sz w:val="24"/>
                <w:lang w:val="en-US" w:eastAsia="zh-CN"/>
              </w:rPr>
              <w:t>3-2</w:t>
            </w:r>
            <w:r>
              <w:rPr>
                <w:rFonts w:hint="default" w:ascii="Times New Roman" w:hAnsi="Times New Roman" w:cs="Times New Roman"/>
                <w:color w:val="auto"/>
                <w:kern w:val="1"/>
                <w:sz w:val="24"/>
                <w:lang w:val="zh-CN"/>
              </w:rPr>
              <w:t>。</w:t>
            </w:r>
          </w:p>
          <w:p w14:paraId="4C36CFF5">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kern w:val="1"/>
                <w:sz w:val="24"/>
              </w:rPr>
            </w:pPr>
            <w:r>
              <w:rPr>
                <w:rFonts w:hint="eastAsia" w:ascii="Times New Roman" w:hAnsi="Times New Roman" w:cs="Times New Roman"/>
                <w:b/>
                <w:color w:val="auto"/>
                <w:kern w:val="1"/>
                <w:sz w:val="24"/>
                <w:lang w:val="en-US" w:eastAsia="zh-CN"/>
              </w:rPr>
              <w:t xml:space="preserve"> </w:t>
            </w:r>
            <w:r>
              <w:rPr>
                <w:rFonts w:hint="default" w:ascii="Times New Roman" w:hAnsi="Times New Roman" w:cs="Times New Roman"/>
                <w:b/>
                <w:color w:val="auto"/>
                <w:kern w:val="1"/>
                <w:sz w:val="24"/>
              </w:rPr>
              <w:t>表</w:t>
            </w:r>
            <w:r>
              <w:rPr>
                <w:rFonts w:hint="eastAsia" w:ascii="Times New Roman" w:hAnsi="Times New Roman" w:cs="Times New Roman"/>
                <w:b/>
                <w:color w:val="auto"/>
                <w:kern w:val="1"/>
                <w:sz w:val="24"/>
                <w:lang w:val="en-US" w:eastAsia="zh-CN"/>
              </w:rPr>
              <w:t>3</w:t>
            </w:r>
            <w:r>
              <w:rPr>
                <w:rFonts w:hint="default" w:ascii="Times New Roman" w:hAnsi="Times New Roman" w:cs="Times New Roman"/>
                <w:b/>
                <w:color w:val="auto"/>
                <w:kern w:val="1"/>
                <w:sz w:val="24"/>
              </w:rPr>
              <w:t>-2  评价区陆栖脊椎动物各目、科中的种数统计表</w:t>
            </w:r>
          </w:p>
          <w:tbl>
            <w:tblPr>
              <w:tblStyle w:val="31"/>
              <w:tblW w:w="8358" w:type="dxa"/>
              <w:jc w:val="center"/>
              <w:tblLayout w:type="fixed"/>
              <w:tblCellMar>
                <w:top w:w="0" w:type="dxa"/>
                <w:left w:w="108" w:type="dxa"/>
                <w:bottom w:w="0" w:type="dxa"/>
                <w:right w:w="108" w:type="dxa"/>
              </w:tblCellMar>
            </w:tblPr>
            <w:tblGrid>
              <w:gridCol w:w="3370"/>
              <w:gridCol w:w="3049"/>
              <w:gridCol w:w="790"/>
              <w:gridCol w:w="1149"/>
            </w:tblGrid>
            <w:tr w14:paraId="121F3B9A">
              <w:tblPrEx>
                <w:tblCellMar>
                  <w:top w:w="0" w:type="dxa"/>
                  <w:left w:w="108" w:type="dxa"/>
                  <w:bottom w:w="0" w:type="dxa"/>
                  <w:right w:w="108" w:type="dxa"/>
                </w:tblCellMar>
              </w:tblPrEx>
              <w:trPr>
                <w:cantSplit/>
                <w:trHeight w:val="340" w:hRule="atLeast"/>
                <w:jc w:val="center"/>
              </w:trPr>
              <w:tc>
                <w:tcPr>
                  <w:tcW w:w="3370" w:type="dxa"/>
                  <w:tcBorders>
                    <w:top w:val="single" w:color="000000" w:sz="4" w:space="0"/>
                    <w:left w:val="single" w:color="000000" w:sz="4" w:space="0"/>
                    <w:bottom w:val="single" w:color="000000" w:sz="4" w:space="0"/>
                    <w:right w:val="single" w:color="000000" w:sz="4" w:space="0"/>
                  </w:tcBorders>
                  <w:noWrap w:val="0"/>
                  <w:vAlign w:val="center"/>
                </w:tcPr>
                <w:p w14:paraId="0D42822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目</w:t>
                  </w: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74B8D90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科</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349F841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属</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7010A4A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种</w:t>
                  </w:r>
                </w:p>
              </w:tc>
            </w:tr>
            <w:tr w14:paraId="03168D6A">
              <w:tblPrEx>
                <w:tblCellMar>
                  <w:top w:w="0" w:type="dxa"/>
                  <w:left w:w="108" w:type="dxa"/>
                  <w:bottom w:w="0" w:type="dxa"/>
                  <w:right w:w="108" w:type="dxa"/>
                </w:tblCellMar>
              </w:tblPrEx>
              <w:trPr>
                <w:cantSplit/>
                <w:trHeight w:val="340" w:hRule="atLeast"/>
                <w:jc w:val="center"/>
              </w:trPr>
              <w:tc>
                <w:tcPr>
                  <w:tcW w:w="6419" w:type="dxa"/>
                  <w:gridSpan w:val="2"/>
                  <w:tcBorders>
                    <w:top w:val="single" w:color="000000" w:sz="4" w:space="0"/>
                    <w:left w:val="single" w:color="000000" w:sz="4" w:space="0"/>
                    <w:bottom w:val="single" w:color="000000" w:sz="4" w:space="0"/>
                    <w:right w:val="single" w:color="000000" w:sz="4" w:space="0"/>
                  </w:tcBorders>
                  <w:noWrap w:val="0"/>
                  <w:vAlign w:val="center"/>
                </w:tcPr>
                <w:p w14:paraId="758AE56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两栖纲AMPHIBIA</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7705329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　</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5CB9AA9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　</w:t>
                  </w:r>
                </w:p>
              </w:tc>
            </w:tr>
            <w:tr w14:paraId="10AB83FD">
              <w:tblPrEx>
                <w:tblCellMar>
                  <w:top w:w="0" w:type="dxa"/>
                  <w:left w:w="108" w:type="dxa"/>
                  <w:bottom w:w="0" w:type="dxa"/>
                  <w:right w:w="108" w:type="dxa"/>
                </w:tblCellMar>
              </w:tblPrEx>
              <w:trPr>
                <w:cantSplit/>
                <w:trHeight w:val="340" w:hRule="atLeast"/>
                <w:jc w:val="center"/>
              </w:trPr>
              <w:tc>
                <w:tcPr>
                  <w:tcW w:w="3370" w:type="dxa"/>
                  <w:vMerge w:val="restart"/>
                  <w:tcBorders>
                    <w:top w:val="single" w:color="000000" w:sz="4" w:space="0"/>
                    <w:left w:val="single" w:color="000000" w:sz="4" w:space="0"/>
                    <w:bottom w:val="single" w:color="000000" w:sz="4" w:space="0"/>
                    <w:right w:val="single" w:color="000000" w:sz="4" w:space="0"/>
                  </w:tcBorders>
                  <w:noWrap w:val="0"/>
                  <w:vAlign w:val="center"/>
                </w:tcPr>
                <w:p w14:paraId="18AC6A3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无尾目ANURA</w:t>
                  </w: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1D2D026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蟾蜍科Bufonidae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5913AEE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489D08E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2909A53A">
              <w:tblPrEx>
                <w:tblCellMar>
                  <w:top w:w="0" w:type="dxa"/>
                  <w:left w:w="108" w:type="dxa"/>
                  <w:bottom w:w="0" w:type="dxa"/>
                  <w:right w:w="108" w:type="dxa"/>
                </w:tblCellMar>
              </w:tblPrEx>
              <w:trPr>
                <w:cantSplit/>
                <w:trHeight w:val="340" w:hRule="atLeast"/>
                <w:jc w:val="center"/>
              </w:trPr>
              <w:tc>
                <w:tcPr>
                  <w:tcW w:w="33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7122BA">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729C920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树蟾科Hylidae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4D29B31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6B92BC3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44581D5F">
              <w:tblPrEx>
                <w:tblCellMar>
                  <w:top w:w="0" w:type="dxa"/>
                  <w:left w:w="108" w:type="dxa"/>
                  <w:bottom w:w="0" w:type="dxa"/>
                  <w:right w:w="108" w:type="dxa"/>
                </w:tblCellMar>
              </w:tblPrEx>
              <w:trPr>
                <w:cantSplit/>
                <w:trHeight w:val="340" w:hRule="atLeast"/>
                <w:jc w:val="center"/>
              </w:trPr>
              <w:tc>
                <w:tcPr>
                  <w:tcW w:w="33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79600B">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61F67D9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蛙科Ranidae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1641448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5140A95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r>
            <w:tr w14:paraId="67E3AAF7">
              <w:tblPrEx>
                <w:tblCellMar>
                  <w:top w:w="0" w:type="dxa"/>
                  <w:left w:w="108" w:type="dxa"/>
                  <w:bottom w:w="0" w:type="dxa"/>
                  <w:right w:w="108" w:type="dxa"/>
                </w:tblCellMar>
              </w:tblPrEx>
              <w:trPr>
                <w:cantSplit/>
                <w:trHeight w:val="340" w:hRule="atLeast"/>
                <w:jc w:val="center"/>
              </w:trPr>
              <w:tc>
                <w:tcPr>
                  <w:tcW w:w="33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62F737">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367AEF2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树蛙科Rhacophoridae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2C07849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10400EC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5DB0BBA4">
              <w:tblPrEx>
                <w:tblCellMar>
                  <w:top w:w="0" w:type="dxa"/>
                  <w:left w:w="108" w:type="dxa"/>
                  <w:bottom w:w="0" w:type="dxa"/>
                  <w:right w:w="108" w:type="dxa"/>
                </w:tblCellMar>
              </w:tblPrEx>
              <w:trPr>
                <w:cantSplit/>
                <w:trHeight w:val="340" w:hRule="atLeast"/>
                <w:jc w:val="center"/>
              </w:trPr>
              <w:tc>
                <w:tcPr>
                  <w:tcW w:w="6419" w:type="dxa"/>
                  <w:gridSpan w:val="2"/>
                  <w:tcBorders>
                    <w:top w:val="single" w:color="000000" w:sz="4" w:space="0"/>
                    <w:left w:val="single" w:color="000000" w:sz="4" w:space="0"/>
                    <w:bottom w:val="single" w:color="000000" w:sz="4" w:space="0"/>
                    <w:right w:val="single" w:color="000000" w:sz="4" w:space="0"/>
                  </w:tcBorders>
                  <w:noWrap w:val="0"/>
                  <w:vAlign w:val="center"/>
                </w:tcPr>
                <w:p w14:paraId="3216A34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小计：两栖纲，1目，4科</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75BA6C7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2E29343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r>
            <w:tr w14:paraId="11C027B7">
              <w:tblPrEx>
                <w:tblCellMar>
                  <w:top w:w="0" w:type="dxa"/>
                  <w:left w:w="108" w:type="dxa"/>
                  <w:bottom w:w="0" w:type="dxa"/>
                  <w:right w:w="108" w:type="dxa"/>
                </w:tblCellMar>
              </w:tblPrEx>
              <w:trPr>
                <w:cantSplit/>
                <w:trHeight w:val="340" w:hRule="atLeast"/>
                <w:jc w:val="center"/>
              </w:trPr>
              <w:tc>
                <w:tcPr>
                  <w:tcW w:w="6419" w:type="dxa"/>
                  <w:gridSpan w:val="2"/>
                  <w:tcBorders>
                    <w:top w:val="single" w:color="000000" w:sz="4" w:space="0"/>
                    <w:left w:val="single" w:color="000000" w:sz="4" w:space="0"/>
                    <w:bottom w:val="single" w:color="000000" w:sz="4" w:space="0"/>
                    <w:right w:val="single" w:color="000000" w:sz="4" w:space="0"/>
                  </w:tcBorders>
                  <w:noWrap w:val="0"/>
                  <w:vAlign w:val="center"/>
                </w:tcPr>
                <w:p w14:paraId="7B9023D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爬行纲 REPTILIA</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2744581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　</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0109D77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　</w:t>
                  </w:r>
                </w:p>
              </w:tc>
            </w:tr>
            <w:tr w14:paraId="77F8EABD">
              <w:tblPrEx>
                <w:tblCellMar>
                  <w:top w:w="0" w:type="dxa"/>
                  <w:left w:w="108" w:type="dxa"/>
                  <w:bottom w:w="0" w:type="dxa"/>
                  <w:right w:w="108" w:type="dxa"/>
                </w:tblCellMar>
              </w:tblPrEx>
              <w:trPr>
                <w:cantSplit/>
                <w:trHeight w:val="340" w:hRule="atLeast"/>
                <w:jc w:val="center"/>
              </w:trPr>
              <w:tc>
                <w:tcPr>
                  <w:tcW w:w="3370" w:type="dxa"/>
                  <w:vMerge w:val="restart"/>
                  <w:tcBorders>
                    <w:top w:val="single" w:color="000000" w:sz="4" w:space="0"/>
                    <w:left w:val="single" w:color="000000" w:sz="4" w:space="0"/>
                    <w:bottom w:val="single" w:color="000000" w:sz="4" w:space="0"/>
                    <w:right w:val="single" w:color="000000" w:sz="4" w:space="0"/>
                  </w:tcBorders>
                  <w:noWrap w:val="0"/>
                  <w:vAlign w:val="center"/>
                </w:tcPr>
                <w:p w14:paraId="4811A83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蜥蜴目LACERTIFORMES</w:t>
                  </w: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6955C53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鬣蜥科Agamidae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2619F13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530AF40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5B322934">
              <w:tblPrEx>
                <w:tblCellMar>
                  <w:top w:w="0" w:type="dxa"/>
                  <w:left w:w="108" w:type="dxa"/>
                  <w:bottom w:w="0" w:type="dxa"/>
                  <w:right w:w="108" w:type="dxa"/>
                </w:tblCellMar>
              </w:tblPrEx>
              <w:trPr>
                <w:cantSplit/>
                <w:trHeight w:val="340" w:hRule="atLeast"/>
                <w:jc w:val="center"/>
              </w:trPr>
              <w:tc>
                <w:tcPr>
                  <w:tcW w:w="33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09A162">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7A530AE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壁虎科 Gekkonidae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031E307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001BD38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46A7D13E">
              <w:tblPrEx>
                <w:tblCellMar>
                  <w:top w:w="0" w:type="dxa"/>
                  <w:left w:w="108" w:type="dxa"/>
                  <w:bottom w:w="0" w:type="dxa"/>
                  <w:right w:w="108" w:type="dxa"/>
                </w:tblCellMar>
              </w:tblPrEx>
              <w:trPr>
                <w:cantSplit/>
                <w:trHeight w:val="340" w:hRule="atLeast"/>
                <w:jc w:val="center"/>
              </w:trPr>
              <w:tc>
                <w:tcPr>
                  <w:tcW w:w="33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FA3A2E">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5F04DFE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石龙子科Scinncidae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70AAE0F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6261D1F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65758DFD">
              <w:tblPrEx>
                <w:tblCellMar>
                  <w:top w:w="0" w:type="dxa"/>
                  <w:left w:w="108" w:type="dxa"/>
                  <w:bottom w:w="0" w:type="dxa"/>
                  <w:right w:w="108" w:type="dxa"/>
                </w:tblCellMar>
              </w:tblPrEx>
              <w:trPr>
                <w:cantSplit/>
                <w:trHeight w:val="340" w:hRule="atLeast"/>
                <w:jc w:val="center"/>
              </w:trPr>
              <w:tc>
                <w:tcPr>
                  <w:tcW w:w="3370" w:type="dxa"/>
                  <w:vMerge w:val="restart"/>
                  <w:tcBorders>
                    <w:top w:val="single" w:color="000000" w:sz="4" w:space="0"/>
                    <w:left w:val="single" w:color="000000" w:sz="4" w:space="0"/>
                    <w:bottom w:val="single" w:color="000000" w:sz="4" w:space="0"/>
                    <w:right w:val="single" w:color="000000" w:sz="4" w:space="0"/>
                  </w:tcBorders>
                  <w:noWrap w:val="0"/>
                  <w:vAlign w:val="center"/>
                </w:tcPr>
                <w:p w14:paraId="0B94106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蛇目SERPENTIFORMES</w:t>
                  </w: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44A6E6E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游蛇科Colubridae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6726F31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1B3D16D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r>
            <w:tr w14:paraId="076C1312">
              <w:tblPrEx>
                <w:tblCellMar>
                  <w:top w:w="0" w:type="dxa"/>
                  <w:left w:w="108" w:type="dxa"/>
                  <w:bottom w:w="0" w:type="dxa"/>
                  <w:right w:w="108" w:type="dxa"/>
                </w:tblCellMar>
              </w:tblPrEx>
              <w:trPr>
                <w:cantSplit/>
                <w:trHeight w:val="340" w:hRule="atLeast"/>
                <w:jc w:val="center"/>
              </w:trPr>
              <w:tc>
                <w:tcPr>
                  <w:tcW w:w="33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1F55BF">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5CB4926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蝰科Viperidae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4AF1C0A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0E918E7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r>
            <w:tr w14:paraId="2080D9CD">
              <w:tblPrEx>
                <w:tblCellMar>
                  <w:top w:w="0" w:type="dxa"/>
                  <w:left w:w="108" w:type="dxa"/>
                  <w:bottom w:w="0" w:type="dxa"/>
                  <w:right w:w="108" w:type="dxa"/>
                </w:tblCellMar>
              </w:tblPrEx>
              <w:trPr>
                <w:cantSplit/>
                <w:trHeight w:val="340" w:hRule="atLeast"/>
                <w:jc w:val="center"/>
              </w:trPr>
              <w:tc>
                <w:tcPr>
                  <w:tcW w:w="6419" w:type="dxa"/>
                  <w:gridSpan w:val="2"/>
                  <w:tcBorders>
                    <w:top w:val="single" w:color="000000" w:sz="4" w:space="0"/>
                    <w:left w:val="single" w:color="000000" w:sz="4" w:space="0"/>
                    <w:bottom w:val="single" w:color="000000" w:sz="4" w:space="0"/>
                    <w:right w:val="single" w:color="000000" w:sz="4" w:space="0"/>
                  </w:tcBorders>
                  <w:noWrap w:val="0"/>
                  <w:vAlign w:val="center"/>
                </w:tcPr>
                <w:p w14:paraId="56792B3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小计：爬行纲，2目，5科</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2C8ABB1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0A565AD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r>
            <w:tr w14:paraId="44E71CED">
              <w:tblPrEx>
                <w:tblCellMar>
                  <w:top w:w="0" w:type="dxa"/>
                  <w:left w:w="108" w:type="dxa"/>
                  <w:bottom w:w="0" w:type="dxa"/>
                  <w:right w:w="108" w:type="dxa"/>
                </w:tblCellMar>
              </w:tblPrEx>
              <w:trPr>
                <w:cantSplit/>
                <w:trHeight w:val="340" w:hRule="atLeast"/>
                <w:jc w:val="center"/>
              </w:trPr>
              <w:tc>
                <w:tcPr>
                  <w:tcW w:w="6419" w:type="dxa"/>
                  <w:gridSpan w:val="2"/>
                  <w:tcBorders>
                    <w:top w:val="single" w:color="000000" w:sz="4" w:space="0"/>
                    <w:left w:val="single" w:color="000000" w:sz="4" w:space="0"/>
                    <w:bottom w:val="single" w:color="000000" w:sz="4" w:space="0"/>
                    <w:right w:val="single" w:color="000000" w:sz="4" w:space="0"/>
                  </w:tcBorders>
                  <w:noWrap w:val="0"/>
                  <w:vAlign w:val="center"/>
                </w:tcPr>
                <w:p w14:paraId="565A60C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鸟纲AVES</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5DC530A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　</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11907F3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　</w:t>
                  </w:r>
                </w:p>
              </w:tc>
            </w:tr>
            <w:tr w14:paraId="14744784">
              <w:tblPrEx>
                <w:tblCellMar>
                  <w:top w:w="0" w:type="dxa"/>
                  <w:left w:w="108" w:type="dxa"/>
                  <w:bottom w:w="0" w:type="dxa"/>
                  <w:right w:w="108" w:type="dxa"/>
                </w:tblCellMar>
              </w:tblPrEx>
              <w:trPr>
                <w:cantSplit/>
                <w:trHeight w:val="340" w:hRule="atLeast"/>
                <w:jc w:val="center"/>
              </w:trPr>
              <w:tc>
                <w:tcPr>
                  <w:tcW w:w="3370" w:type="dxa"/>
                  <w:tcBorders>
                    <w:top w:val="single" w:color="000000" w:sz="4" w:space="0"/>
                    <w:left w:val="single" w:color="000000" w:sz="4" w:space="0"/>
                    <w:bottom w:val="single" w:color="000000" w:sz="4" w:space="0"/>
                    <w:right w:val="single" w:color="000000" w:sz="4" w:space="0"/>
                  </w:tcBorders>
                  <w:noWrap w:val="0"/>
                  <w:vAlign w:val="center"/>
                </w:tcPr>
                <w:p w14:paraId="184CB35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目 PODICIPEDIFORMES</w:t>
                  </w: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0FF8AA4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科Podicipedidae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66A6596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6236924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422E827B">
              <w:tblPrEx>
                <w:tblCellMar>
                  <w:top w:w="0" w:type="dxa"/>
                  <w:left w:w="108" w:type="dxa"/>
                  <w:bottom w:w="0" w:type="dxa"/>
                  <w:right w:w="108" w:type="dxa"/>
                </w:tblCellMar>
              </w:tblPrEx>
              <w:trPr>
                <w:cantSplit/>
                <w:trHeight w:val="340" w:hRule="atLeast"/>
                <w:jc w:val="center"/>
              </w:trPr>
              <w:tc>
                <w:tcPr>
                  <w:tcW w:w="3370" w:type="dxa"/>
                  <w:tcBorders>
                    <w:top w:val="single" w:color="000000" w:sz="4" w:space="0"/>
                    <w:left w:val="single" w:color="000000" w:sz="4" w:space="0"/>
                    <w:bottom w:val="single" w:color="000000" w:sz="4" w:space="0"/>
                    <w:right w:val="single" w:color="000000" w:sz="4" w:space="0"/>
                  </w:tcBorders>
                  <w:noWrap w:val="0"/>
                  <w:vAlign w:val="center"/>
                </w:tcPr>
                <w:p w14:paraId="60065D1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鹳形目 CICONIFORMES</w:t>
                  </w: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65E7FC2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鹭科 Ardeidae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27DE037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6B4A11E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r>
            <w:tr w14:paraId="695AC3EB">
              <w:tblPrEx>
                <w:tblCellMar>
                  <w:top w:w="0" w:type="dxa"/>
                  <w:left w:w="108" w:type="dxa"/>
                  <w:bottom w:w="0" w:type="dxa"/>
                  <w:right w:w="108" w:type="dxa"/>
                </w:tblCellMar>
              </w:tblPrEx>
              <w:trPr>
                <w:cantSplit/>
                <w:trHeight w:val="340" w:hRule="atLeast"/>
                <w:jc w:val="center"/>
              </w:trPr>
              <w:tc>
                <w:tcPr>
                  <w:tcW w:w="3370" w:type="dxa"/>
                  <w:vMerge w:val="restart"/>
                  <w:tcBorders>
                    <w:top w:val="single" w:color="000000" w:sz="4" w:space="0"/>
                    <w:left w:val="single" w:color="000000" w:sz="4" w:space="0"/>
                    <w:bottom w:val="single" w:color="000000" w:sz="4" w:space="0"/>
                    <w:right w:val="single" w:color="000000" w:sz="4" w:space="0"/>
                  </w:tcBorders>
                  <w:noWrap w:val="0"/>
                  <w:vAlign w:val="center"/>
                </w:tcPr>
                <w:p w14:paraId="3927F76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隼形目FALCONIFORMES</w:t>
                  </w: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51D4809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鹰科Accipitridae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3A8C765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3CFDBC6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r>
            <w:tr w14:paraId="1D1C8465">
              <w:tblPrEx>
                <w:tblCellMar>
                  <w:top w:w="0" w:type="dxa"/>
                  <w:left w:w="108" w:type="dxa"/>
                  <w:bottom w:w="0" w:type="dxa"/>
                  <w:right w:w="108" w:type="dxa"/>
                </w:tblCellMar>
              </w:tblPrEx>
              <w:trPr>
                <w:cantSplit/>
                <w:trHeight w:val="340" w:hRule="atLeast"/>
                <w:jc w:val="center"/>
              </w:trPr>
              <w:tc>
                <w:tcPr>
                  <w:tcW w:w="33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7C9D4F">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53EE29E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隼科 Falconidae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647116F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1BE09A3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0D5E3520">
              <w:tblPrEx>
                <w:tblCellMar>
                  <w:top w:w="0" w:type="dxa"/>
                  <w:left w:w="108" w:type="dxa"/>
                  <w:bottom w:w="0" w:type="dxa"/>
                  <w:right w:w="108" w:type="dxa"/>
                </w:tblCellMar>
              </w:tblPrEx>
              <w:trPr>
                <w:cantSplit/>
                <w:trHeight w:val="340" w:hRule="atLeast"/>
                <w:jc w:val="center"/>
              </w:trPr>
              <w:tc>
                <w:tcPr>
                  <w:tcW w:w="3370" w:type="dxa"/>
                  <w:tcBorders>
                    <w:top w:val="single" w:color="000000" w:sz="4" w:space="0"/>
                    <w:left w:val="single" w:color="000000" w:sz="4" w:space="0"/>
                    <w:bottom w:val="single" w:color="000000" w:sz="4" w:space="0"/>
                    <w:right w:val="single" w:color="000000" w:sz="4" w:space="0"/>
                  </w:tcBorders>
                  <w:noWrap w:val="0"/>
                  <w:vAlign w:val="center"/>
                </w:tcPr>
                <w:p w14:paraId="59A12FF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鸡形目GALLIFORMES</w:t>
                  </w: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0459E59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雉科Phasianidae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07B874B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2BEA158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42DAF14E">
              <w:tblPrEx>
                <w:tblCellMar>
                  <w:top w:w="0" w:type="dxa"/>
                  <w:left w:w="108" w:type="dxa"/>
                  <w:bottom w:w="0" w:type="dxa"/>
                  <w:right w:w="108" w:type="dxa"/>
                </w:tblCellMar>
              </w:tblPrEx>
              <w:trPr>
                <w:cantSplit/>
                <w:trHeight w:val="340" w:hRule="atLeast"/>
                <w:jc w:val="center"/>
              </w:trPr>
              <w:tc>
                <w:tcPr>
                  <w:tcW w:w="3370" w:type="dxa"/>
                  <w:tcBorders>
                    <w:top w:val="single" w:color="000000" w:sz="4" w:space="0"/>
                    <w:left w:val="single" w:color="000000" w:sz="4" w:space="0"/>
                    <w:bottom w:val="single" w:color="000000" w:sz="4" w:space="0"/>
                    <w:right w:val="single" w:color="000000" w:sz="4" w:space="0"/>
                  </w:tcBorders>
                  <w:noWrap w:val="0"/>
                  <w:vAlign w:val="center"/>
                </w:tcPr>
                <w:p w14:paraId="47CE56D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鸽形目COLUMBIFORMES</w:t>
                  </w: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7C274F2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鸠鸽科Columbidae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53684F6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552DCE9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r>
            <w:tr w14:paraId="7C752D0E">
              <w:tblPrEx>
                <w:tblCellMar>
                  <w:top w:w="0" w:type="dxa"/>
                  <w:left w:w="108" w:type="dxa"/>
                  <w:bottom w:w="0" w:type="dxa"/>
                  <w:right w:w="108" w:type="dxa"/>
                </w:tblCellMar>
              </w:tblPrEx>
              <w:trPr>
                <w:cantSplit/>
                <w:trHeight w:val="340" w:hRule="atLeast"/>
                <w:jc w:val="center"/>
              </w:trPr>
              <w:tc>
                <w:tcPr>
                  <w:tcW w:w="3370" w:type="dxa"/>
                  <w:tcBorders>
                    <w:top w:val="single" w:color="000000" w:sz="4" w:space="0"/>
                    <w:left w:val="single" w:color="000000" w:sz="4" w:space="0"/>
                    <w:bottom w:val="single" w:color="000000" w:sz="4" w:space="0"/>
                    <w:right w:val="single" w:color="000000" w:sz="4" w:space="0"/>
                  </w:tcBorders>
                  <w:noWrap w:val="0"/>
                  <w:vAlign w:val="center"/>
                </w:tcPr>
                <w:p w14:paraId="216A3F9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鹃形目CUCULIFORMES</w:t>
                  </w: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4EC178B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杜鹃科Cuculidae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52CB766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61E5437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4BB9D5DF">
              <w:tblPrEx>
                <w:tblCellMar>
                  <w:top w:w="0" w:type="dxa"/>
                  <w:left w:w="108" w:type="dxa"/>
                  <w:bottom w:w="0" w:type="dxa"/>
                  <w:right w:w="108" w:type="dxa"/>
                </w:tblCellMar>
              </w:tblPrEx>
              <w:trPr>
                <w:cantSplit/>
                <w:trHeight w:val="340" w:hRule="atLeast"/>
                <w:jc w:val="center"/>
              </w:trPr>
              <w:tc>
                <w:tcPr>
                  <w:tcW w:w="3370" w:type="dxa"/>
                  <w:vMerge w:val="restart"/>
                  <w:tcBorders>
                    <w:top w:val="single" w:color="000000" w:sz="4" w:space="0"/>
                    <w:left w:val="single" w:color="000000" w:sz="4" w:space="0"/>
                    <w:bottom w:val="single" w:color="000000" w:sz="4" w:space="0"/>
                    <w:right w:val="single" w:color="000000" w:sz="4" w:space="0"/>
                  </w:tcBorders>
                  <w:noWrap w:val="0"/>
                  <w:vAlign w:val="center"/>
                </w:tcPr>
                <w:p w14:paraId="3168246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佛法僧目CORACIIFORMES</w:t>
                  </w: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19736C3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翠鸟科Alcedinidae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12C64D7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48E4004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r>
            <w:tr w14:paraId="4B5C56C0">
              <w:tblPrEx>
                <w:tblCellMar>
                  <w:top w:w="0" w:type="dxa"/>
                  <w:left w:w="108" w:type="dxa"/>
                  <w:bottom w:w="0" w:type="dxa"/>
                  <w:right w:w="108" w:type="dxa"/>
                </w:tblCellMar>
              </w:tblPrEx>
              <w:trPr>
                <w:cantSplit/>
                <w:trHeight w:val="340" w:hRule="atLeast"/>
                <w:jc w:val="center"/>
              </w:trPr>
              <w:tc>
                <w:tcPr>
                  <w:tcW w:w="33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F703BA">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36A3CE6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戴胜科Upupidae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1329957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08B8C3E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7BD4C6F0">
              <w:tblPrEx>
                <w:tblCellMar>
                  <w:top w:w="0" w:type="dxa"/>
                  <w:left w:w="108" w:type="dxa"/>
                  <w:bottom w:w="0" w:type="dxa"/>
                  <w:right w:w="108" w:type="dxa"/>
                </w:tblCellMar>
              </w:tblPrEx>
              <w:trPr>
                <w:cantSplit/>
                <w:trHeight w:val="340" w:hRule="atLeast"/>
                <w:jc w:val="center"/>
              </w:trPr>
              <w:tc>
                <w:tcPr>
                  <w:tcW w:w="3370" w:type="dxa"/>
                  <w:vMerge w:val="restart"/>
                  <w:tcBorders>
                    <w:top w:val="single" w:color="000000" w:sz="4" w:space="0"/>
                    <w:left w:val="single" w:color="000000" w:sz="4" w:space="0"/>
                    <w:bottom w:val="single" w:color="000000" w:sz="4" w:space="0"/>
                    <w:right w:val="single" w:color="000000" w:sz="4" w:space="0"/>
                  </w:tcBorders>
                  <w:noWrap w:val="0"/>
                  <w:vAlign w:val="center"/>
                </w:tcPr>
                <w:p w14:paraId="4AB6CF6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形目PICIFORMES</w:t>
                  </w: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113C0BA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须科 Capitonidae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0646400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1F7ED60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2AC407DC">
              <w:tblPrEx>
                <w:tblCellMar>
                  <w:top w:w="0" w:type="dxa"/>
                  <w:left w:w="108" w:type="dxa"/>
                  <w:bottom w:w="0" w:type="dxa"/>
                  <w:right w:w="108" w:type="dxa"/>
                </w:tblCellMar>
              </w:tblPrEx>
              <w:trPr>
                <w:cantSplit/>
                <w:trHeight w:val="340" w:hRule="atLeast"/>
                <w:jc w:val="center"/>
              </w:trPr>
              <w:tc>
                <w:tcPr>
                  <w:tcW w:w="33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0F5E29">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2A72AAF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啄木鸟科Picidae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4667414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7BF9DED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3037FE63">
              <w:tblPrEx>
                <w:tblCellMar>
                  <w:top w:w="0" w:type="dxa"/>
                  <w:left w:w="108" w:type="dxa"/>
                  <w:bottom w:w="0" w:type="dxa"/>
                  <w:right w:w="108" w:type="dxa"/>
                </w:tblCellMar>
              </w:tblPrEx>
              <w:trPr>
                <w:cantSplit/>
                <w:trHeight w:val="340" w:hRule="atLeast"/>
                <w:jc w:val="center"/>
              </w:trPr>
              <w:tc>
                <w:tcPr>
                  <w:tcW w:w="3370" w:type="dxa"/>
                  <w:vMerge w:val="restart"/>
                  <w:tcBorders>
                    <w:top w:val="single" w:color="000000" w:sz="4" w:space="0"/>
                    <w:left w:val="single" w:color="000000" w:sz="4" w:space="0"/>
                    <w:bottom w:val="single" w:color="000000" w:sz="4" w:space="0"/>
                    <w:right w:val="single" w:color="000000" w:sz="4" w:space="0"/>
                  </w:tcBorders>
                  <w:noWrap w:val="0"/>
                  <w:vAlign w:val="center"/>
                </w:tcPr>
                <w:p w14:paraId="54A663F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雀形目PASSERIFORMES</w:t>
                  </w: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0E95A63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燕科Hirundinidae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0ED2E90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4C4C4B5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17A68869">
              <w:tblPrEx>
                <w:tblCellMar>
                  <w:top w:w="0" w:type="dxa"/>
                  <w:left w:w="108" w:type="dxa"/>
                  <w:bottom w:w="0" w:type="dxa"/>
                  <w:right w:w="108" w:type="dxa"/>
                </w:tblCellMar>
              </w:tblPrEx>
              <w:trPr>
                <w:cantSplit/>
                <w:trHeight w:val="340" w:hRule="atLeast"/>
                <w:jc w:val="center"/>
              </w:trPr>
              <w:tc>
                <w:tcPr>
                  <w:tcW w:w="33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DE470F">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72D9711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山椒鸟科Campephagidae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4CDD45A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0073B94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r>
            <w:tr w14:paraId="3219D3A3">
              <w:tblPrEx>
                <w:tblCellMar>
                  <w:top w:w="0" w:type="dxa"/>
                  <w:left w:w="108" w:type="dxa"/>
                  <w:bottom w:w="0" w:type="dxa"/>
                  <w:right w:w="108" w:type="dxa"/>
                </w:tblCellMar>
              </w:tblPrEx>
              <w:trPr>
                <w:cantSplit/>
                <w:trHeight w:val="340" w:hRule="atLeast"/>
                <w:jc w:val="center"/>
              </w:trPr>
              <w:tc>
                <w:tcPr>
                  <w:tcW w:w="33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B01E73">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4071DEB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鹎科Pycnontidae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1C9E113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37DDFA5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r>
            <w:tr w14:paraId="0C65B3D4">
              <w:tblPrEx>
                <w:tblCellMar>
                  <w:top w:w="0" w:type="dxa"/>
                  <w:left w:w="108" w:type="dxa"/>
                  <w:bottom w:w="0" w:type="dxa"/>
                  <w:right w:w="108" w:type="dxa"/>
                </w:tblCellMar>
              </w:tblPrEx>
              <w:trPr>
                <w:cantSplit/>
                <w:trHeight w:val="340" w:hRule="atLeast"/>
                <w:jc w:val="center"/>
              </w:trPr>
              <w:tc>
                <w:tcPr>
                  <w:tcW w:w="33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D53CB2">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1908F0F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伯劳科Laniidae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6EA76CF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522EB90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582C08BB">
              <w:tblPrEx>
                <w:tblCellMar>
                  <w:top w:w="0" w:type="dxa"/>
                  <w:left w:w="108" w:type="dxa"/>
                  <w:bottom w:w="0" w:type="dxa"/>
                  <w:right w:w="108" w:type="dxa"/>
                </w:tblCellMar>
              </w:tblPrEx>
              <w:trPr>
                <w:cantSplit/>
                <w:trHeight w:val="340" w:hRule="atLeast"/>
                <w:jc w:val="center"/>
              </w:trPr>
              <w:tc>
                <w:tcPr>
                  <w:tcW w:w="33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58ADB0">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7CB9DC5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黄鹂科 Oriolidae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725ACB2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5CBE846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540946F1">
              <w:tblPrEx>
                <w:tblCellMar>
                  <w:top w:w="0" w:type="dxa"/>
                  <w:left w:w="108" w:type="dxa"/>
                  <w:bottom w:w="0" w:type="dxa"/>
                  <w:right w:w="108" w:type="dxa"/>
                </w:tblCellMar>
              </w:tblPrEx>
              <w:trPr>
                <w:cantSplit/>
                <w:trHeight w:val="340" w:hRule="atLeast"/>
                <w:jc w:val="center"/>
              </w:trPr>
              <w:tc>
                <w:tcPr>
                  <w:tcW w:w="33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8B4358">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7B6538F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卷尾科Dicruridae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39F159F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0DEA7A4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r>
            <w:tr w14:paraId="62BA820C">
              <w:tblPrEx>
                <w:tblCellMar>
                  <w:top w:w="0" w:type="dxa"/>
                  <w:left w:w="108" w:type="dxa"/>
                  <w:bottom w:w="0" w:type="dxa"/>
                  <w:right w:w="108" w:type="dxa"/>
                </w:tblCellMar>
              </w:tblPrEx>
              <w:trPr>
                <w:cantSplit/>
                <w:trHeight w:val="340" w:hRule="atLeast"/>
                <w:jc w:val="center"/>
              </w:trPr>
              <w:tc>
                <w:tcPr>
                  <w:tcW w:w="33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3F0D92">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105DF94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鸦科Corvidae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02B2FF0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7ACA727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r>
            <w:tr w14:paraId="743245BD">
              <w:tblPrEx>
                <w:tblCellMar>
                  <w:top w:w="0" w:type="dxa"/>
                  <w:left w:w="108" w:type="dxa"/>
                  <w:bottom w:w="0" w:type="dxa"/>
                  <w:right w:w="108" w:type="dxa"/>
                </w:tblCellMar>
              </w:tblPrEx>
              <w:trPr>
                <w:cantSplit/>
                <w:trHeight w:val="340" w:hRule="atLeast"/>
                <w:jc w:val="center"/>
              </w:trPr>
              <w:tc>
                <w:tcPr>
                  <w:tcW w:w="33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7543E2">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53F71F1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鹟科Muscicapidae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7E5F14D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14</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5C89607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r>
            <w:tr w14:paraId="168E664A">
              <w:tblPrEx>
                <w:tblCellMar>
                  <w:top w:w="0" w:type="dxa"/>
                  <w:left w:w="108" w:type="dxa"/>
                  <w:bottom w:w="0" w:type="dxa"/>
                  <w:right w:w="108" w:type="dxa"/>
                </w:tblCellMar>
              </w:tblPrEx>
              <w:trPr>
                <w:cantSplit/>
                <w:trHeight w:val="340" w:hRule="atLeast"/>
                <w:jc w:val="center"/>
              </w:trPr>
              <w:tc>
                <w:tcPr>
                  <w:tcW w:w="33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A67CB5">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399CCA4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鸫亚科Turdinae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1B2245B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15BBE6E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r>
            <w:tr w14:paraId="29D3D68C">
              <w:tblPrEx>
                <w:tblCellMar>
                  <w:top w:w="0" w:type="dxa"/>
                  <w:left w:w="108" w:type="dxa"/>
                  <w:bottom w:w="0" w:type="dxa"/>
                  <w:right w:w="108" w:type="dxa"/>
                </w:tblCellMar>
              </w:tblPrEx>
              <w:trPr>
                <w:cantSplit/>
                <w:trHeight w:val="340" w:hRule="atLeast"/>
                <w:jc w:val="center"/>
              </w:trPr>
              <w:tc>
                <w:tcPr>
                  <w:tcW w:w="33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B71432">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4FEF340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画鹛亚科Timaliinae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089851B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53927AB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r>
            <w:tr w14:paraId="48FD73E1">
              <w:tblPrEx>
                <w:tblCellMar>
                  <w:top w:w="0" w:type="dxa"/>
                  <w:left w:w="108" w:type="dxa"/>
                  <w:bottom w:w="0" w:type="dxa"/>
                  <w:right w:w="108" w:type="dxa"/>
                </w:tblCellMar>
              </w:tblPrEx>
              <w:trPr>
                <w:cantSplit/>
                <w:trHeight w:val="340" w:hRule="atLeast"/>
                <w:jc w:val="center"/>
              </w:trPr>
              <w:tc>
                <w:tcPr>
                  <w:tcW w:w="33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796838">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6B4D0B0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莺亚科Sylviinae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7454C3A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1E063B9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r>
            <w:tr w14:paraId="1638A0CE">
              <w:tblPrEx>
                <w:tblCellMar>
                  <w:top w:w="0" w:type="dxa"/>
                  <w:left w:w="108" w:type="dxa"/>
                  <w:bottom w:w="0" w:type="dxa"/>
                  <w:right w:w="108" w:type="dxa"/>
                </w:tblCellMar>
              </w:tblPrEx>
              <w:trPr>
                <w:cantSplit/>
                <w:trHeight w:val="340" w:hRule="atLeast"/>
                <w:jc w:val="center"/>
              </w:trPr>
              <w:tc>
                <w:tcPr>
                  <w:tcW w:w="33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1F08A4">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5D00037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山雀科Paridae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11F3733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0610B48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r>
            <w:tr w14:paraId="79768F41">
              <w:tblPrEx>
                <w:tblCellMar>
                  <w:top w:w="0" w:type="dxa"/>
                  <w:left w:w="108" w:type="dxa"/>
                  <w:bottom w:w="0" w:type="dxa"/>
                  <w:right w:w="108" w:type="dxa"/>
                </w:tblCellMar>
              </w:tblPrEx>
              <w:trPr>
                <w:cantSplit/>
                <w:trHeight w:val="340" w:hRule="atLeast"/>
                <w:jc w:val="center"/>
              </w:trPr>
              <w:tc>
                <w:tcPr>
                  <w:tcW w:w="33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0A9C1E">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63AC1AF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太阳鸟科 Nectariniidae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72AFBD3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380D5E8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r>
            <w:tr w14:paraId="2462EDD6">
              <w:tblPrEx>
                <w:tblCellMar>
                  <w:top w:w="0" w:type="dxa"/>
                  <w:left w:w="108" w:type="dxa"/>
                  <w:bottom w:w="0" w:type="dxa"/>
                  <w:right w:w="108" w:type="dxa"/>
                </w:tblCellMar>
              </w:tblPrEx>
              <w:trPr>
                <w:cantSplit/>
                <w:trHeight w:val="340" w:hRule="atLeast"/>
                <w:jc w:val="center"/>
              </w:trPr>
              <w:tc>
                <w:tcPr>
                  <w:tcW w:w="33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27FFB9">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514D1D1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文鸟科Ploceidae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10D835F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365CEB9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r>
            <w:tr w14:paraId="6CF5953C">
              <w:tblPrEx>
                <w:tblCellMar>
                  <w:top w:w="0" w:type="dxa"/>
                  <w:left w:w="108" w:type="dxa"/>
                  <w:bottom w:w="0" w:type="dxa"/>
                  <w:right w:w="108" w:type="dxa"/>
                </w:tblCellMar>
              </w:tblPrEx>
              <w:trPr>
                <w:cantSplit/>
                <w:trHeight w:val="340" w:hRule="atLeast"/>
                <w:jc w:val="center"/>
              </w:trPr>
              <w:tc>
                <w:tcPr>
                  <w:tcW w:w="33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73B34E">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243B2FD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雀科Fringillidae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25413B9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25C0622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2415CC94">
              <w:tblPrEx>
                <w:tblCellMar>
                  <w:top w:w="0" w:type="dxa"/>
                  <w:left w:w="108" w:type="dxa"/>
                  <w:bottom w:w="0" w:type="dxa"/>
                  <w:right w:w="108" w:type="dxa"/>
                </w:tblCellMar>
              </w:tblPrEx>
              <w:trPr>
                <w:cantSplit/>
                <w:trHeight w:val="340" w:hRule="atLeast"/>
                <w:jc w:val="center"/>
              </w:trPr>
              <w:tc>
                <w:tcPr>
                  <w:tcW w:w="6419" w:type="dxa"/>
                  <w:gridSpan w:val="2"/>
                  <w:tcBorders>
                    <w:top w:val="single" w:color="000000" w:sz="4" w:space="0"/>
                    <w:left w:val="single" w:color="000000" w:sz="4" w:space="0"/>
                    <w:bottom w:val="single" w:color="000000" w:sz="4" w:space="0"/>
                    <w:right w:val="single" w:color="000000" w:sz="4" w:space="0"/>
                  </w:tcBorders>
                  <w:noWrap w:val="0"/>
                  <w:vAlign w:val="center"/>
                </w:tcPr>
                <w:p w14:paraId="24AA0AF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小计：鸟纲，9目，23科</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22630AB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44</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65DBC3A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51</w:t>
                  </w:r>
                </w:p>
              </w:tc>
            </w:tr>
            <w:tr w14:paraId="007B7804">
              <w:tblPrEx>
                <w:tblCellMar>
                  <w:top w:w="0" w:type="dxa"/>
                  <w:left w:w="108" w:type="dxa"/>
                  <w:bottom w:w="0" w:type="dxa"/>
                  <w:right w:w="108" w:type="dxa"/>
                </w:tblCellMar>
              </w:tblPrEx>
              <w:trPr>
                <w:cantSplit/>
                <w:trHeight w:val="340" w:hRule="atLeast"/>
                <w:jc w:val="center"/>
              </w:trPr>
              <w:tc>
                <w:tcPr>
                  <w:tcW w:w="6419" w:type="dxa"/>
                  <w:gridSpan w:val="2"/>
                  <w:tcBorders>
                    <w:top w:val="single" w:color="000000" w:sz="4" w:space="0"/>
                    <w:left w:val="single" w:color="000000" w:sz="4" w:space="0"/>
                    <w:bottom w:val="single" w:color="000000" w:sz="4" w:space="0"/>
                    <w:right w:val="single" w:color="000000" w:sz="4" w:space="0"/>
                  </w:tcBorders>
                  <w:noWrap w:val="0"/>
                  <w:vAlign w:val="center"/>
                </w:tcPr>
                <w:p w14:paraId="1F0C3EE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哺乳纲MAMMALIA</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68F6B5A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　</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345EFC4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　</w:t>
                  </w:r>
                </w:p>
              </w:tc>
            </w:tr>
            <w:tr w14:paraId="7C79EEF1">
              <w:tblPrEx>
                <w:tblCellMar>
                  <w:top w:w="0" w:type="dxa"/>
                  <w:left w:w="108" w:type="dxa"/>
                  <w:bottom w:w="0" w:type="dxa"/>
                  <w:right w:w="108" w:type="dxa"/>
                </w:tblCellMar>
              </w:tblPrEx>
              <w:trPr>
                <w:cantSplit/>
                <w:trHeight w:val="340" w:hRule="atLeast"/>
                <w:jc w:val="center"/>
              </w:trPr>
              <w:tc>
                <w:tcPr>
                  <w:tcW w:w="3370" w:type="dxa"/>
                  <w:tcBorders>
                    <w:top w:val="single" w:color="000000" w:sz="4" w:space="0"/>
                    <w:left w:val="single" w:color="000000" w:sz="4" w:space="0"/>
                    <w:bottom w:val="single" w:color="000000" w:sz="4" w:space="0"/>
                    <w:right w:val="single" w:color="000000" w:sz="4" w:space="0"/>
                  </w:tcBorders>
                  <w:noWrap w:val="0"/>
                  <w:vAlign w:val="center"/>
                </w:tcPr>
                <w:p w14:paraId="2F659DA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攀鼩目SCANDENTIA</w:t>
                  </w: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2461A68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树鼩科Tupaiidae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243BE56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2F5442E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0D16914A">
              <w:tblPrEx>
                <w:tblCellMar>
                  <w:top w:w="0" w:type="dxa"/>
                  <w:left w:w="108" w:type="dxa"/>
                  <w:bottom w:w="0" w:type="dxa"/>
                  <w:right w:w="108" w:type="dxa"/>
                </w:tblCellMar>
              </w:tblPrEx>
              <w:trPr>
                <w:cantSplit/>
                <w:trHeight w:val="340" w:hRule="atLeast"/>
                <w:jc w:val="center"/>
              </w:trPr>
              <w:tc>
                <w:tcPr>
                  <w:tcW w:w="3370" w:type="dxa"/>
                  <w:tcBorders>
                    <w:top w:val="single" w:color="000000" w:sz="4" w:space="0"/>
                    <w:left w:val="single" w:color="000000" w:sz="4" w:space="0"/>
                    <w:bottom w:val="single" w:color="000000" w:sz="4" w:space="0"/>
                    <w:right w:val="single" w:color="000000" w:sz="4" w:space="0"/>
                  </w:tcBorders>
                  <w:noWrap w:val="0"/>
                  <w:vAlign w:val="center"/>
                </w:tcPr>
                <w:p w14:paraId="2297B54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兔形目LAGOMORPHA</w:t>
                  </w: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27F0E72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兔科Leporidae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3F23130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1E55F8B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7D5C3771">
              <w:tblPrEx>
                <w:tblCellMar>
                  <w:top w:w="0" w:type="dxa"/>
                  <w:left w:w="108" w:type="dxa"/>
                  <w:bottom w:w="0" w:type="dxa"/>
                  <w:right w:w="108" w:type="dxa"/>
                </w:tblCellMar>
              </w:tblPrEx>
              <w:trPr>
                <w:cantSplit/>
                <w:trHeight w:val="340" w:hRule="atLeast"/>
                <w:jc w:val="center"/>
              </w:trPr>
              <w:tc>
                <w:tcPr>
                  <w:tcW w:w="3370" w:type="dxa"/>
                  <w:vMerge w:val="restart"/>
                  <w:tcBorders>
                    <w:top w:val="single" w:color="000000" w:sz="4" w:space="0"/>
                    <w:left w:val="single" w:color="000000" w:sz="4" w:space="0"/>
                    <w:bottom w:val="single" w:color="000000" w:sz="4" w:space="0"/>
                    <w:right w:val="single" w:color="000000" w:sz="4" w:space="0"/>
                  </w:tcBorders>
                  <w:noWrap w:val="0"/>
                  <w:vAlign w:val="center"/>
                </w:tcPr>
                <w:p w14:paraId="6815328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啮齿目RODENTIA</w:t>
                  </w: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182CECE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松鼠科Sciuridae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0D53222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38206D2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r>
            <w:tr w14:paraId="1A57E3E5">
              <w:tblPrEx>
                <w:tblCellMar>
                  <w:top w:w="0" w:type="dxa"/>
                  <w:left w:w="108" w:type="dxa"/>
                  <w:bottom w:w="0" w:type="dxa"/>
                  <w:right w:w="108" w:type="dxa"/>
                </w:tblCellMar>
              </w:tblPrEx>
              <w:trPr>
                <w:cantSplit/>
                <w:trHeight w:val="340" w:hRule="atLeast"/>
                <w:jc w:val="center"/>
              </w:trPr>
              <w:tc>
                <w:tcPr>
                  <w:tcW w:w="33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2321BD">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p>
              </w:tc>
              <w:tc>
                <w:tcPr>
                  <w:tcW w:w="3049" w:type="dxa"/>
                  <w:tcBorders>
                    <w:top w:val="single" w:color="000000" w:sz="4" w:space="0"/>
                    <w:left w:val="single" w:color="000000" w:sz="4" w:space="0"/>
                    <w:bottom w:val="single" w:color="000000" w:sz="4" w:space="0"/>
                    <w:right w:val="single" w:color="000000" w:sz="4" w:space="0"/>
                  </w:tcBorders>
                  <w:noWrap w:val="0"/>
                  <w:vAlign w:val="center"/>
                </w:tcPr>
                <w:p w14:paraId="6F83B5F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鼠科Muridae</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5C8BC6E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33051C6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r>
            <w:tr w14:paraId="057AF687">
              <w:tblPrEx>
                <w:tblCellMar>
                  <w:top w:w="0" w:type="dxa"/>
                  <w:left w:w="108" w:type="dxa"/>
                  <w:bottom w:w="0" w:type="dxa"/>
                  <w:right w:w="108" w:type="dxa"/>
                </w:tblCellMar>
              </w:tblPrEx>
              <w:trPr>
                <w:cantSplit/>
                <w:trHeight w:val="340" w:hRule="atLeast"/>
                <w:jc w:val="center"/>
              </w:trPr>
              <w:tc>
                <w:tcPr>
                  <w:tcW w:w="6419" w:type="dxa"/>
                  <w:gridSpan w:val="2"/>
                  <w:tcBorders>
                    <w:top w:val="single" w:color="000000" w:sz="4" w:space="0"/>
                    <w:left w:val="single" w:color="000000" w:sz="4" w:space="0"/>
                    <w:bottom w:val="single" w:color="000000" w:sz="4" w:space="0"/>
                    <w:right w:val="single" w:color="000000" w:sz="4" w:space="0"/>
                  </w:tcBorders>
                  <w:noWrap w:val="0"/>
                  <w:vAlign w:val="center"/>
                </w:tcPr>
                <w:p w14:paraId="73466E3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小计：哺乳纲，3目，4科</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4E6DDDE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73ADB02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r>
            <w:tr w14:paraId="1EA8CFC5">
              <w:tblPrEx>
                <w:tblCellMar>
                  <w:top w:w="0" w:type="dxa"/>
                  <w:left w:w="108" w:type="dxa"/>
                  <w:bottom w:w="0" w:type="dxa"/>
                  <w:right w:w="108" w:type="dxa"/>
                </w:tblCellMar>
              </w:tblPrEx>
              <w:trPr>
                <w:cantSplit/>
                <w:trHeight w:val="340" w:hRule="atLeast"/>
                <w:jc w:val="center"/>
              </w:trPr>
              <w:tc>
                <w:tcPr>
                  <w:tcW w:w="6419" w:type="dxa"/>
                  <w:gridSpan w:val="2"/>
                  <w:tcBorders>
                    <w:top w:val="single" w:color="000000" w:sz="4" w:space="0"/>
                    <w:left w:val="single" w:color="000000" w:sz="4" w:space="0"/>
                    <w:bottom w:val="single" w:color="000000" w:sz="4" w:space="0"/>
                    <w:right w:val="single" w:color="000000" w:sz="4" w:space="0"/>
                  </w:tcBorders>
                  <w:noWrap w:val="0"/>
                  <w:vAlign w:val="center"/>
                </w:tcPr>
                <w:p w14:paraId="2037A42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总计：4纲，15目，36科</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1022015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62</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14:paraId="102E8F7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72</w:t>
                  </w:r>
                </w:p>
              </w:tc>
            </w:tr>
          </w:tbl>
          <w:p w14:paraId="0618BDC1">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kern w:val="1"/>
                <w:sz w:val="24"/>
              </w:rPr>
              <w:t>在现场踏勘过程中，</w:t>
            </w:r>
            <w:r>
              <w:rPr>
                <w:rFonts w:hint="default" w:ascii="Times New Roman" w:hAnsi="Times New Roman" w:cs="Times New Roman"/>
                <w:color w:val="auto"/>
                <w:sz w:val="24"/>
                <w:szCs w:val="24"/>
              </w:rPr>
              <w:t>这些动物都是当地区域内常见的野生动物，</w:t>
            </w:r>
            <w:r>
              <w:rPr>
                <w:rFonts w:hint="default" w:ascii="Times New Roman" w:hAnsi="Times New Roman" w:cs="Times New Roman"/>
                <w:color w:val="auto"/>
                <w:kern w:val="1"/>
                <w:sz w:val="24"/>
              </w:rPr>
              <w:t>未发现国家级、省级重点保护的野生动植物种类。</w:t>
            </w:r>
            <w:r>
              <w:rPr>
                <w:rFonts w:hint="default" w:ascii="Times New Roman" w:hAnsi="Times New Roman" w:cs="Times New Roman"/>
                <w:color w:val="auto"/>
                <w:sz w:val="24"/>
                <w:szCs w:val="24"/>
              </w:rPr>
              <w:t>矿区所在位置不是野生动物的迁徙通道。</w:t>
            </w:r>
          </w:p>
          <w:p w14:paraId="361F80E4">
            <w:pPr>
              <w:keepNext w:val="0"/>
              <w:keepLines w:val="0"/>
              <w:suppressLineNumbers w:val="0"/>
              <w:spacing w:before="0" w:beforeAutospacing="0" w:after="0" w:afterAutospacing="0" w:line="360" w:lineRule="auto"/>
              <w:ind w:left="0" w:right="0"/>
              <w:outlineLvl w:val="3"/>
              <w:rPr>
                <w:rFonts w:hint="default" w:ascii="Times New Roman" w:hAnsi="Times New Roman" w:eastAsia="宋体" w:cs="Times New Roman"/>
                <w:b/>
                <w:color w:val="auto"/>
                <w:kern w:val="1"/>
                <w:sz w:val="24"/>
                <w:lang w:val="en-US" w:eastAsia="zh-CN"/>
              </w:rPr>
            </w:pPr>
            <w:r>
              <w:rPr>
                <w:rFonts w:hint="eastAsia" w:ascii="Times New Roman" w:hAnsi="Times New Roman" w:eastAsia="宋体" w:cs="Times New Roman"/>
                <w:b/>
                <w:color w:val="auto"/>
                <w:kern w:val="1"/>
                <w:sz w:val="24"/>
                <w:lang w:val="en-US" w:eastAsia="zh-CN"/>
              </w:rPr>
              <w:t>1.2</w:t>
            </w:r>
            <w:r>
              <w:rPr>
                <w:rFonts w:hint="default" w:ascii="Times New Roman" w:hAnsi="Times New Roman" w:eastAsia="宋体" w:cs="Times New Roman"/>
                <w:b/>
                <w:color w:val="auto"/>
                <w:kern w:val="1"/>
                <w:sz w:val="24"/>
                <w:lang w:val="en-US" w:eastAsia="zh-CN"/>
              </w:rPr>
              <w:t>土地利用现状</w:t>
            </w:r>
          </w:p>
          <w:p w14:paraId="11F9F5A7">
            <w:pPr>
              <w:pStyle w:val="10"/>
              <w:keepNext w:val="0"/>
              <w:keepLines w:val="0"/>
              <w:suppressLineNumbers w:val="0"/>
              <w:spacing w:beforeAutospacing="0" w:after="0" w:afterAutospacing="0" w:line="360" w:lineRule="auto"/>
              <w:ind w:left="0" w:firstLine="480"/>
              <w:rPr>
                <w:rFonts w:hint="default" w:ascii="Times New Roman" w:hAnsi="Times New Roman" w:cs="Times New Roman"/>
                <w:color w:val="auto"/>
                <w:sz w:val="24"/>
              </w:rPr>
            </w:pP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1</w:t>
            </w:r>
            <w:r>
              <w:rPr>
                <w:rFonts w:hint="eastAsia" w:ascii="仿宋" w:hAnsi="仿宋" w:eastAsia="仿宋" w:cs="仿宋"/>
                <w:color w:val="auto"/>
                <w:sz w:val="24"/>
                <w:lang w:eastAsia="zh-CN"/>
              </w:rPr>
              <w:t>）</w:t>
            </w:r>
            <w:r>
              <w:rPr>
                <w:rFonts w:hint="default" w:ascii="Times New Roman" w:hAnsi="Times New Roman" w:cs="Times New Roman"/>
                <w:color w:val="auto"/>
                <w:sz w:val="24"/>
              </w:rPr>
              <w:t>项目所在行政区土地利用现状</w:t>
            </w:r>
          </w:p>
          <w:p w14:paraId="232D8F7B">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根据《芒市土地利用总体规划》（1997年）资料，芒市土地总面积543万亩，其中，农业用地88.59万亩，占土地总面积的16.31%；园地21.05万亩，占3.87%；林牧用地232.84万亩，占42.86%；城镇村庄及工矿用地6.81万亩，占1.25%；交通用地2.15万亩，占0.39%；水域占地6.44万亩，占1.19%；未利用土地185.42万亩，占34.13%。芒市土地利用现状见表</w:t>
            </w:r>
            <w:r>
              <w:rPr>
                <w:rFonts w:hint="eastAsia" w:ascii="Times New Roman" w:hAnsi="Times New Roman" w:cs="Times New Roman"/>
                <w:color w:val="auto"/>
                <w:kern w:val="1"/>
                <w:sz w:val="24"/>
                <w:lang w:val="en-US" w:eastAsia="zh-CN"/>
              </w:rPr>
              <w:t>3-3</w:t>
            </w:r>
            <w:r>
              <w:rPr>
                <w:rFonts w:hint="default" w:ascii="Times New Roman" w:hAnsi="Times New Roman" w:cs="Times New Roman"/>
                <w:color w:val="auto"/>
                <w:kern w:val="1"/>
                <w:sz w:val="24"/>
              </w:rPr>
              <w:t>。</w:t>
            </w:r>
          </w:p>
          <w:p w14:paraId="6F356946">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kern w:val="1"/>
                <w:sz w:val="24"/>
              </w:rPr>
            </w:pPr>
            <w:r>
              <w:rPr>
                <w:rFonts w:hint="default" w:ascii="Times New Roman" w:hAnsi="Times New Roman" w:cs="Times New Roman"/>
                <w:color w:val="auto"/>
                <w:kern w:val="1"/>
                <w:sz w:val="24"/>
              </w:rPr>
              <w:t xml:space="preserve">       </w:t>
            </w:r>
            <w:r>
              <w:rPr>
                <w:rFonts w:hint="default" w:ascii="Times New Roman" w:hAnsi="Times New Roman" w:cs="Times New Roman"/>
                <w:b/>
                <w:color w:val="auto"/>
                <w:kern w:val="1"/>
                <w:sz w:val="24"/>
              </w:rPr>
              <w:t xml:space="preserve">      表</w:t>
            </w:r>
            <w:r>
              <w:rPr>
                <w:rFonts w:hint="eastAsia" w:ascii="Times New Roman" w:hAnsi="Times New Roman" w:cs="Times New Roman"/>
                <w:b/>
                <w:color w:val="auto"/>
                <w:kern w:val="1"/>
                <w:sz w:val="24"/>
                <w:lang w:val="en-US" w:eastAsia="zh-CN"/>
              </w:rPr>
              <w:t>3-3</w:t>
            </w:r>
            <w:r>
              <w:rPr>
                <w:rFonts w:hint="default" w:ascii="Times New Roman" w:hAnsi="Times New Roman" w:cs="Times New Roman"/>
                <w:b/>
                <w:color w:val="auto"/>
                <w:kern w:val="1"/>
                <w:sz w:val="24"/>
              </w:rPr>
              <w:t xml:space="preserve">     芒市土地利用现状        单位：万亩</w:t>
            </w:r>
          </w:p>
          <w:tbl>
            <w:tblPr>
              <w:tblStyle w:val="31"/>
              <w:tblW w:w="8017" w:type="dxa"/>
              <w:jc w:val="center"/>
              <w:tblLayout w:type="fixed"/>
              <w:tblCellMar>
                <w:top w:w="0" w:type="dxa"/>
                <w:left w:w="108" w:type="dxa"/>
                <w:bottom w:w="0" w:type="dxa"/>
                <w:right w:w="108" w:type="dxa"/>
              </w:tblCellMar>
            </w:tblPr>
            <w:tblGrid>
              <w:gridCol w:w="1053"/>
              <w:gridCol w:w="782"/>
              <w:gridCol w:w="902"/>
              <w:gridCol w:w="1203"/>
              <w:gridCol w:w="1336"/>
              <w:gridCol w:w="816"/>
              <w:gridCol w:w="871"/>
              <w:gridCol w:w="1054"/>
            </w:tblGrid>
            <w:tr w14:paraId="1AD4B1D6">
              <w:tblPrEx>
                <w:tblCellMar>
                  <w:top w:w="0" w:type="dxa"/>
                  <w:left w:w="108" w:type="dxa"/>
                  <w:bottom w:w="0" w:type="dxa"/>
                  <w:right w:w="108" w:type="dxa"/>
                </w:tblCellMar>
              </w:tblPrEx>
              <w:trPr>
                <w:trHeight w:val="680" w:hRule="exact"/>
                <w:jc w:val="center"/>
              </w:trPr>
              <w:tc>
                <w:tcPr>
                  <w:tcW w:w="1053" w:type="dxa"/>
                  <w:tcBorders>
                    <w:top w:val="single" w:color="000000" w:sz="4" w:space="0"/>
                    <w:left w:val="single" w:color="000000" w:sz="4" w:space="0"/>
                    <w:bottom w:val="single" w:color="000000" w:sz="4" w:space="0"/>
                    <w:right w:val="single" w:color="000000" w:sz="4" w:space="0"/>
                  </w:tcBorders>
                  <w:noWrap w:val="0"/>
                  <w:vAlign w:val="center"/>
                </w:tcPr>
                <w:p w14:paraId="2A940F6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rPr>
                  </w:pPr>
                  <w:r>
                    <w:rPr>
                      <w:rFonts w:hint="default" w:ascii="Times New Roman" w:hAnsi="Times New Roman" w:cs="Times New Roman"/>
                      <w:color w:val="auto"/>
                      <w:kern w:val="1"/>
                    </w:rPr>
                    <w:t>土地利用类型</w:t>
                  </w:r>
                </w:p>
              </w:tc>
              <w:tc>
                <w:tcPr>
                  <w:tcW w:w="782" w:type="dxa"/>
                  <w:tcBorders>
                    <w:top w:val="single" w:color="000000" w:sz="4" w:space="0"/>
                    <w:left w:val="single" w:color="000000" w:sz="4" w:space="0"/>
                    <w:bottom w:val="single" w:color="000000" w:sz="4" w:space="0"/>
                    <w:right w:val="single" w:color="000000" w:sz="4" w:space="0"/>
                  </w:tcBorders>
                  <w:noWrap w:val="0"/>
                  <w:vAlign w:val="center"/>
                </w:tcPr>
                <w:p w14:paraId="6A88124A">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rPr>
                  </w:pPr>
                  <w:r>
                    <w:rPr>
                      <w:rFonts w:hint="default" w:ascii="Times New Roman" w:hAnsi="Times New Roman" w:cs="Times New Roman"/>
                      <w:color w:val="auto"/>
                      <w:kern w:val="1"/>
                    </w:rPr>
                    <w:t>农业用地</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676388E4">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rPr>
                  </w:pPr>
                  <w:r>
                    <w:rPr>
                      <w:rFonts w:hint="default" w:ascii="Times New Roman" w:hAnsi="Times New Roman" w:cs="Times New Roman"/>
                      <w:color w:val="auto"/>
                      <w:kern w:val="1"/>
                    </w:rPr>
                    <w:t>园地</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14:paraId="3B67406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rPr>
                  </w:pPr>
                  <w:r>
                    <w:rPr>
                      <w:rFonts w:hint="default" w:ascii="Times New Roman" w:hAnsi="Times New Roman" w:cs="Times New Roman"/>
                      <w:color w:val="auto"/>
                      <w:kern w:val="1"/>
                    </w:rPr>
                    <w:t>林牧用地</w:t>
                  </w:r>
                </w:p>
              </w:tc>
              <w:tc>
                <w:tcPr>
                  <w:tcW w:w="1336" w:type="dxa"/>
                  <w:tcBorders>
                    <w:top w:val="single" w:color="000000" w:sz="4" w:space="0"/>
                    <w:left w:val="single" w:color="000000" w:sz="4" w:space="0"/>
                    <w:bottom w:val="single" w:color="000000" w:sz="4" w:space="0"/>
                    <w:right w:val="single" w:color="000000" w:sz="4" w:space="0"/>
                  </w:tcBorders>
                  <w:noWrap w:val="0"/>
                  <w:vAlign w:val="center"/>
                </w:tcPr>
                <w:p w14:paraId="688429BA">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rPr>
                  </w:pPr>
                  <w:r>
                    <w:rPr>
                      <w:rFonts w:hint="default" w:ascii="Times New Roman" w:hAnsi="Times New Roman" w:cs="Times New Roman"/>
                      <w:color w:val="auto"/>
                      <w:kern w:val="1"/>
                    </w:rPr>
                    <w:t>城镇村庄及工矿用地</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5F84AB90">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rPr>
                  </w:pPr>
                  <w:r>
                    <w:rPr>
                      <w:rFonts w:hint="default" w:ascii="Times New Roman" w:hAnsi="Times New Roman" w:cs="Times New Roman"/>
                      <w:color w:val="auto"/>
                      <w:kern w:val="1"/>
                    </w:rPr>
                    <w:t>交通用地</w:t>
                  </w:r>
                </w:p>
              </w:tc>
              <w:tc>
                <w:tcPr>
                  <w:tcW w:w="871" w:type="dxa"/>
                  <w:tcBorders>
                    <w:top w:val="single" w:color="000000" w:sz="4" w:space="0"/>
                    <w:left w:val="single" w:color="000000" w:sz="4" w:space="0"/>
                    <w:bottom w:val="single" w:color="000000" w:sz="4" w:space="0"/>
                    <w:right w:val="single" w:color="000000" w:sz="4" w:space="0"/>
                  </w:tcBorders>
                  <w:noWrap w:val="0"/>
                  <w:vAlign w:val="center"/>
                </w:tcPr>
                <w:p w14:paraId="4D9159C8">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rPr>
                  </w:pPr>
                  <w:r>
                    <w:rPr>
                      <w:rFonts w:hint="default" w:ascii="Times New Roman" w:hAnsi="Times New Roman" w:cs="Times New Roman"/>
                      <w:color w:val="auto"/>
                      <w:kern w:val="1"/>
                    </w:rPr>
                    <w:t>水域</w:t>
                  </w:r>
                </w:p>
              </w:tc>
              <w:tc>
                <w:tcPr>
                  <w:tcW w:w="1054" w:type="dxa"/>
                  <w:tcBorders>
                    <w:top w:val="single" w:color="000000" w:sz="4" w:space="0"/>
                    <w:left w:val="single" w:color="000000" w:sz="4" w:space="0"/>
                    <w:bottom w:val="single" w:color="000000" w:sz="4" w:space="0"/>
                    <w:right w:val="single" w:color="000000" w:sz="4" w:space="0"/>
                  </w:tcBorders>
                  <w:noWrap w:val="0"/>
                  <w:vAlign w:val="center"/>
                </w:tcPr>
                <w:p w14:paraId="566222BF">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rPr>
                  </w:pPr>
                  <w:r>
                    <w:rPr>
                      <w:rFonts w:hint="default" w:ascii="Times New Roman" w:hAnsi="Times New Roman" w:cs="Times New Roman"/>
                      <w:color w:val="auto"/>
                      <w:kern w:val="1"/>
                    </w:rPr>
                    <w:t>未利用土地</w:t>
                  </w:r>
                </w:p>
              </w:tc>
            </w:tr>
            <w:tr w14:paraId="343B13BC">
              <w:tblPrEx>
                <w:tblCellMar>
                  <w:top w:w="0" w:type="dxa"/>
                  <w:left w:w="108" w:type="dxa"/>
                  <w:bottom w:w="0" w:type="dxa"/>
                  <w:right w:w="108" w:type="dxa"/>
                </w:tblCellMar>
              </w:tblPrEx>
              <w:trPr>
                <w:trHeight w:val="397" w:hRule="exact"/>
                <w:jc w:val="center"/>
              </w:trPr>
              <w:tc>
                <w:tcPr>
                  <w:tcW w:w="1053" w:type="dxa"/>
                  <w:tcBorders>
                    <w:top w:val="single" w:color="000000" w:sz="4" w:space="0"/>
                    <w:left w:val="single" w:color="000000" w:sz="4" w:space="0"/>
                    <w:bottom w:val="single" w:color="000000" w:sz="4" w:space="0"/>
                    <w:right w:val="single" w:color="000000" w:sz="4" w:space="0"/>
                  </w:tcBorders>
                  <w:noWrap w:val="0"/>
                  <w:vAlign w:val="center"/>
                </w:tcPr>
                <w:p w14:paraId="5EFF387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rPr>
                  </w:pPr>
                  <w:r>
                    <w:rPr>
                      <w:rFonts w:hint="default" w:ascii="Times New Roman" w:hAnsi="Times New Roman" w:cs="Times New Roman"/>
                      <w:color w:val="auto"/>
                      <w:kern w:val="1"/>
                    </w:rPr>
                    <w:t>面积</w:t>
                  </w:r>
                </w:p>
              </w:tc>
              <w:tc>
                <w:tcPr>
                  <w:tcW w:w="782" w:type="dxa"/>
                  <w:tcBorders>
                    <w:top w:val="single" w:color="000000" w:sz="4" w:space="0"/>
                    <w:left w:val="single" w:color="000000" w:sz="4" w:space="0"/>
                    <w:bottom w:val="single" w:color="000000" w:sz="4" w:space="0"/>
                    <w:right w:val="single" w:color="000000" w:sz="4" w:space="0"/>
                  </w:tcBorders>
                  <w:noWrap w:val="0"/>
                  <w:vAlign w:val="center"/>
                </w:tcPr>
                <w:p w14:paraId="0C269E60">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rPr>
                  </w:pPr>
                  <w:r>
                    <w:rPr>
                      <w:rFonts w:hint="default" w:ascii="Times New Roman" w:hAnsi="Times New Roman" w:cs="Times New Roman"/>
                      <w:color w:val="auto"/>
                      <w:kern w:val="1"/>
                    </w:rPr>
                    <w:t>88.59</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582B2C6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rPr>
                  </w:pPr>
                  <w:r>
                    <w:rPr>
                      <w:rFonts w:hint="default" w:ascii="Times New Roman" w:hAnsi="Times New Roman" w:cs="Times New Roman"/>
                      <w:color w:val="auto"/>
                      <w:kern w:val="1"/>
                    </w:rPr>
                    <w:t>21.05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14:paraId="21004D39">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rPr>
                  </w:pPr>
                  <w:r>
                    <w:rPr>
                      <w:rFonts w:hint="default" w:ascii="Times New Roman" w:hAnsi="Times New Roman" w:cs="Times New Roman"/>
                      <w:color w:val="auto"/>
                      <w:kern w:val="1"/>
                    </w:rPr>
                    <w:t>232.84</w:t>
                  </w:r>
                </w:p>
              </w:tc>
              <w:tc>
                <w:tcPr>
                  <w:tcW w:w="1336" w:type="dxa"/>
                  <w:tcBorders>
                    <w:top w:val="single" w:color="000000" w:sz="4" w:space="0"/>
                    <w:left w:val="single" w:color="000000" w:sz="4" w:space="0"/>
                    <w:bottom w:val="single" w:color="000000" w:sz="4" w:space="0"/>
                    <w:right w:val="single" w:color="000000" w:sz="4" w:space="0"/>
                  </w:tcBorders>
                  <w:noWrap w:val="0"/>
                  <w:vAlign w:val="center"/>
                </w:tcPr>
                <w:p w14:paraId="3C32ADF7">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rPr>
                  </w:pPr>
                  <w:r>
                    <w:rPr>
                      <w:rFonts w:hint="default" w:ascii="Times New Roman" w:hAnsi="Times New Roman" w:cs="Times New Roman"/>
                      <w:color w:val="auto"/>
                      <w:kern w:val="1"/>
                    </w:rPr>
                    <w:t>6.81</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652C4222">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rPr>
                  </w:pPr>
                  <w:r>
                    <w:rPr>
                      <w:rFonts w:hint="default" w:ascii="Times New Roman" w:hAnsi="Times New Roman" w:cs="Times New Roman"/>
                      <w:color w:val="auto"/>
                      <w:kern w:val="1"/>
                    </w:rPr>
                    <w:t>2.15</w:t>
                  </w:r>
                </w:p>
              </w:tc>
              <w:tc>
                <w:tcPr>
                  <w:tcW w:w="871" w:type="dxa"/>
                  <w:tcBorders>
                    <w:top w:val="single" w:color="000000" w:sz="4" w:space="0"/>
                    <w:left w:val="single" w:color="000000" w:sz="4" w:space="0"/>
                    <w:bottom w:val="single" w:color="000000" w:sz="4" w:space="0"/>
                    <w:right w:val="single" w:color="000000" w:sz="4" w:space="0"/>
                  </w:tcBorders>
                  <w:noWrap w:val="0"/>
                  <w:vAlign w:val="center"/>
                </w:tcPr>
                <w:p w14:paraId="053A8A17">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rPr>
                  </w:pPr>
                  <w:r>
                    <w:rPr>
                      <w:rFonts w:hint="default" w:ascii="Times New Roman" w:hAnsi="Times New Roman" w:cs="Times New Roman"/>
                      <w:color w:val="auto"/>
                      <w:kern w:val="1"/>
                    </w:rPr>
                    <w:t>6.44</w:t>
                  </w:r>
                </w:p>
              </w:tc>
              <w:tc>
                <w:tcPr>
                  <w:tcW w:w="1054" w:type="dxa"/>
                  <w:tcBorders>
                    <w:top w:val="single" w:color="000000" w:sz="4" w:space="0"/>
                    <w:left w:val="single" w:color="000000" w:sz="4" w:space="0"/>
                    <w:bottom w:val="single" w:color="000000" w:sz="4" w:space="0"/>
                    <w:right w:val="single" w:color="000000" w:sz="4" w:space="0"/>
                  </w:tcBorders>
                  <w:noWrap w:val="0"/>
                  <w:vAlign w:val="center"/>
                </w:tcPr>
                <w:p w14:paraId="328B51FA">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rPr>
                  </w:pPr>
                  <w:r>
                    <w:rPr>
                      <w:rFonts w:hint="default" w:ascii="Times New Roman" w:hAnsi="Times New Roman" w:cs="Times New Roman"/>
                      <w:color w:val="auto"/>
                      <w:kern w:val="1"/>
                    </w:rPr>
                    <w:t>185.42</w:t>
                  </w:r>
                </w:p>
              </w:tc>
            </w:tr>
            <w:tr w14:paraId="3464662F">
              <w:tblPrEx>
                <w:tblCellMar>
                  <w:top w:w="0" w:type="dxa"/>
                  <w:left w:w="108" w:type="dxa"/>
                  <w:bottom w:w="0" w:type="dxa"/>
                  <w:right w:w="108" w:type="dxa"/>
                </w:tblCellMar>
              </w:tblPrEx>
              <w:trPr>
                <w:trHeight w:val="641" w:hRule="exact"/>
                <w:jc w:val="center"/>
              </w:trPr>
              <w:tc>
                <w:tcPr>
                  <w:tcW w:w="1053" w:type="dxa"/>
                  <w:tcBorders>
                    <w:top w:val="single" w:color="000000" w:sz="4" w:space="0"/>
                    <w:left w:val="single" w:color="000000" w:sz="4" w:space="0"/>
                    <w:bottom w:val="single" w:color="000000" w:sz="4" w:space="0"/>
                    <w:right w:val="single" w:color="000000" w:sz="4" w:space="0"/>
                  </w:tcBorders>
                  <w:noWrap w:val="0"/>
                  <w:vAlign w:val="center"/>
                </w:tcPr>
                <w:p w14:paraId="14765039">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rPr>
                  </w:pPr>
                  <w:r>
                    <w:rPr>
                      <w:rFonts w:hint="default" w:ascii="Times New Roman" w:hAnsi="Times New Roman" w:cs="Times New Roman"/>
                      <w:color w:val="auto"/>
                      <w:kern w:val="1"/>
                    </w:rPr>
                    <w:t>占总面积的%</w:t>
                  </w:r>
                </w:p>
              </w:tc>
              <w:tc>
                <w:tcPr>
                  <w:tcW w:w="782" w:type="dxa"/>
                  <w:tcBorders>
                    <w:top w:val="single" w:color="000000" w:sz="4" w:space="0"/>
                    <w:left w:val="single" w:color="000000" w:sz="4" w:space="0"/>
                    <w:bottom w:val="single" w:color="000000" w:sz="4" w:space="0"/>
                    <w:right w:val="single" w:color="000000" w:sz="4" w:space="0"/>
                  </w:tcBorders>
                  <w:noWrap w:val="0"/>
                  <w:vAlign w:val="center"/>
                </w:tcPr>
                <w:p w14:paraId="7229F2BF">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rPr>
                  </w:pPr>
                  <w:r>
                    <w:rPr>
                      <w:rFonts w:hint="default" w:ascii="Times New Roman" w:hAnsi="Times New Roman" w:cs="Times New Roman"/>
                      <w:color w:val="auto"/>
                      <w:kern w:val="1"/>
                    </w:rPr>
                    <w:t>16.31</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17479AE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rPr>
                  </w:pPr>
                  <w:r>
                    <w:rPr>
                      <w:rFonts w:hint="default" w:ascii="Times New Roman" w:hAnsi="Times New Roman" w:cs="Times New Roman"/>
                      <w:color w:val="auto"/>
                      <w:kern w:val="1"/>
                    </w:rPr>
                    <w:t>3.87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14:paraId="495A6F1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rPr>
                  </w:pPr>
                  <w:r>
                    <w:rPr>
                      <w:rFonts w:hint="default" w:ascii="Times New Roman" w:hAnsi="Times New Roman" w:cs="Times New Roman"/>
                      <w:color w:val="auto"/>
                      <w:kern w:val="1"/>
                    </w:rPr>
                    <w:t>42.86</w:t>
                  </w:r>
                </w:p>
              </w:tc>
              <w:tc>
                <w:tcPr>
                  <w:tcW w:w="1336" w:type="dxa"/>
                  <w:tcBorders>
                    <w:top w:val="single" w:color="000000" w:sz="4" w:space="0"/>
                    <w:left w:val="single" w:color="000000" w:sz="4" w:space="0"/>
                    <w:bottom w:val="single" w:color="000000" w:sz="4" w:space="0"/>
                    <w:right w:val="single" w:color="000000" w:sz="4" w:space="0"/>
                  </w:tcBorders>
                  <w:noWrap w:val="0"/>
                  <w:vAlign w:val="center"/>
                </w:tcPr>
                <w:p w14:paraId="79124F8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rPr>
                  </w:pPr>
                  <w:r>
                    <w:rPr>
                      <w:rFonts w:hint="default" w:ascii="Times New Roman" w:hAnsi="Times New Roman" w:cs="Times New Roman"/>
                      <w:color w:val="auto"/>
                      <w:kern w:val="1"/>
                    </w:rPr>
                    <w:t>1.25</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70727A54">
                  <w:pPr>
                    <w:keepNext w:val="0"/>
                    <w:keepLines w:val="0"/>
                    <w:suppressLineNumbers w:val="0"/>
                    <w:spacing w:before="0" w:beforeAutospacing="0" w:after="0" w:afterAutospacing="0"/>
                    <w:ind w:left="0" w:right="73"/>
                    <w:jc w:val="center"/>
                    <w:rPr>
                      <w:rFonts w:hint="default" w:ascii="Times New Roman" w:hAnsi="Times New Roman" w:cs="Times New Roman"/>
                      <w:color w:val="auto"/>
                      <w:kern w:val="1"/>
                    </w:rPr>
                  </w:pPr>
                  <w:r>
                    <w:rPr>
                      <w:rFonts w:hint="default" w:ascii="Times New Roman" w:hAnsi="Times New Roman" w:cs="Times New Roman"/>
                      <w:color w:val="auto"/>
                      <w:kern w:val="1"/>
                    </w:rPr>
                    <w:t>0.39</w:t>
                  </w:r>
                </w:p>
              </w:tc>
              <w:tc>
                <w:tcPr>
                  <w:tcW w:w="871" w:type="dxa"/>
                  <w:tcBorders>
                    <w:top w:val="single" w:color="000000" w:sz="4" w:space="0"/>
                    <w:left w:val="single" w:color="000000" w:sz="4" w:space="0"/>
                    <w:bottom w:val="single" w:color="000000" w:sz="4" w:space="0"/>
                    <w:right w:val="single" w:color="000000" w:sz="4" w:space="0"/>
                  </w:tcBorders>
                  <w:noWrap w:val="0"/>
                  <w:vAlign w:val="center"/>
                </w:tcPr>
                <w:p w14:paraId="3ED4B67F">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rPr>
                  </w:pPr>
                  <w:r>
                    <w:rPr>
                      <w:rFonts w:hint="default" w:ascii="Times New Roman" w:hAnsi="Times New Roman" w:cs="Times New Roman"/>
                      <w:color w:val="auto"/>
                      <w:kern w:val="1"/>
                    </w:rPr>
                    <w:t>1.19</w:t>
                  </w:r>
                </w:p>
              </w:tc>
              <w:tc>
                <w:tcPr>
                  <w:tcW w:w="1054" w:type="dxa"/>
                  <w:tcBorders>
                    <w:top w:val="single" w:color="000000" w:sz="4" w:space="0"/>
                    <w:left w:val="single" w:color="000000" w:sz="4" w:space="0"/>
                    <w:bottom w:val="single" w:color="000000" w:sz="4" w:space="0"/>
                    <w:right w:val="single" w:color="000000" w:sz="4" w:space="0"/>
                  </w:tcBorders>
                  <w:noWrap w:val="0"/>
                  <w:vAlign w:val="center"/>
                </w:tcPr>
                <w:p w14:paraId="5D57412F">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1"/>
                    </w:rPr>
                  </w:pPr>
                  <w:r>
                    <w:rPr>
                      <w:rFonts w:hint="default" w:ascii="Times New Roman" w:hAnsi="Times New Roman" w:cs="Times New Roman"/>
                      <w:color w:val="auto"/>
                      <w:kern w:val="1"/>
                    </w:rPr>
                    <w:t>34.13</w:t>
                  </w:r>
                </w:p>
              </w:tc>
            </w:tr>
          </w:tbl>
          <w:p w14:paraId="18DAE552">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评价区情况</w:t>
            </w:r>
          </w:p>
          <w:p w14:paraId="62FD64FE">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rPr>
              <w:t>根据现场调查可知，</w:t>
            </w:r>
            <w:r>
              <w:rPr>
                <w:rFonts w:hint="eastAsia" w:ascii="Times New Roman" w:hAnsi="Times New Roman" w:eastAsia="宋体" w:cs="Times New Roman"/>
                <w:color w:val="auto"/>
                <w:sz w:val="24"/>
                <w:lang w:val="en-US" w:eastAsia="zh-CN"/>
              </w:rPr>
              <w:t>本项目探矿所占土地面积为0.082hm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，主要是钻探平台占地，每个钻探平台约占地20m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，土地类型以灌木林、荒草地为主，其中灌木林占地0.0164hm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，荒草地占地0.0656hm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vertAlign w:val="baseline"/>
                <w:lang w:val="en-US" w:eastAsia="zh-CN"/>
              </w:rPr>
              <w:t>。</w:t>
            </w:r>
            <w:r>
              <w:rPr>
                <w:rFonts w:hint="default" w:ascii="Times New Roman" w:hAnsi="Times New Roman" w:eastAsia="宋体" w:cs="Times New Roman"/>
                <w:color w:val="auto"/>
                <w:sz w:val="24"/>
                <w:lang w:val="en-US" w:eastAsia="zh-CN"/>
              </w:rPr>
              <w:t>本项目钻探工程主要布置于</w:t>
            </w:r>
            <w:r>
              <w:rPr>
                <w:rFonts w:hint="eastAsia" w:ascii="Times New Roman" w:hAnsi="Times New Roman" w:eastAsia="宋体" w:cs="Times New Roman"/>
                <w:color w:val="auto"/>
                <w:sz w:val="24"/>
                <w:lang w:val="en-US" w:eastAsia="zh-CN"/>
              </w:rPr>
              <w:t>建设单位所有矿权范围内</w:t>
            </w:r>
            <w:r>
              <w:rPr>
                <w:rFonts w:hint="default" w:ascii="Times New Roman" w:hAnsi="Times New Roman" w:eastAsia="宋体" w:cs="Times New Roman"/>
                <w:color w:val="auto"/>
                <w:sz w:val="24"/>
                <w:lang w:val="en-US" w:eastAsia="zh-CN"/>
              </w:rPr>
              <w:t>基岩裸露地带</w:t>
            </w:r>
            <w:r>
              <w:rPr>
                <w:rFonts w:hint="eastAsia" w:ascii="Times New Roman" w:hAnsi="Times New Roman" w:eastAsia="宋体" w:cs="Times New Roman"/>
                <w:color w:val="auto"/>
                <w:sz w:val="24"/>
                <w:lang w:val="en-US" w:eastAsia="zh-CN"/>
              </w:rPr>
              <w:t>，属于临时占地，勘探</w:t>
            </w:r>
            <w:r>
              <w:rPr>
                <w:rFonts w:hint="default" w:ascii="Times New Roman" w:hAnsi="Times New Roman" w:eastAsia="宋体" w:cs="Times New Roman"/>
                <w:color w:val="auto"/>
                <w:sz w:val="24"/>
              </w:rPr>
              <w:t>结束后会及时复垦</w:t>
            </w:r>
            <w:r>
              <w:rPr>
                <w:rFonts w:hint="eastAsia" w:ascii="Times New Roman" w:hAnsi="Times New Roman" w:eastAsia="宋体" w:cs="Times New Roman"/>
                <w:color w:val="auto"/>
                <w:sz w:val="24"/>
              </w:rPr>
              <w:t>。</w:t>
            </w:r>
          </w:p>
          <w:p w14:paraId="6ADD6D04">
            <w:pPr>
              <w:keepNext w:val="0"/>
              <w:keepLines w:val="0"/>
              <w:suppressLineNumbers w:val="0"/>
              <w:spacing w:before="0" w:beforeAutospacing="0" w:after="0" w:afterAutospacing="0" w:line="360" w:lineRule="auto"/>
              <w:ind w:left="0" w:right="0"/>
              <w:outlineLvl w:val="2"/>
              <w:rPr>
                <w:rFonts w:hint="default" w:ascii="Times New Roman" w:hAnsi="Times New Roman" w:cs="Times New Roman"/>
                <w:color w:val="auto"/>
                <w:kern w:val="1"/>
                <w:sz w:val="24"/>
              </w:rPr>
            </w:pPr>
            <w:r>
              <w:rPr>
                <w:rFonts w:hint="eastAsia" w:ascii="Times New Roman" w:hAnsi="Times New Roman" w:cs="Times New Roman"/>
                <w:b/>
                <w:color w:val="auto"/>
                <w:kern w:val="1"/>
                <w:sz w:val="24"/>
                <w:lang w:val="en-US" w:eastAsia="zh-CN"/>
              </w:rPr>
              <w:t>1.3</w:t>
            </w:r>
            <w:r>
              <w:rPr>
                <w:rFonts w:hint="default" w:ascii="Times New Roman" w:hAnsi="Times New Roman" w:cs="Times New Roman"/>
                <w:b/>
                <w:color w:val="auto"/>
                <w:kern w:val="1"/>
                <w:sz w:val="24"/>
              </w:rPr>
              <w:t>水土流失现状</w:t>
            </w:r>
          </w:p>
          <w:p w14:paraId="23773B04">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kern w:val="1"/>
                <w:sz w:val="24"/>
              </w:rPr>
            </w:pPr>
            <w:r>
              <w:rPr>
                <w:rFonts w:hint="default" w:ascii="Times New Roman" w:hAnsi="Times New Roman" w:cs="Times New Roman"/>
                <w:color w:val="auto"/>
                <w:kern w:val="1"/>
                <w:sz w:val="24"/>
              </w:rPr>
              <w:t>根据《云南省2004年土壤侵蚀现状遥感调查报告》（云南省水利厅，云南省水利水电科学研究所，2006年2月）资料显示，芒市国土总面积为2899.65km</w:t>
            </w:r>
            <w:r>
              <w:rPr>
                <w:rFonts w:hint="default" w:ascii="Times New Roman" w:hAnsi="Times New Roman" w:cs="Times New Roman"/>
                <w:color w:val="auto"/>
                <w:kern w:val="1"/>
                <w:sz w:val="24"/>
                <w:vertAlign w:val="superscript"/>
              </w:rPr>
              <w:t>2</w:t>
            </w:r>
            <w:r>
              <w:rPr>
                <w:rFonts w:hint="default" w:ascii="Times New Roman" w:hAnsi="Times New Roman" w:cs="Times New Roman"/>
                <w:color w:val="auto"/>
                <w:kern w:val="1"/>
                <w:sz w:val="24"/>
              </w:rPr>
              <w:t>，微度侵蚀面积2106.88km</w:t>
            </w:r>
            <w:r>
              <w:rPr>
                <w:rFonts w:hint="default" w:ascii="Times New Roman" w:hAnsi="Times New Roman" w:cs="Times New Roman"/>
                <w:color w:val="auto"/>
                <w:kern w:val="1"/>
                <w:sz w:val="24"/>
                <w:vertAlign w:val="superscript"/>
              </w:rPr>
              <w:t>2</w:t>
            </w:r>
            <w:r>
              <w:rPr>
                <w:rFonts w:hint="default" w:ascii="Times New Roman" w:hAnsi="Times New Roman" w:cs="Times New Roman"/>
                <w:color w:val="auto"/>
                <w:kern w:val="1"/>
                <w:sz w:val="24"/>
              </w:rPr>
              <w:t>，占土地总面积的72.66%，土壤侵蚀面积792.77km</w:t>
            </w:r>
            <w:r>
              <w:rPr>
                <w:rFonts w:hint="default" w:ascii="Times New Roman" w:hAnsi="Times New Roman" w:cs="Times New Roman"/>
                <w:color w:val="auto"/>
                <w:kern w:val="1"/>
                <w:sz w:val="24"/>
                <w:vertAlign w:val="superscript"/>
              </w:rPr>
              <w:t>2</w:t>
            </w:r>
            <w:r>
              <w:rPr>
                <w:rFonts w:hint="default" w:ascii="Times New Roman" w:hAnsi="Times New Roman" w:cs="Times New Roman"/>
                <w:color w:val="auto"/>
                <w:kern w:val="1"/>
                <w:sz w:val="24"/>
              </w:rPr>
              <w:t>，占土地总面积的27.34%。土壤侵蚀面积中，轻度侵蚀面积374.56km</w:t>
            </w:r>
            <w:r>
              <w:rPr>
                <w:rFonts w:hint="default" w:ascii="Times New Roman" w:hAnsi="Times New Roman" w:cs="Times New Roman"/>
                <w:color w:val="auto"/>
                <w:kern w:val="1"/>
                <w:sz w:val="24"/>
                <w:vertAlign w:val="superscript"/>
              </w:rPr>
              <w:t>2</w:t>
            </w:r>
            <w:r>
              <w:rPr>
                <w:rFonts w:hint="default" w:ascii="Times New Roman" w:hAnsi="Times New Roman" w:cs="Times New Roman"/>
                <w:color w:val="auto"/>
                <w:kern w:val="1"/>
                <w:sz w:val="24"/>
              </w:rPr>
              <w:t>，占土壤侵蚀面积的47.25%；中度侵蚀面积395.44km</w:t>
            </w:r>
            <w:r>
              <w:rPr>
                <w:rFonts w:hint="default" w:ascii="Times New Roman" w:hAnsi="Times New Roman" w:cs="Times New Roman"/>
                <w:color w:val="auto"/>
                <w:kern w:val="1"/>
                <w:sz w:val="24"/>
                <w:vertAlign w:val="superscript"/>
              </w:rPr>
              <w:t>2</w:t>
            </w:r>
            <w:r>
              <w:rPr>
                <w:rFonts w:hint="default" w:ascii="Times New Roman" w:hAnsi="Times New Roman" w:cs="Times New Roman"/>
                <w:color w:val="auto"/>
                <w:kern w:val="1"/>
                <w:sz w:val="24"/>
              </w:rPr>
              <w:t>，占土壤侵蚀面积的49.88%；强度侵蚀面积21.28km</w:t>
            </w:r>
            <w:r>
              <w:rPr>
                <w:rFonts w:hint="default" w:ascii="Times New Roman" w:hAnsi="Times New Roman" w:cs="Times New Roman"/>
                <w:color w:val="auto"/>
                <w:kern w:val="1"/>
                <w:sz w:val="24"/>
                <w:vertAlign w:val="superscript"/>
              </w:rPr>
              <w:t>2</w:t>
            </w:r>
            <w:r>
              <w:rPr>
                <w:rFonts w:hint="default" w:ascii="Times New Roman" w:hAnsi="Times New Roman" w:cs="Times New Roman"/>
                <w:color w:val="auto"/>
                <w:kern w:val="1"/>
                <w:sz w:val="24"/>
              </w:rPr>
              <w:t>，占土壤侵蚀面积的2.68%；无</w:t>
            </w:r>
            <w:r>
              <w:rPr>
                <w:rFonts w:hint="default" w:ascii="Times New Roman" w:hAnsi="Times New Roman" w:eastAsia="宋体" w:cs="Times New Roman"/>
                <w:color w:val="auto"/>
                <w:kern w:val="1"/>
                <w:sz w:val="24"/>
              </w:rPr>
              <w:t>极强度侵蚀；无剧烈侵蚀。</w:t>
            </w:r>
          </w:p>
          <w:p w14:paraId="577509D9">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kern w:val="1"/>
                <w:sz w:val="24"/>
                <w:lang w:val="en-US" w:eastAsia="zh-CN"/>
              </w:rPr>
            </w:pPr>
            <w:r>
              <w:rPr>
                <w:rFonts w:hint="default" w:ascii="Times New Roman" w:hAnsi="Times New Roman" w:eastAsia="宋体" w:cs="Times New Roman"/>
                <w:color w:val="auto"/>
                <w:kern w:val="1"/>
                <w:sz w:val="24"/>
              </w:rPr>
              <w:t>项目区土壤侵蚀以水力侵蚀为主，强度主要为轻度-中度侵蚀。</w:t>
            </w:r>
          </w:p>
          <w:p w14:paraId="1F8A19C3">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color w:val="auto"/>
                <w:kern w:val="0"/>
                <w:sz w:val="24"/>
                <w:szCs w:val="24"/>
                <w:highlight w:val="none"/>
              </w:rPr>
            </w:pPr>
            <w:bookmarkStart w:id="38" w:name="_Toc32447"/>
            <w:r>
              <w:rPr>
                <w:rFonts w:hint="eastAsia"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地表水环境质量现状</w:t>
            </w:r>
          </w:p>
          <w:bookmarkEnd w:id="38"/>
          <w:p w14:paraId="6EFB11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kern w:val="0"/>
                <w:sz w:val="24"/>
              </w:rPr>
            </w:pP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val="en-US" w:eastAsia="zh-CN"/>
              </w:rPr>
              <w:t>所涉及的最近的地表水为</w:t>
            </w:r>
            <w:r>
              <w:rPr>
                <w:rFonts w:hint="eastAsia" w:ascii="Times New Roman" w:hAnsi="Times New Roman" w:cs="Times New Roman"/>
                <w:color w:val="auto"/>
                <w:sz w:val="24"/>
                <w:szCs w:val="24"/>
                <w:lang w:val="en-US" w:eastAsia="zh-CN"/>
              </w:rPr>
              <w:t>大岗河，</w:t>
            </w:r>
            <w:r>
              <w:rPr>
                <w:rFonts w:hint="eastAsia" w:ascii="Times New Roman" w:hAnsi="Times New Roman" w:cs="Times New Roman"/>
                <w:color w:val="auto"/>
                <w:sz w:val="24"/>
                <w:szCs w:val="24"/>
              </w:rPr>
              <w:t>大岗河为邦滇河一级支流，邦滇河为芒市大河过木康后的一级支流</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属于芒市大河水系</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GB" w:eastAsia="zh-CN"/>
              </w:rPr>
              <w:t>根据《德宏州人民政府关于水功能区划复核和调整报告》（德政复</w:t>
            </w:r>
            <w:r>
              <w:rPr>
                <w:rFonts w:hint="eastAsia" w:ascii="Times New Roman" w:hAnsi="Times New Roman" w:eastAsia="宋体" w:cs="Times New Roman"/>
                <w:color w:val="auto"/>
                <w:sz w:val="24"/>
                <w:szCs w:val="24"/>
                <w:lang w:val="en-GB" w:eastAsia="zh-CN"/>
              </w:rPr>
              <w:t>〔</w:t>
            </w:r>
            <w:r>
              <w:rPr>
                <w:rFonts w:hint="default" w:ascii="Times New Roman" w:hAnsi="Times New Roman" w:eastAsia="宋体" w:cs="Times New Roman"/>
                <w:color w:val="auto"/>
                <w:sz w:val="24"/>
                <w:szCs w:val="24"/>
                <w:lang w:val="en-GB" w:eastAsia="zh-CN"/>
              </w:rPr>
              <w:t>2014</w:t>
            </w:r>
            <w:r>
              <w:rPr>
                <w:rFonts w:hint="eastAsia" w:ascii="Times New Roman" w:hAnsi="Times New Roman" w:eastAsia="宋体" w:cs="Times New Roman"/>
                <w:color w:val="auto"/>
                <w:sz w:val="24"/>
                <w:szCs w:val="24"/>
                <w:lang w:val="en-GB" w:eastAsia="zh-CN"/>
              </w:rPr>
              <w:t>〕</w:t>
            </w:r>
            <w:r>
              <w:rPr>
                <w:rFonts w:hint="default" w:ascii="Times New Roman" w:hAnsi="Times New Roman" w:eastAsia="宋体" w:cs="Times New Roman"/>
                <w:color w:val="auto"/>
                <w:sz w:val="24"/>
                <w:szCs w:val="24"/>
                <w:lang w:val="en-GB" w:eastAsia="zh-CN"/>
              </w:rPr>
              <w:t>257号）区划水质标准</w:t>
            </w:r>
            <w:r>
              <w:rPr>
                <w:rFonts w:hint="eastAsia" w:ascii="宋体" w:hAnsi="宋体" w:eastAsia="宋体" w:cs="宋体"/>
                <w:color w:val="auto"/>
                <w:kern w:val="0"/>
                <w:sz w:val="24"/>
              </w:rPr>
              <w:t>，</w:t>
            </w:r>
            <w:r>
              <w:rPr>
                <w:rFonts w:hint="eastAsia" w:ascii="宋体" w:hAnsi="宋体" w:cs="宋体"/>
                <w:color w:val="auto"/>
                <w:kern w:val="0"/>
                <w:sz w:val="24"/>
                <w:lang w:val="en-US" w:eastAsia="zh-CN"/>
              </w:rPr>
              <w:t>芒市大河</w:t>
            </w:r>
            <w:r>
              <w:rPr>
                <w:rFonts w:hint="eastAsia" w:ascii="宋体" w:hAnsi="宋体" w:eastAsia="宋体" w:cs="宋体"/>
                <w:color w:val="auto"/>
                <w:kern w:val="0"/>
                <w:sz w:val="24"/>
              </w:rPr>
              <w:t>水功能区划为</w:t>
            </w:r>
            <w:r>
              <w:rPr>
                <w:rFonts w:hint="default" w:ascii="Times New Roman" w:hAnsi="Times New Roman" w:eastAsia="宋体" w:cs="Times New Roman"/>
                <w:color w:val="auto"/>
                <w:kern w:val="0"/>
                <w:sz w:val="24"/>
              </w:rPr>
              <w:t>Ⅲ</w:t>
            </w:r>
            <w:r>
              <w:rPr>
                <w:rFonts w:hint="eastAsia" w:ascii="宋体" w:hAnsi="宋体" w:eastAsia="宋体" w:cs="宋体"/>
                <w:color w:val="auto"/>
                <w:kern w:val="0"/>
                <w:sz w:val="24"/>
              </w:rPr>
              <w:t>类保护目标，水体功能为</w:t>
            </w:r>
            <w:r>
              <w:rPr>
                <w:rFonts w:hint="eastAsia" w:ascii="宋体" w:hAnsi="宋体" w:cs="宋体"/>
                <w:color w:val="auto"/>
                <w:kern w:val="0"/>
                <w:sz w:val="24"/>
                <w:lang w:val="en-US" w:eastAsia="zh-CN"/>
              </w:rPr>
              <w:t>农业及景观用水</w:t>
            </w:r>
            <w:r>
              <w:rPr>
                <w:rFonts w:hint="eastAsia" w:ascii="宋体" w:hAnsi="宋体" w:eastAsia="宋体" w:cs="宋体"/>
                <w:color w:val="auto"/>
                <w:kern w:val="0"/>
                <w:sz w:val="24"/>
              </w:rPr>
              <w:t>，水质执行</w:t>
            </w:r>
            <w:r>
              <w:rPr>
                <w:rFonts w:hint="default" w:ascii="Times New Roman" w:hAnsi="Times New Roman" w:eastAsia="宋体" w:cs="Times New Roman"/>
                <w:color w:val="auto"/>
                <w:sz w:val="24"/>
                <w:szCs w:val="24"/>
                <w:lang w:val="en-GB" w:eastAsia="zh-CN"/>
              </w:rPr>
              <w:t>《地表水环境质量标准》</w:t>
            </w:r>
            <w:r>
              <w:rPr>
                <w:rFonts w:hint="eastAsia" w:ascii="Times New Roman" w:hAnsi="Times New Roman" w:eastAsia="宋体" w:cs="Times New Roman"/>
                <w:color w:val="auto"/>
                <w:sz w:val="24"/>
                <w:szCs w:val="24"/>
                <w:lang w:val="en-GB" w:eastAsia="zh-CN"/>
              </w:rPr>
              <w:t>（</w:t>
            </w:r>
            <w:r>
              <w:rPr>
                <w:rFonts w:hint="default" w:ascii="Times New Roman" w:hAnsi="Times New Roman" w:eastAsia="宋体" w:cs="Times New Roman"/>
                <w:color w:val="auto"/>
                <w:sz w:val="24"/>
                <w:szCs w:val="24"/>
                <w:lang w:val="en-GB" w:eastAsia="zh-CN"/>
              </w:rPr>
              <w:t>GB3838-2002</w:t>
            </w:r>
            <w:r>
              <w:rPr>
                <w:rFonts w:hint="eastAsia" w:ascii="Times New Roman" w:hAnsi="Times New Roman" w:eastAsia="宋体" w:cs="Times New Roman"/>
                <w:color w:val="auto"/>
                <w:sz w:val="24"/>
                <w:szCs w:val="24"/>
                <w:lang w:val="en-GB" w:eastAsia="zh-CN"/>
              </w:rPr>
              <w:t>）</w:t>
            </w:r>
            <w:r>
              <w:rPr>
                <w:rFonts w:hint="default" w:ascii="Times New Roman" w:hAnsi="Times New Roman" w:eastAsia="宋体" w:cs="Times New Roman"/>
                <w:color w:val="auto"/>
                <w:sz w:val="24"/>
                <w:szCs w:val="24"/>
                <w:lang w:val="en-GB" w:eastAsia="zh-CN"/>
              </w:rPr>
              <w:t>中的Ⅲ类标准</w:t>
            </w:r>
            <w:r>
              <w:rPr>
                <w:rFonts w:hint="eastAsia" w:ascii="宋体" w:hAnsi="宋体" w:eastAsia="宋体" w:cs="宋体"/>
                <w:color w:val="auto"/>
                <w:kern w:val="0"/>
                <w:sz w:val="24"/>
              </w:rPr>
              <w:t>。</w:t>
            </w:r>
          </w:p>
          <w:p w14:paraId="4433C72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lang w:val="en-GB"/>
              </w:rPr>
            </w:pPr>
            <w:r>
              <w:rPr>
                <w:rFonts w:hint="default" w:ascii="Times New Roman" w:hAnsi="Times New Roman" w:eastAsia="宋体" w:cs="Times New Roman"/>
                <w:color w:val="auto"/>
                <w:sz w:val="24"/>
                <w:szCs w:val="24"/>
                <w:lang w:val="en-US" w:eastAsia="zh-CN"/>
              </w:rPr>
              <w:t>根据《德宏州2020年</w:t>
            </w:r>
            <w:r>
              <w:rPr>
                <w:rFonts w:hint="eastAsia" w:ascii="Times New Roman" w:hAnsi="Times New Roman" w:eastAsia="宋体" w:cs="Times New Roman"/>
                <w:color w:val="auto"/>
                <w:sz w:val="24"/>
                <w:szCs w:val="24"/>
                <w:lang w:val="en-US" w:eastAsia="zh-CN"/>
              </w:rPr>
              <w:t>环境质量状况公报</w:t>
            </w:r>
            <w:r>
              <w:rPr>
                <w:rFonts w:hint="default" w:ascii="Times New Roman" w:hAnsi="Times New Roman" w:eastAsia="宋体" w:cs="Times New Roman"/>
                <w:color w:val="auto"/>
                <w:sz w:val="24"/>
                <w:szCs w:val="24"/>
                <w:lang w:val="en-US" w:eastAsia="zh-CN"/>
              </w:rPr>
              <w:t>》，2020年</w:t>
            </w:r>
            <w:r>
              <w:rPr>
                <w:rFonts w:hint="eastAsia" w:ascii="Times New Roman" w:hAnsi="Times New Roman" w:eastAsia="宋体" w:cs="Times New Roman"/>
                <w:color w:val="auto"/>
                <w:sz w:val="24"/>
                <w:szCs w:val="24"/>
                <w:lang w:val="en-US" w:eastAsia="zh-CN"/>
              </w:rPr>
              <w:t>芒市大河木康断面水质状况为优秀，芒市大河风平断面水质为Ⅲ类，水质状况良。2020 年所有河流断面均</w:t>
            </w:r>
            <w:r>
              <w:rPr>
                <w:rFonts w:hint="default" w:ascii="Times New Roman" w:hAnsi="Times New Roman" w:eastAsia="宋体" w:cs="Times New Roman"/>
                <w:color w:val="auto"/>
                <w:sz w:val="24"/>
                <w:szCs w:val="24"/>
                <w:lang w:val="en-GB"/>
              </w:rPr>
              <w:t>满足《地表水环境质量标准》（GB3838-2002）中</w:t>
            </w:r>
            <w:r>
              <w:rPr>
                <w:rFonts w:hint="default" w:ascii="Times New Roman" w:hAnsi="Times New Roman" w:eastAsia="宋体" w:cs="Times New Roman"/>
                <w:color w:val="auto"/>
                <w:sz w:val="24"/>
                <w:szCs w:val="24"/>
                <w:lang w:val="en-GB" w:eastAsia="zh-CN"/>
              </w:rPr>
              <w:t>Ⅲ</w:t>
            </w:r>
            <w:r>
              <w:rPr>
                <w:rFonts w:hint="default" w:ascii="Times New Roman" w:hAnsi="Times New Roman" w:eastAsia="宋体" w:cs="Times New Roman"/>
                <w:color w:val="auto"/>
                <w:sz w:val="24"/>
                <w:szCs w:val="24"/>
                <w:lang w:val="en-GB"/>
              </w:rPr>
              <w:t>类水质标准要求。</w:t>
            </w:r>
          </w:p>
          <w:p w14:paraId="60242A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72" w:firstLineChars="196"/>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w:t>
            </w:r>
            <w:r>
              <w:rPr>
                <w:rFonts w:hint="eastAsia" w:ascii="Times New Roman" w:hAnsi="Times New Roman" w:eastAsia="宋体" w:cs="Times New Roman"/>
                <w:b/>
                <w:bCs/>
                <w:color w:val="auto"/>
                <w:sz w:val="24"/>
                <w:szCs w:val="24"/>
                <w:lang w:val="en-US" w:eastAsia="zh-CN"/>
              </w:rPr>
              <w:t xml:space="preserve">4 </w:t>
            </w:r>
            <w:r>
              <w:rPr>
                <w:rFonts w:hint="default" w:ascii="Times New Roman" w:hAnsi="Times New Roman" w:eastAsia="宋体" w:cs="Times New Roman"/>
                <w:b/>
                <w:bCs/>
                <w:color w:val="auto"/>
                <w:sz w:val="24"/>
                <w:szCs w:val="24"/>
                <w:lang w:val="en-US" w:eastAsia="zh-CN"/>
              </w:rPr>
              <w:t xml:space="preserve"> 20</w:t>
            </w:r>
            <w:r>
              <w:rPr>
                <w:rFonts w:hint="eastAsia" w:ascii="Times New Roman" w:hAnsi="Times New Roman" w:eastAsia="宋体" w:cs="Times New Roman"/>
                <w:b/>
                <w:bCs/>
                <w:color w:val="auto"/>
                <w:sz w:val="24"/>
                <w:szCs w:val="24"/>
                <w:lang w:val="en-US" w:eastAsia="zh-CN"/>
              </w:rPr>
              <w:t>20</w:t>
            </w:r>
            <w:r>
              <w:rPr>
                <w:rFonts w:hint="default" w:ascii="Times New Roman" w:hAnsi="Times New Roman" w:eastAsia="宋体" w:cs="Times New Roman"/>
                <w:b/>
                <w:bCs/>
                <w:color w:val="auto"/>
                <w:sz w:val="24"/>
                <w:szCs w:val="24"/>
                <w:lang w:val="en-US" w:eastAsia="zh-CN"/>
              </w:rPr>
              <w:t>年环境质量公报河流年均监测结果</w:t>
            </w:r>
          </w:p>
          <w:tbl>
            <w:tblPr>
              <w:tblStyle w:val="32"/>
              <w:tblW w:w="7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1035"/>
              <w:gridCol w:w="1500"/>
              <w:gridCol w:w="1185"/>
              <w:gridCol w:w="2597"/>
            </w:tblGrid>
            <w:tr w14:paraId="56BE0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435" w:type="dxa"/>
                  <w:gridSpan w:val="2"/>
                  <w:noWrap w:val="0"/>
                  <w:vAlign w:val="center"/>
                </w:tcPr>
                <w:p w14:paraId="66BFEE0C">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监测断面</w:t>
                  </w:r>
                </w:p>
              </w:tc>
              <w:tc>
                <w:tcPr>
                  <w:tcW w:w="1500" w:type="dxa"/>
                  <w:noWrap w:val="0"/>
                  <w:vAlign w:val="center"/>
                </w:tcPr>
                <w:p w14:paraId="6B624D35">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地表水水质类别（年平均）</w:t>
                  </w:r>
                </w:p>
              </w:tc>
              <w:tc>
                <w:tcPr>
                  <w:tcW w:w="1185" w:type="dxa"/>
                  <w:noWrap w:val="0"/>
                  <w:vAlign w:val="center"/>
                </w:tcPr>
                <w:p w14:paraId="5DB98138">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水质状况</w:t>
                  </w:r>
                </w:p>
              </w:tc>
              <w:tc>
                <w:tcPr>
                  <w:tcW w:w="2597" w:type="dxa"/>
                  <w:noWrap w:val="0"/>
                  <w:vAlign w:val="center"/>
                </w:tcPr>
                <w:p w14:paraId="69E1DAD6">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水质类别</w:t>
                  </w:r>
                </w:p>
              </w:tc>
            </w:tr>
            <w:tr w14:paraId="2557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400" w:type="dxa"/>
                  <w:vMerge w:val="restart"/>
                  <w:noWrap w:val="0"/>
                  <w:vAlign w:val="center"/>
                </w:tcPr>
                <w:p w14:paraId="2CE5AF82">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芒市河木康</w:t>
                  </w:r>
                </w:p>
              </w:tc>
              <w:tc>
                <w:tcPr>
                  <w:tcW w:w="1035" w:type="dxa"/>
                  <w:noWrap w:val="0"/>
                  <w:vAlign w:val="center"/>
                </w:tcPr>
                <w:p w14:paraId="1A027BB1">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2020年</w:t>
                  </w:r>
                </w:p>
              </w:tc>
              <w:tc>
                <w:tcPr>
                  <w:tcW w:w="1500" w:type="dxa"/>
                  <w:noWrap w:val="0"/>
                  <w:vAlign w:val="center"/>
                </w:tcPr>
                <w:p w14:paraId="154BE37D">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Ⅱ</w:t>
                  </w:r>
                </w:p>
              </w:tc>
              <w:tc>
                <w:tcPr>
                  <w:tcW w:w="1185" w:type="dxa"/>
                  <w:noWrap w:val="0"/>
                  <w:vAlign w:val="center"/>
                </w:tcPr>
                <w:p w14:paraId="775A7785">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优</w:t>
                  </w:r>
                </w:p>
              </w:tc>
              <w:tc>
                <w:tcPr>
                  <w:tcW w:w="2597" w:type="dxa"/>
                  <w:vMerge w:val="restart"/>
                  <w:noWrap w:val="0"/>
                  <w:vAlign w:val="center"/>
                </w:tcPr>
                <w:p w14:paraId="5A944736">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Ⅲ（饮用二级）</w:t>
                  </w:r>
                </w:p>
              </w:tc>
            </w:tr>
            <w:tr w14:paraId="2A6C9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400" w:type="dxa"/>
                  <w:noWrap w:val="0"/>
                  <w:vAlign w:val="center"/>
                </w:tcPr>
                <w:p w14:paraId="5CFB3E5E">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芒市河风平</w:t>
                  </w:r>
                </w:p>
              </w:tc>
              <w:tc>
                <w:tcPr>
                  <w:tcW w:w="1035" w:type="dxa"/>
                  <w:noWrap w:val="0"/>
                  <w:vAlign w:val="center"/>
                </w:tcPr>
                <w:p w14:paraId="01EFBFA4">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2020年</w:t>
                  </w:r>
                </w:p>
              </w:tc>
              <w:tc>
                <w:tcPr>
                  <w:tcW w:w="1500" w:type="dxa"/>
                  <w:noWrap w:val="0"/>
                  <w:vAlign w:val="center"/>
                </w:tcPr>
                <w:p w14:paraId="467F0704">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Ⅲ</w:t>
                  </w:r>
                </w:p>
              </w:tc>
              <w:tc>
                <w:tcPr>
                  <w:tcW w:w="1185" w:type="dxa"/>
                  <w:noWrap w:val="0"/>
                  <w:vAlign w:val="center"/>
                </w:tcPr>
                <w:p w14:paraId="4B252627">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良</w:t>
                  </w:r>
                </w:p>
              </w:tc>
              <w:tc>
                <w:tcPr>
                  <w:tcW w:w="2597" w:type="dxa"/>
                  <w:noWrap w:val="0"/>
                  <w:vAlign w:val="center"/>
                </w:tcPr>
                <w:p w14:paraId="0EF1FB88">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Ⅲ（农业用水、工业用水）</w:t>
                  </w:r>
                </w:p>
              </w:tc>
            </w:tr>
          </w:tbl>
          <w:p w14:paraId="3E8F77B4">
            <w:pPr>
              <w:pStyle w:val="10"/>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环境空气质量现状</w:t>
            </w:r>
          </w:p>
          <w:p w14:paraId="3D5E48E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项目位于</w:t>
            </w:r>
            <w:r>
              <w:rPr>
                <w:rFonts w:hint="eastAsia" w:ascii="Times New Roman" w:hAnsi="Times New Roman" w:eastAsia="宋体" w:cs="Times New Roman"/>
                <w:color w:val="auto"/>
                <w:sz w:val="24"/>
                <w:szCs w:val="24"/>
                <w:lang w:val="en-US" w:eastAsia="zh-CN"/>
              </w:rPr>
              <w:t>云南省德宏州芒市三台山乡上芒岗麦窝坝</w:t>
            </w:r>
            <w:r>
              <w:rPr>
                <w:rFonts w:hint="default" w:ascii="Times New Roman" w:hAnsi="Times New Roman" w:eastAsia="宋体" w:cs="Times New Roman"/>
                <w:color w:val="auto"/>
                <w:sz w:val="24"/>
                <w:szCs w:val="24"/>
                <w:lang w:val="en-US" w:eastAsia="zh-CN"/>
              </w:rPr>
              <w:t>，根据环境空气质量功能区的分类，项目区属于2类区，按GB3095-2012《环境空气质量标准》二级标准进行保护。根据《德宏州2020年</w:t>
            </w:r>
            <w:r>
              <w:rPr>
                <w:rFonts w:hint="eastAsia" w:ascii="Times New Roman" w:hAnsi="Times New Roman" w:eastAsia="宋体" w:cs="Times New Roman"/>
                <w:color w:val="auto"/>
                <w:sz w:val="24"/>
                <w:szCs w:val="24"/>
                <w:lang w:val="en-US" w:eastAsia="zh-CN"/>
              </w:rPr>
              <w:t>环境质量状况公报</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芒市</w:t>
            </w:r>
            <w:r>
              <w:rPr>
                <w:rFonts w:hint="default" w:ascii="Times New Roman" w:hAnsi="Times New Roman" w:eastAsia="宋体" w:cs="Times New Roman"/>
                <w:color w:val="auto"/>
                <w:sz w:val="24"/>
                <w:szCs w:val="24"/>
                <w:lang w:val="en-US" w:eastAsia="zh-CN"/>
              </w:rPr>
              <w:t>有效监测天数359天，优235天，良121天，轻度污染3天。按空气质量指数（</w:t>
            </w:r>
            <w:r>
              <w:rPr>
                <w:rFonts w:hint="eastAsia" w:ascii="Times New Roman" w:hAnsi="Times New Roman" w:eastAsia="宋体" w:cs="Times New Roman"/>
                <w:color w:val="auto"/>
                <w:sz w:val="24"/>
                <w:szCs w:val="24"/>
                <w:lang w:val="en-US" w:eastAsia="zh-CN"/>
              </w:rPr>
              <w:t>AQI）评价，优良率为99.2%，与2019 年相比下降0.8%。污染发生的时间为 3</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4 月份。首要污染物为可吸入颗粒物、细颗粒物和臭氧。年度综合评价，芒市环境空气质量达到二级标准，环境空气质量综合指数为2.83。</w:t>
            </w:r>
          </w:p>
          <w:p w14:paraId="5BB7EFBD">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具体的监测数据见表3-</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w:t>
            </w:r>
          </w:p>
          <w:p w14:paraId="58488981">
            <w:pPr>
              <w:pStyle w:val="29"/>
              <w:keepNext w:val="0"/>
              <w:keepLines w:val="0"/>
              <w:suppressLineNumbers w:val="0"/>
              <w:spacing w:beforeAutospacing="0" w:afterAutospacing="0"/>
              <w:ind w:left="0" w:firstLine="2082" w:firstLineChars="864"/>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表3-</w:t>
            </w: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 xml:space="preserve">  20</w:t>
            </w:r>
            <w:r>
              <w:rPr>
                <w:rFonts w:hint="eastAsia" w:ascii="Times New Roman" w:hAnsi="Times New Roman" w:eastAsia="宋体" w:cs="Times New Roman"/>
                <w:b/>
                <w:bCs/>
                <w:color w:val="auto"/>
                <w:sz w:val="24"/>
                <w:szCs w:val="24"/>
                <w:lang w:val="en-US" w:eastAsia="zh-CN"/>
              </w:rPr>
              <w:t>20</w:t>
            </w:r>
            <w:r>
              <w:rPr>
                <w:rFonts w:hint="default" w:ascii="Times New Roman" w:hAnsi="Times New Roman" w:eastAsia="宋体" w:cs="Times New Roman"/>
                <w:b/>
                <w:bCs/>
                <w:color w:val="auto"/>
                <w:sz w:val="24"/>
                <w:szCs w:val="24"/>
                <w:lang w:val="en-US" w:eastAsia="zh-CN"/>
              </w:rPr>
              <w:t>年</w:t>
            </w:r>
            <w:r>
              <w:rPr>
                <w:rFonts w:hint="eastAsia" w:ascii="Times New Roman" w:hAnsi="Times New Roman" w:eastAsia="宋体" w:cs="Times New Roman"/>
                <w:b/>
                <w:bCs/>
                <w:color w:val="auto"/>
                <w:sz w:val="24"/>
                <w:szCs w:val="24"/>
                <w:lang w:val="en-US" w:eastAsia="zh-CN"/>
              </w:rPr>
              <w:t>芒市</w:t>
            </w:r>
            <w:r>
              <w:rPr>
                <w:rFonts w:hint="default" w:ascii="Times New Roman" w:hAnsi="Times New Roman" w:eastAsia="宋体" w:cs="Times New Roman"/>
                <w:b/>
                <w:bCs/>
                <w:color w:val="auto"/>
                <w:sz w:val="24"/>
                <w:szCs w:val="24"/>
                <w:lang w:val="en-US" w:eastAsia="zh-CN"/>
              </w:rPr>
              <w:t>空气监测结果</w:t>
            </w:r>
          </w:p>
          <w:tbl>
            <w:tblPr>
              <w:tblStyle w:val="31"/>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395"/>
              <w:gridCol w:w="1003"/>
              <w:gridCol w:w="1026"/>
              <w:gridCol w:w="966"/>
              <w:gridCol w:w="1174"/>
              <w:gridCol w:w="1192"/>
              <w:gridCol w:w="1084"/>
              <w:gridCol w:w="1432"/>
            </w:tblGrid>
            <w:tr w14:paraId="3CF9ACB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93" w:hRule="atLeast"/>
                <w:jc w:val="center"/>
              </w:trPr>
              <w:tc>
                <w:tcPr>
                  <w:tcW w:w="845" w:type="pct"/>
                  <w:gridSpan w:val="2"/>
                  <w:noWrap w:val="0"/>
                  <w:vAlign w:val="center"/>
                </w:tcPr>
                <w:p w14:paraId="7464BF94">
                  <w:pPr>
                    <w:pStyle w:val="89"/>
                    <w:keepNext w:val="0"/>
                    <w:keepLines w:val="0"/>
                    <w:suppressLineNumbers w:val="0"/>
                    <w:spacing w:before="132" w:beforeAutospacing="0" w:after="0" w:afterAutospacing="0" w:line="360" w:lineRule="auto"/>
                    <w:ind w:left="0" w:right="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监测指标</w:t>
                  </w:r>
                </w:p>
              </w:tc>
              <w:tc>
                <w:tcPr>
                  <w:tcW w:w="620" w:type="pct"/>
                  <w:noWrap w:val="0"/>
                  <w:tcMar>
                    <w:top w:w="0" w:type="dxa"/>
                    <w:left w:w="0" w:type="dxa"/>
                    <w:bottom w:w="0" w:type="dxa"/>
                    <w:right w:w="0" w:type="dxa"/>
                  </w:tcMar>
                  <w:vAlign w:val="center"/>
                </w:tcPr>
                <w:p w14:paraId="11E946F6">
                  <w:pPr>
                    <w:pStyle w:val="89"/>
                    <w:keepNext w:val="0"/>
                    <w:keepLines w:val="0"/>
                    <w:suppressLineNumbers w:val="0"/>
                    <w:spacing w:before="17" w:beforeAutospacing="0" w:after="0" w:afterAutospacing="0" w:line="360" w:lineRule="auto"/>
                    <w:ind w:left="0" w:right="286"/>
                    <w:jc w:val="center"/>
                    <w:rPr>
                      <w:rFonts w:hint="default" w:ascii="Times New Roman" w:hAnsi="Times New Roman" w:cs="Times New Roman"/>
                      <w:b/>
                      <w:bCs/>
                      <w:color w:val="auto"/>
                      <w:sz w:val="18"/>
                      <w:szCs w:val="18"/>
                    </w:rPr>
                  </w:pPr>
                  <w:r>
                    <w:rPr>
                      <w:rFonts w:hint="eastAsia" w:ascii="Times New Roman" w:hAnsi="Times New Roman" w:cs="Times New Roman"/>
                      <w:b/>
                      <w:bCs/>
                      <w:color w:val="auto"/>
                      <w:sz w:val="18"/>
                      <w:szCs w:val="18"/>
                      <w:lang w:val="en-US" w:eastAsia="zh-CN"/>
                    </w:rPr>
                    <w:t>SO</w:t>
                  </w:r>
                  <w:r>
                    <w:rPr>
                      <w:rFonts w:hint="eastAsia" w:ascii="Times New Roman" w:hAnsi="Times New Roman" w:cs="Times New Roman"/>
                      <w:b/>
                      <w:bCs/>
                      <w:color w:val="auto"/>
                      <w:sz w:val="18"/>
                      <w:szCs w:val="18"/>
                      <w:vertAlign w:val="subscript"/>
                      <w:lang w:val="en-US" w:eastAsia="zh-CN"/>
                    </w:rPr>
                    <w:t>2</w:t>
                  </w:r>
                  <w:r>
                    <w:rPr>
                      <w:rFonts w:hint="default" w:ascii="Times New Roman" w:hAnsi="Times New Roman" w:cs="Times New Roman"/>
                      <w:b/>
                      <w:bCs/>
                      <w:color w:val="auto"/>
                      <w:sz w:val="18"/>
                      <w:szCs w:val="18"/>
                    </w:rPr>
                    <w:t>(</w:t>
                  </w:r>
                  <w:r>
                    <w:rPr>
                      <w:rFonts w:hint="default" w:ascii="Arial" w:hAnsi="Arial" w:eastAsia="宋体" w:cs="Arial"/>
                      <w:b/>
                      <w:bCs/>
                      <w:i w:val="0"/>
                      <w:iCs w:val="0"/>
                      <w:caps w:val="0"/>
                      <w:color w:val="auto"/>
                      <w:spacing w:val="0"/>
                      <w:sz w:val="18"/>
                      <w:szCs w:val="18"/>
                      <w:shd w:val="clear" w:color="auto" w:fill="FFFFFF"/>
                    </w:rPr>
                    <w:t>μg</w:t>
                  </w:r>
                  <w:r>
                    <w:rPr>
                      <w:rFonts w:hint="default" w:ascii="Times New Roman" w:hAnsi="Times New Roman" w:cs="Times New Roman"/>
                      <w:b/>
                      <w:bCs/>
                      <w:color w:val="auto"/>
                      <w:sz w:val="18"/>
                      <w:szCs w:val="18"/>
                    </w:rPr>
                    <w:t>/m</w:t>
                  </w:r>
                  <w:r>
                    <w:rPr>
                      <w:rFonts w:hint="default" w:ascii="Times New Roman" w:hAnsi="Times New Roman" w:cs="Times New Roman"/>
                      <w:b/>
                      <w:bCs/>
                      <w:color w:val="auto"/>
                      <w:sz w:val="18"/>
                      <w:szCs w:val="18"/>
                      <w:vertAlign w:val="superscript"/>
                      <w:lang w:val="en-US" w:eastAsia="zh-CN"/>
                    </w:rPr>
                    <w:t>3</w:t>
                  </w:r>
                  <w:r>
                    <w:rPr>
                      <w:rFonts w:hint="default" w:ascii="Times New Roman" w:hAnsi="Times New Roman" w:cs="Times New Roman"/>
                      <w:b/>
                      <w:bCs/>
                      <w:color w:val="auto"/>
                      <w:sz w:val="18"/>
                      <w:szCs w:val="18"/>
                    </w:rPr>
                    <w:t>)</w:t>
                  </w:r>
                </w:p>
              </w:tc>
              <w:tc>
                <w:tcPr>
                  <w:tcW w:w="583" w:type="pct"/>
                  <w:noWrap w:val="0"/>
                  <w:tcMar>
                    <w:top w:w="0" w:type="dxa"/>
                    <w:left w:w="0" w:type="dxa"/>
                    <w:bottom w:w="0" w:type="dxa"/>
                    <w:right w:w="0" w:type="dxa"/>
                  </w:tcMar>
                  <w:vAlign w:val="center"/>
                </w:tcPr>
                <w:p w14:paraId="69929404">
                  <w:pPr>
                    <w:pStyle w:val="89"/>
                    <w:keepNext w:val="0"/>
                    <w:keepLines w:val="0"/>
                    <w:suppressLineNumbers w:val="0"/>
                    <w:spacing w:before="17" w:beforeAutospacing="0" w:after="0" w:afterAutospacing="0" w:line="360" w:lineRule="auto"/>
                    <w:ind w:left="0" w:right="304"/>
                    <w:jc w:val="center"/>
                    <w:rPr>
                      <w:rFonts w:hint="default" w:ascii="Times New Roman" w:hAnsi="Times New Roman" w:cs="Times New Roman"/>
                      <w:b/>
                      <w:bCs/>
                      <w:color w:val="auto"/>
                      <w:sz w:val="18"/>
                      <w:szCs w:val="18"/>
                    </w:rPr>
                  </w:pPr>
                  <w:r>
                    <w:rPr>
                      <w:rFonts w:hint="eastAsia" w:ascii="Times New Roman" w:hAnsi="Times New Roman" w:cs="Times New Roman"/>
                      <w:b/>
                      <w:bCs/>
                      <w:color w:val="auto"/>
                      <w:sz w:val="18"/>
                      <w:szCs w:val="18"/>
                      <w:lang w:val="en-US" w:eastAsia="zh-CN"/>
                    </w:rPr>
                    <w:t>NO</w:t>
                  </w:r>
                  <w:r>
                    <w:rPr>
                      <w:rFonts w:hint="eastAsia" w:ascii="Times New Roman" w:hAnsi="Times New Roman" w:cs="Times New Roman"/>
                      <w:b/>
                      <w:bCs/>
                      <w:color w:val="auto"/>
                      <w:sz w:val="18"/>
                      <w:szCs w:val="18"/>
                      <w:vertAlign w:val="subscript"/>
                      <w:lang w:val="en-US" w:eastAsia="zh-CN"/>
                    </w:rPr>
                    <w:t>2</w:t>
                  </w:r>
                  <w:r>
                    <w:rPr>
                      <w:rFonts w:hint="default" w:ascii="Times New Roman" w:hAnsi="Times New Roman" w:cs="Times New Roman"/>
                      <w:b/>
                      <w:bCs/>
                      <w:color w:val="auto"/>
                      <w:sz w:val="18"/>
                      <w:szCs w:val="18"/>
                    </w:rPr>
                    <w:t>(</w:t>
                  </w:r>
                  <w:r>
                    <w:rPr>
                      <w:rFonts w:hint="default" w:ascii="Arial" w:hAnsi="Arial" w:eastAsia="宋体" w:cs="Arial"/>
                      <w:b/>
                      <w:bCs/>
                      <w:i w:val="0"/>
                      <w:iCs w:val="0"/>
                      <w:caps w:val="0"/>
                      <w:color w:val="auto"/>
                      <w:spacing w:val="0"/>
                      <w:sz w:val="18"/>
                      <w:szCs w:val="18"/>
                      <w:shd w:val="clear" w:color="auto" w:fill="FFFFFF"/>
                    </w:rPr>
                    <w:t>μg</w:t>
                  </w:r>
                  <w:r>
                    <w:rPr>
                      <w:rFonts w:hint="default" w:ascii="Times New Roman" w:hAnsi="Times New Roman" w:cs="Times New Roman"/>
                      <w:b/>
                      <w:bCs/>
                      <w:color w:val="auto"/>
                      <w:sz w:val="18"/>
                      <w:szCs w:val="18"/>
                    </w:rPr>
                    <w:t>/m</w:t>
                  </w:r>
                  <w:r>
                    <w:rPr>
                      <w:rFonts w:hint="default" w:ascii="Times New Roman" w:hAnsi="Times New Roman" w:cs="Times New Roman"/>
                      <w:b/>
                      <w:bCs/>
                      <w:color w:val="auto"/>
                      <w:sz w:val="18"/>
                      <w:szCs w:val="18"/>
                      <w:vertAlign w:val="superscript"/>
                      <w:lang w:val="en-US" w:eastAsia="zh-CN"/>
                    </w:rPr>
                    <w:t>3</w:t>
                  </w:r>
                  <w:r>
                    <w:rPr>
                      <w:rFonts w:hint="default" w:ascii="Times New Roman" w:hAnsi="Times New Roman" w:cs="Times New Roman"/>
                      <w:b/>
                      <w:bCs/>
                      <w:color w:val="auto"/>
                      <w:sz w:val="18"/>
                      <w:szCs w:val="18"/>
                    </w:rPr>
                    <w:t>)</w:t>
                  </w:r>
                </w:p>
              </w:tc>
              <w:tc>
                <w:tcPr>
                  <w:tcW w:w="709" w:type="pct"/>
                  <w:noWrap w:val="0"/>
                  <w:tcMar>
                    <w:top w:w="0" w:type="dxa"/>
                    <w:left w:w="0" w:type="dxa"/>
                    <w:bottom w:w="0" w:type="dxa"/>
                    <w:right w:w="0" w:type="dxa"/>
                  </w:tcMar>
                  <w:vAlign w:val="center"/>
                </w:tcPr>
                <w:p w14:paraId="0BFC68E8">
                  <w:pPr>
                    <w:pStyle w:val="89"/>
                    <w:keepNext w:val="0"/>
                    <w:keepLines w:val="0"/>
                    <w:suppressLineNumbers w:val="0"/>
                    <w:spacing w:before="17" w:beforeAutospacing="0" w:after="0" w:afterAutospacing="0" w:line="360" w:lineRule="auto"/>
                    <w:ind w:left="0" w:right="203"/>
                    <w:jc w:val="center"/>
                    <w:rPr>
                      <w:rFonts w:hint="default" w:ascii="Times New Roman" w:hAnsi="Times New Roman" w:cs="Times New Roman"/>
                      <w:b/>
                      <w:bCs/>
                      <w:color w:val="auto"/>
                      <w:sz w:val="18"/>
                      <w:szCs w:val="18"/>
                    </w:rPr>
                  </w:pPr>
                  <w:r>
                    <w:rPr>
                      <w:rFonts w:hint="eastAsia" w:ascii="Times New Roman" w:hAnsi="Times New Roman" w:cs="Times New Roman"/>
                      <w:b/>
                      <w:bCs/>
                      <w:color w:val="auto"/>
                      <w:sz w:val="18"/>
                      <w:szCs w:val="18"/>
                      <w:lang w:val="en-US" w:eastAsia="zh-CN"/>
                    </w:rPr>
                    <w:t>PM</w:t>
                  </w:r>
                  <w:r>
                    <w:rPr>
                      <w:rFonts w:hint="eastAsia" w:ascii="Times New Roman" w:hAnsi="Times New Roman" w:cs="Times New Roman"/>
                      <w:b/>
                      <w:bCs/>
                      <w:color w:val="auto"/>
                      <w:sz w:val="18"/>
                      <w:szCs w:val="18"/>
                      <w:vertAlign w:val="subscript"/>
                      <w:lang w:val="en-US" w:eastAsia="zh-CN"/>
                    </w:rPr>
                    <w:t>10</w:t>
                  </w:r>
                  <w:r>
                    <w:rPr>
                      <w:rFonts w:hint="default" w:ascii="Times New Roman" w:hAnsi="Times New Roman" w:cs="Times New Roman"/>
                      <w:b/>
                      <w:bCs/>
                      <w:color w:val="auto"/>
                      <w:sz w:val="18"/>
                      <w:szCs w:val="18"/>
                    </w:rPr>
                    <w:t>(</w:t>
                  </w:r>
                  <w:r>
                    <w:rPr>
                      <w:rFonts w:hint="default" w:ascii="Arial" w:hAnsi="Arial" w:eastAsia="宋体" w:cs="Arial"/>
                      <w:b/>
                      <w:bCs/>
                      <w:i w:val="0"/>
                      <w:iCs w:val="0"/>
                      <w:caps w:val="0"/>
                      <w:color w:val="auto"/>
                      <w:spacing w:val="0"/>
                      <w:sz w:val="18"/>
                      <w:szCs w:val="18"/>
                      <w:shd w:val="clear" w:color="auto" w:fill="FFFFFF"/>
                    </w:rPr>
                    <w:t>μg</w:t>
                  </w:r>
                  <w:r>
                    <w:rPr>
                      <w:rFonts w:hint="default" w:ascii="Times New Roman" w:hAnsi="Times New Roman" w:cs="Times New Roman"/>
                      <w:b/>
                      <w:bCs/>
                      <w:color w:val="auto"/>
                      <w:sz w:val="18"/>
                      <w:szCs w:val="18"/>
                    </w:rPr>
                    <w:t>/m</w:t>
                  </w:r>
                  <w:r>
                    <w:rPr>
                      <w:rFonts w:hint="default" w:ascii="Times New Roman" w:hAnsi="Times New Roman" w:cs="Times New Roman"/>
                      <w:b/>
                      <w:bCs/>
                      <w:color w:val="auto"/>
                      <w:sz w:val="18"/>
                      <w:szCs w:val="18"/>
                      <w:vertAlign w:val="superscript"/>
                      <w:lang w:val="en-US" w:eastAsia="zh-CN"/>
                    </w:rPr>
                    <w:t>3</w:t>
                  </w:r>
                  <w:r>
                    <w:rPr>
                      <w:rFonts w:hint="default" w:ascii="Times New Roman" w:hAnsi="Times New Roman" w:cs="Times New Roman"/>
                      <w:b/>
                      <w:bCs/>
                      <w:color w:val="auto"/>
                      <w:sz w:val="18"/>
                      <w:szCs w:val="18"/>
                    </w:rPr>
                    <w:t>)</w:t>
                  </w:r>
                </w:p>
              </w:tc>
              <w:tc>
                <w:tcPr>
                  <w:tcW w:w="720" w:type="pct"/>
                  <w:noWrap w:val="0"/>
                  <w:tcMar>
                    <w:top w:w="0" w:type="dxa"/>
                    <w:left w:w="0" w:type="dxa"/>
                    <w:bottom w:w="0" w:type="dxa"/>
                    <w:right w:w="0" w:type="dxa"/>
                  </w:tcMar>
                  <w:vAlign w:val="center"/>
                </w:tcPr>
                <w:p w14:paraId="6961981A">
                  <w:pPr>
                    <w:pStyle w:val="89"/>
                    <w:keepNext w:val="0"/>
                    <w:keepLines w:val="0"/>
                    <w:suppressLineNumbers w:val="0"/>
                    <w:spacing w:before="132" w:beforeAutospacing="0" w:after="0" w:afterAutospacing="0" w:line="360" w:lineRule="auto"/>
                    <w:ind w:left="104" w:right="98"/>
                    <w:jc w:val="center"/>
                    <w:rPr>
                      <w:rFonts w:hint="default" w:ascii="Times New Roman" w:hAnsi="Times New Roman" w:cs="Times New Roman"/>
                      <w:b/>
                      <w:bCs/>
                      <w:color w:val="auto"/>
                      <w:sz w:val="18"/>
                      <w:szCs w:val="18"/>
                    </w:rPr>
                  </w:pPr>
                  <w:r>
                    <w:rPr>
                      <w:rFonts w:hint="eastAsia" w:ascii="Times New Roman" w:hAnsi="Times New Roman" w:cs="Times New Roman"/>
                      <w:b/>
                      <w:bCs/>
                      <w:color w:val="auto"/>
                      <w:sz w:val="18"/>
                      <w:szCs w:val="18"/>
                      <w:lang w:val="en-US" w:eastAsia="zh-CN"/>
                    </w:rPr>
                    <w:t>PM</w:t>
                  </w:r>
                  <w:r>
                    <w:rPr>
                      <w:rFonts w:hint="eastAsia" w:ascii="Times New Roman" w:hAnsi="Times New Roman" w:cs="Times New Roman"/>
                      <w:b/>
                      <w:bCs/>
                      <w:color w:val="auto"/>
                      <w:sz w:val="18"/>
                      <w:szCs w:val="18"/>
                      <w:vertAlign w:val="subscript"/>
                      <w:lang w:val="en-US" w:eastAsia="zh-CN"/>
                    </w:rPr>
                    <w:t>2.5</w:t>
                  </w:r>
                  <w:r>
                    <w:rPr>
                      <w:rFonts w:hint="default" w:ascii="Times New Roman" w:hAnsi="Times New Roman" w:cs="Times New Roman"/>
                      <w:b/>
                      <w:bCs/>
                      <w:color w:val="auto"/>
                      <w:sz w:val="18"/>
                      <w:szCs w:val="18"/>
                    </w:rPr>
                    <w:t>(</w:t>
                  </w:r>
                  <w:r>
                    <w:rPr>
                      <w:rFonts w:hint="default" w:ascii="Arial" w:hAnsi="Arial" w:eastAsia="宋体" w:cs="Arial"/>
                      <w:b/>
                      <w:bCs/>
                      <w:i w:val="0"/>
                      <w:iCs w:val="0"/>
                      <w:caps w:val="0"/>
                      <w:color w:val="auto"/>
                      <w:spacing w:val="0"/>
                      <w:sz w:val="18"/>
                      <w:szCs w:val="18"/>
                      <w:shd w:val="clear" w:color="auto" w:fill="FFFFFF"/>
                    </w:rPr>
                    <w:t>μg</w:t>
                  </w:r>
                  <w:r>
                    <w:rPr>
                      <w:rFonts w:hint="default" w:ascii="Times New Roman" w:hAnsi="Times New Roman" w:cs="Times New Roman"/>
                      <w:b/>
                      <w:bCs/>
                      <w:color w:val="auto"/>
                      <w:sz w:val="18"/>
                      <w:szCs w:val="18"/>
                    </w:rPr>
                    <w:t>/m</w:t>
                  </w:r>
                  <w:r>
                    <w:rPr>
                      <w:rFonts w:hint="default" w:ascii="Times New Roman" w:hAnsi="Times New Roman" w:cs="Times New Roman"/>
                      <w:b/>
                      <w:bCs/>
                      <w:color w:val="auto"/>
                      <w:sz w:val="18"/>
                      <w:szCs w:val="18"/>
                      <w:vertAlign w:val="superscript"/>
                      <w:lang w:val="en-US" w:eastAsia="zh-CN"/>
                    </w:rPr>
                    <w:t>3</w:t>
                  </w:r>
                  <w:r>
                    <w:rPr>
                      <w:rFonts w:hint="default" w:ascii="Times New Roman" w:hAnsi="Times New Roman" w:cs="Times New Roman"/>
                      <w:b/>
                      <w:bCs/>
                      <w:color w:val="auto"/>
                      <w:sz w:val="18"/>
                      <w:szCs w:val="18"/>
                    </w:rPr>
                    <w:t>)</w:t>
                  </w:r>
                </w:p>
              </w:tc>
              <w:tc>
                <w:tcPr>
                  <w:tcW w:w="655" w:type="pct"/>
                  <w:noWrap w:val="0"/>
                  <w:tcMar>
                    <w:top w:w="0" w:type="dxa"/>
                    <w:left w:w="0" w:type="dxa"/>
                    <w:bottom w:w="0" w:type="dxa"/>
                    <w:right w:w="0" w:type="dxa"/>
                  </w:tcMar>
                  <w:vAlign w:val="center"/>
                </w:tcPr>
                <w:p w14:paraId="367897E8">
                  <w:pPr>
                    <w:pStyle w:val="89"/>
                    <w:keepNext w:val="0"/>
                    <w:keepLines w:val="0"/>
                    <w:suppressLineNumbers w:val="0"/>
                    <w:spacing w:before="17" w:beforeAutospacing="0" w:after="0" w:afterAutospacing="0" w:line="360" w:lineRule="auto"/>
                    <w:ind w:left="0" w:right="123"/>
                    <w:jc w:val="center"/>
                    <w:rPr>
                      <w:rFonts w:hint="default" w:ascii="Times New Roman" w:hAnsi="Times New Roman" w:cs="Times New Roman"/>
                      <w:b/>
                      <w:bCs/>
                      <w:color w:val="auto"/>
                      <w:sz w:val="18"/>
                      <w:szCs w:val="18"/>
                    </w:rPr>
                  </w:pPr>
                  <w:r>
                    <w:rPr>
                      <w:rFonts w:hint="eastAsia" w:ascii="Times New Roman" w:hAnsi="Times New Roman" w:cs="Times New Roman"/>
                      <w:b/>
                      <w:bCs/>
                      <w:color w:val="auto"/>
                      <w:sz w:val="18"/>
                      <w:szCs w:val="18"/>
                      <w:lang w:val="en-US" w:eastAsia="zh-CN"/>
                    </w:rPr>
                    <w:t>CO</w:t>
                  </w:r>
                  <w:r>
                    <w:rPr>
                      <w:rFonts w:hint="default" w:ascii="Times New Roman" w:hAnsi="Times New Roman" w:cs="Times New Roman"/>
                      <w:b/>
                      <w:bCs/>
                      <w:color w:val="auto"/>
                      <w:sz w:val="18"/>
                      <w:szCs w:val="18"/>
                    </w:rPr>
                    <w:t>(mg/m</w:t>
                  </w:r>
                  <w:r>
                    <w:rPr>
                      <w:rFonts w:hint="default" w:ascii="Times New Roman" w:hAnsi="Times New Roman" w:cs="Times New Roman"/>
                      <w:b/>
                      <w:bCs/>
                      <w:color w:val="auto"/>
                      <w:sz w:val="18"/>
                      <w:szCs w:val="18"/>
                      <w:vertAlign w:val="superscript"/>
                      <w:lang w:val="en-US" w:eastAsia="zh-CN"/>
                    </w:rPr>
                    <w:t>3</w:t>
                  </w:r>
                  <w:r>
                    <w:rPr>
                      <w:rFonts w:hint="default" w:ascii="Times New Roman" w:hAnsi="Times New Roman" w:cs="Times New Roman"/>
                      <w:b/>
                      <w:bCs/>
                      <w:color w:val="auto"/>
                      <w:sz w:val="18"/>
                      <w:szCs w:val="18"/>
                    </w:rPr>
                    <w:t>)</w:t>
                  </w:r>
                </w:p>
              </w:tc>
              <w:tc>
                <w:tcPr>
                  <w:tcW w:w="865" w:type="pct"/>
                  <w:noWrap w:val="0"/>
                  <w:tcMar>
                    <w:top w:w="0" w:type="dxa"/>
                    <w:left w:w="0" w:type="dxa"/>
                    <w:bottom w:w="0" w:type="dxa"/>
                    <w:right w:w="0" w:type="dxa"/>
                  </w:tcMar>
                  <w:vAlign w:val="center"/>
                </w:tcPr>
                <w:p w14:paraId="3E481455">
                  <w:pPr>
                    <w:pStyle w:val="89"/>
                    <w:keepNext w:val="0"/>
                    <w:keepLines w:val="0"/>
                    <w:suppressLineNumbers w:val="0"/>
                    <w:spacing w:before="17" w:beforeAutospacing="0" w:after="0" w:afterAutospacing="0" w:line="360" w:lineRule="auto"/>
                    <w:ind w:left="0" w:right="304"/>
                    <w:jc w:val="center"/>
                    <w:rPr>
                      <w:rFonts w:hint="default" w:ascii="Times New Roman" w:hAnsi="Times New Roman" w:cs="Times New Roman"/>
                      <w:b/>
                      <w:bCs/>
                      <w:color w:val="auto"/>
                      <w:sz w:val="18"/>
                      <w:szCs w:val="18"/>
                    </w:rPr>
                  </w:pPr>
                  <w:r>
                    <w:rPr>
                      <w:rFonts w:hint="eastAsia" w:ascii="Times New Roman" w:hAnsi="Times New Roman" w:cs="Times New Roman"/>
                      <w:b/>
                      <w:bCs/>
                      <w:color w:val="auto"/>
                      <w:sz w:val="18"/>
                      <w:szCs w:val="18"/>
                      <w:lang w:val="en-US" w:eastAsia="zh-CN"/>
                    </w:rPr>
                    <w:t>O</w:t>
                  </w:r>
                  <w:r>
                    <w:rPr>
                      <w:rFonts w:hint="eastAsia" w:ascii="Times New Roman" w:hAnsi="Times New Roman" w:cs="Times New Roman"/>
                      <w:b/>
                      <w:bCs/>
                      <w:color w:val="auto"/>
                      <w:sz w:val="18"/>
                      <w:szCs w:val="18"/>
                      <w:vertAlign w:val="subscript"/>
                      <w:lang w:val="en-US" w:eastAsia="zh-CN"/>
                    </w:rPr>
                    <w:t>3</w:t>
                  </w:r>
                  <w:r>
                    <w:rPr>
                      <w:rFonts w:hint="eastAsia" w:ascii="Times New Roman" w:hAnsi="Times New Roman" w:cs="Times New Roman"/>
                      <w:b/>
                      <w:bCs/>
                      <w:color w:val="auto"/>
                      <w:sz w:val="18"/>
                      <w:szCs w:val="18"/>
                      <w:lang w:val="en-US" w:eastAsia="zh-CN"/>
                    </w:rPr>
                    <w:t>-8h</w:t>
                  </w:r>
                  <w:r>
                    <w:rPr>
                      <w:rFonts w:hint="default" w:ascii="Times New Roman" w:hAnsi="Times New Roman" w:cs="Times New Roman"/>
                      <w:b/>
                      <w:bCs/>
                      <w:color w:val="auto"/>
                      <w:sz w:val="18"/>
                      <w:szCs w:val="18"/>
                    </w:rPr>
                    <w:t>(</w:t>
                  </w:r>
                  <w:r>
                    <w:rPr>
                      <w:rFonts w:hint="default" w:ascii="Arial" w:hAnsi="Arial" w:eastAsia="宋体" w:cs="Arial"/>
                      <w:b/>
                      <w:bCs/>
                      <w:i w:val="0"/>
                      <w:iCs w:val="0"/>
                      <w:caps w:val="0"/>
                      <w:color w:val="auto"/>
                      <w:spacing w:val="0"/>
                      <w:sz w:val="18"/>
                      <w:szCs w:val="18"/>
                      <w:shd w:val="clear" w:color="auto" w:fill="FFFFFF"/>
                    </w:rPr>
                    <w:t>μg</w:t>
                  </w:r>
                  <w:r>
                    <w:rPr>
                      <w:rFonts w:hint="default" w:ascii="Times New Roman" w:hAnsi="Times New Roman" w:cs="Times New Roman"/>
                      <w:b/>
                      <w:bCs/>
                      <w:color w:val="auto"/>
                      <w:sz w:val="18"/>
                      <w:szCs w:val="18"/>
                    </w:rPr>
                    <w:t>/m</w:t>
                  </w:r>
                  <w:r>
                    <w:rPr>
                      <w:rFonts w:hint="default" w:ascii="Times New Roman" w:hAnsi="Times New Roman" w:cs="Times New Roman"/>
                      <w:b/>
                      <w:bCs/>
                      <w:color w:val="auto"/>
                      <w:sz w:val="18"/>
                      <w:szCs w:val="18"/>
                      <w:vertAlign w:val="superscript"/>
                      <w:lang w:val="en-US" w:eastAsia="zh-CN"/>
                    </w:rPr>
                    <w:t>3</w:t>
                  </w:r>
                  <w:r>
                    <w:rPr>
                      <w:rFonts w:hint="default" w:ascii="Times New Roman" w:hAnsi="Times New Roman" w:cs="Times New Roman"/>
                      <w:b/>
                      <w:bCs/>
                      <w:color w:val="auto"/>
                      <w:sz w:val="18"/>
                      <w:szCs w:val="18"/>
                    </w:rPr>
                    <w:t>)</w:t>
                  </w:r>
                </w:p>
              </w:tc>
            </w:tr>
            <w:tr w14:paraId="72C0881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91" w:hRule="atLeast"/>
                <w:jc w:val="center"/>
              </w:trPr>
              <w:tc>
                <w:tcPr>
                  <w:tcW w:w="238" w:type="pct"/>
                  <w:vMerge w:val="restart"/>
                  <w:noWrap w:val="0"/>
                  <w:vAlign w:val="center"/>
                </w:tcPr>
                <w:p w14:paraId="748AB1ED">
                  <w:pPr>
                    <w:pStyle w:val="89"/>
                    <w:keepNext w:val="0"/>
                    <w:keepLines w:val="0"/>
                    <w:suppressLineNumbers w:val="0"/>
                    <w:spacing w:before="3" w:beforeAutospacing="0" w:after="0" w:afterAutospacing="0" w:line="360" w:lineRule="auto"/>
                    <w:ind w:left="0" w:right="0"/>
                    <w:jc w:val="center"/>
                    <w:rPr>
                      <w:rFonts w:hint="default"/>
                      <w:color w:val="auto"/>
                      <w:sz w:val="18"/>
                      <w:szCs w:val="18"/>
                    </w:rPr>
                  </w:pPr>
                </w:p>
                <w:p w14:paraId="4DCBC56A">
                  <w:pPr>
                    <w:pStyle w:val="89"/>
                    <w:keepNext w:val="0"/>
                    <w:keepLines w:val="0"/>
                    <w:suppressLineNumbers w:val="0"/>
                    <w:spacing w:before="1" w:beforeAutospacing="0" w:after="0" w:afterAutospacing="0" w:line="360" w:lineRule="auto"/>
                    <w:ind w:left="162" w:right="0"/>
                    <w:jc w:val="center"/>
                    <w:rPr>
                      <w:rFonts w:hint="default" w:eastAsia="宋体"/>
                      <w:color w:val="auto"/>
                      <w:sz w:val="18"/>
                      <w:szCs w:val="18"/>
                      <w:lang w:val="en-US" w:eastAsia="zh-CN"/>
                    </w:rPr>
                  </w:pPr>
                  <w:r>
                    <w:rPr>
                      <w:rFonts w:hint="eastAsia"/>
                      <w:color w:val="auto"/>
                      <w:sz w:val="18"/>
                      <w:szCs w:val="18"/>
                      <w:lang w:val="en-US" w:eastAsia="zh-CN"/>
                    </w:rPr>
                    <w:t>芒市</w:t>
                  </w:r>
                </w:p>
              </w:tc>
              <w:tc>
                <w:tcPr>
                  <w:tcW w:w="606" w:type="pct"/>
                  <w:noWrap w:val="0"/>
                  <w:vAlign w:val="center"/>
                </w:tcPr>
                <w:p w14:paraId="0CFC8713">
                  <w:pPr>
                    <w:pStyle w:val="89"/>
                    <w:keepNext w:val="0"/>
                    <w:keepLines w:val="0"/>
                    <w:suppressLineNumbers w:val="0"/>
                    <w:spacing w:before="32" w:beforeAutospacing="0" w:after="0" w:afterAutospacing="0" w:line="360" w:lineRule="auto"/>
                    <w:ind w:left="168" w:right="162"/>
                    <w:jc w:val="center"/>
                    <w:rPr>
                      <w:rFonts w:hint="default" w:eastAsia="宋体"/>
                      <w:color w:val="auto"/>
                      <w:sz w:val="18"/>
                      <w:szCs w:val="18"/>
                      <w:lang w:val="en-US" w:eastAsia="zh-CN"/>
                    </w:rPr>
                  </w:pPr>
                  <w:r>
                    <w:rPr>
                      <w:rFonts w:hint="eastAsia"/>
                      <w:color w:val="auto"/>
                      <w:sz w:val="18"/>
                      <w:szCs w:val="18"/>
                      <w:lang w:val="en-US" w:eastAsia="zh-CN"/>
                    </w:rPr>
                    <w:t>日均值范围</w:t>
                  </w:r>
                </w:p>
              </w:tc>
              <w:tc>
                <w:tcPr>
                  <w:tcW w:w="620" w:type="pct"/>
                  <w:noWrap w:val="0"/>
                  <w:vAlign w:val="center"/>
                </w:tcPr>
                <w:p w14:paraId="652DDDD8">
                  <w:pPr>
                    <w:pStyle w:val="89"/>
                    <w:keepNext w:val="0"/>
                    <w:keepLines w:val="0"/>
                    <w:suppressLineNumbers w:val="0"/>
                    <w:spacing w:before="0" w:beforeAutospacing="0" w:after="0" w:afterAutospacing="0" w:line="360" w:lineRule="auto"/>
                    <w:ind w:left="0" w:right="88"/>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w:t>
                  </w:r>
                  <w:r>
                    <w:rPr>
                      <w:rFonts w:hint="default"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25</w:t>
                  </w:r>
                </w:p>
              </w:tc>
              <w:tc>
                <w:tcPr>
                  <w:tcW w:w="583" w:type="pct"/>
                  <w:noWrap w:val="0"/>
                  <w:vAlign w:val="center"/>
                </w:tcPr>
                <w:p w14:paraId="7FB5D4A9">
                  <w:pPr>
                    <w:pStyle w:val="89"/>
                    <w:keepNext w:val="0"/>
                    <w:keepLines w:val="0"/>
                    <w:suppressLineNumbers w:val="0"/>
                    <w:spacing w:before="0" w:beforeAutospacing="0" w:after="0" w:afterAutospacing="0" w:line="360" w:lineRule="auto"/>
                    <w:ind w:left="0" w:right="104"/>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8</w:t>
                  </w:r>
                  <w:r>
                    <w:rPr>
                      <w:rFonts w:hint="default"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42</w:t>
                  </w:r>
                </w:p>
              </w:tc>
              <w:tc>
                <w:tcPr>
                  <w:tcW w:w="709" w:type="pct"/>
                  <w:noWrap w:val="0"/>
                  <w:vAlign w:val="center"/>
                </w:tcPr>
                <w:p w14:paraId="6A244AF9">
                  <w:pPr>
                    <w:pStyle w:val="89"/>
                    <w:keepNext w:val="0"/>
                    <w:keepLines w:val="0"/>
                    <w:suppressLineNumbers w:val="0"/>
                    <w:spacing w:before="0" w:beforeAutospacing="0" w:after="0" w:afterAutospacing="0" w:line="360" w:lineRule="auto"/>
                    <w:ind w:left="0" w:right="186"/>
                    <w:jc w:val="center"/>
                    <w:rPr>
                      <w:rFonts w:hint="default" w:ascii="Times New Roman" w:hAnsi="Times New Roman" w:cs="Times New Roman"/>
                      <w:color w:val="auto"/>
                      <w:sz w:val="18"/>
                      <w:szCs w:val="18"/>
                      <w:lang w:val="en-US"/>
                    </w:rPr>
                  </w:pPr>
                  <w:r>
                    <w:rPr>
                      <w:rFonts w:hint="eastAsia" w:ascii="Times New Roman" w:hAnsi="Times New Roman" w:cs="Times New Roman"/>
                      <w:color w:val="auto"/>
                      <w:sz w:val="18"/>
                      <w:szCs w:val="18"/>
                      <w:lang w:val="en-US" w:eastAsia="zh-CN"/>
                    </w:rPr>
                    <w:t>11</w:t>
                  </w:r>
                  <w:r>
                    <w:rPr>
                      <w:rFonts w:hint="default"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160</w:t>
                  </w:r>
                </w:p>
              </w:tc>
              <w:tc>
                <w:tcPr>
                  <w:tcW w:w="720" w:type="pct"/>
                  <w:noWrap w:val="0"/>
                  <w:vAlign w:val="center"/>
                </w:tcPr>
                <w:p w14:paraId="756D6A67">
                  <w:pPr>
                    <w:pStyle w:val="89"/>
                    <w:keepNext w:val="0"/>
                    <w:keepLines w:val="0"/>
                    <w:suppressLineNumbers w:val="0"/>
                    <w:spacing w:before="0" w:beforeAutospacing="0" w:after="0" w:afterAutospacing="0" w:line="360" w:lineRule="auto"/>
                    <w:ind w:left="0" w:right="98"/>
                    <w:jc w:val="center"/>
                    <w:rPr>
                      <w:rFonts w:hint="default" w:ascii="Times New Roman" w:hAnsi="Times New Roman" w:cs="Times New Roman"/>
                      <w:color w:val="auto"/>
                      <w:sz w:val="18"/>
                      <w:szCs w:val="18"/>
                      <w:lang w:val="en-US"/>
                    </w:rPr>
                  </w:pPr>
                  <w:r>
                    <w:rPr>
                      <w:rFonts w:hint="eastAsia" w:ascii="Times New Roman" w:hAnsi="Times New Roman" w:cs="Times New Roman"/>
                      <w:color w:val="auto"/>
                      <w:sz w:val="18"/>
                      <w:szCs w:val="18"/>
                      <w:lang w:val="en-US" w:eastAsia="zh-CN"/>
                    </w:rPr>
                    <w:t>6</w:t>
                  </w:r>
                  <w:r>
                    <w:rPr>
                      <w:rFonts w:hint="default"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102</w:t>
                  </w:r>
                </w:p>
              </w:tc>
              <w:tc>
                <w:tcPr>
                  <w:tcW w:w="655" w:type="pct"/>
                  <w:noWrap w:val="0"/>
                  <w:vAlign w:val="center"/>
                </w:tcPr>
                <w:p w14:paraId="29AC5019">
                  <w:pPr>
                    <w:pStyle w:val="89"/>
                    <w:keepNext w:val="0"/>
                    <w:keepLines w:val="0"/>
                    <w:suppressLineNumbers w:val="0"/>
                    <w:spacing w:before="0" w:beforeAutospacing="0" w:after="0" w:afterAutospacing="0" w:line="360" w:lineRule="auto"/>
                    <w:ind w:left="112" w:right="105"/>
                    <w:jc w:val="center"/>
                    <w:rPr>
                      <w:rFonts w:hint="default" w:ascii="Times New Roman" w:hAnsi="Times New Roman" w:cs="Times New Roman"/>
                      <w:color w:val="auto"/>
                      <w:sz w:val="18"/>
                      <w:szCs w:val="18"/>
                      <w:lang w:val="en-US"/>
                    </w:rPr>
                  </w:pPr>
                  <w:r>
                    <w:rPr>
                      <w:rFonts w:hint="eastAsia" w:ascii="Times New Roman" w:hAnsi="Times New Roman" w:cs="Times New Roman"/>
                      <w:color w:val="auto"/>
                      <w:sz w:val="18"/>
                      <w:szCs w:val="18"/>
                      <w:lang w:val="en-US" w:eastAsia="zh-CN"/>
                    </w:rPr>
                    <w:t>0.4</w:t>
                  </w:r>
                  <w:r>
                    <w:rPr>
                      <w:rFonts w:hint="default"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1.5</w:t>
                  </w:r>
                </w:p>
              </w:tc>
              <w:tc>
                <w:tcPr>
                  <w:tcW w:w="865" w:type="pct"/>
                  <w:noWrap w:val="0"/>
                  <w:vAlign w:val="center"/>
                </w:tcPr>
                <w:p w14:paraId="31C877E6">
                  <w:pPr>
                    <w:pStyle w:val="89"/>
                    <w:keepNext w:val="0"/>
                    <w:keepLines w:val="0"/>
                    <w:suppressLineNumbers w:val="0"/>
                    <w:spacing w:before="0" w:beforeAutospacing="0" w:after="0" w:afterAutospacing="0" w:line="360" w:lineRule="auto"/>
                    <w:ind w:left="0" w:right="106"/>
                    <w:jc w:val="center"/>
                    <w:rPr>
                      <w:rFonts w:hint="default" w:ascii="Times New Roman" w:hAnsi="Times New Roman" w:cs="Times New Roman"/>
                      <w:color w:val="auto"/>
                      <w:sz w:val="18"/>
                      <w:szCs w:val="18"/>
                      <w:lang w:val="en-US"/>
                    </w:rPr>
                  </w:pPr>
                  <w:r>
                    <w:rPr>
                      <w:rFonts w:hint="eastAsia" w:ascii="Times New Roman" w:hAnsi="Times New Roman" w:cs="Times New Roman"/>
                      <w:color w:val="auto"/>
                      <w:sz w:val="18"/>
                      <w:szCs w:val="18"/>
                      <w:lang w:val="en-US" w:eastAsia="zh-CN"/>
                    </w:rPr>
                    <w:t>19</w:t>
                  </w:r>
                  <w:r>
                    <w:rPr>
                      <w:rFonts w:hint="default"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168</w:t>
                  </w:r>
                </w:p>
              </w:tc>
            </w:tr>
            <w:tr w14:paraId="297A7A9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92" w:hRule="atLeast"/>
                <w:jc w:val="center"/>
              </w:trPr>
              <w:tc>
                <w:tcPr>
                  <w:tcW w:w="238" w:type="pct"/>
                  <w:vMerge w:val="continue"/>
                  <w:tcBorders>
                    <w:top w:val="nil"/>
                    <w:bottom w:val="nil"/>
                  </w:tcBorders>
                  <w:noWrap w:val="0"/>
                  <w:vAlign w:val="center"/>
                </w:tcPr>
                <w:p w14:paraId="4DF864D2">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18"/>
                      <w:szCs w:val="18"/>
                    </w:rPr>
                  </w:pPr>
                </w:p>
              </w:tc>
              <w:tc>
                <w:tcPr>
                  <w:tcW w:w="606" w:type="pct"/>
                  <w:noWrap w:val="0"/>
                  <w:vAlign w:val="center"/>
                </w:tcPr>
                <w:p w14:paraId="3D94C156">
                  <w:pPr>
                    <w:pStyle w:val="89"/>
                    <w:keepNext w:val="0"/>
                    <w:keepLines w:val="0"/>
                    <w:suppressLineNumbers w:val="0"/>
                    <w:spacing w:before="1" w:beforeAutospacing="0" w:after="0" w:afterAutospacing="0" w:line="360" w:lineRule="auto"/>
                    <w:ind w:left="168" w:right="162"/>
                    <w:jc w:val="center"/>
                    <w:rPr>
                      <w:rFonts w:hint="default" w:eastAsia="宋体"/>
                      <w:color w:val="auto"/>
                      <w:sz w:val="18"/>
                      <w:szCs w:val="18"/>
                      <w:lang w:val="en-US" w:eastAsia="zh-CN"/>
                    </w:rPr>
                  </w:pPr>
                  <w:r>
                    <w:rPr>
                      <w:rFonts w:hint="eastAsia"/>
                      <w:color w:val="auto"/>
                      <w:sz w:val="18"/>
                      <w:szCs w:val="18"/>
                      <w:lang w:val="en-US" w:eastAsia="zh-CN"/>
                    </w:rPr>
                    <w:t>平均值</w:t>
                  </w:r>
                </w:p>
              </w:tc>
              <w:tc>
                <w:tcPr>
                  <w:tcW w:w="620" w:type="pct"/>
                  <w:noWrap w:val="0"/>
                  <w:vAlign w:val="center"/>
                </w:tcPr>
                <w:p w14:paraId="3EDC1FF8">
                  <w:pPr>
                    <w:pStyle w:val="89"/>
                    <w:keepNext w:val="0"/>
                    <w:keepLines w:val="0"/>
                    <w:suppressLineNumbers w:val="0"/>
                    <w:spacing w:before="42" w:beforeAutospacing="0" w:after="0" w:afterAutospacing="0" w:line="360" w:lineRule="auto"/>
                    <w:ind w:left="0" w:right="88"/>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9</w:t>
                  </w:r>
                </w:p>
              </w:tc>
              <w:tc>
                <w:tcPr>
                  <w:tcW w:w="583" w:type="pct"/>
                  <w:noWrap w:val="0"/>
                  <w:vAlign w:val="center"/>
                </w:tcPr>
                <w:p w14:paraId="23EF5B9E">
                  <w:pPr>
                    <w:pStyle w:val="89"/>
                    <w:keepNext w:val="0"/>
                    <w:keepLines w:val="0"/>
                    <w:suppressLineNumbers w:val="0"/>
                    <w:spacing w:before="42" w:beforeAutospacing="0" w:after="0" w:afterAutospacing="0" w:line="360" w:lineRule="auto"/>
                    <w:ind w:left="0" w:right="105"/>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19</w:t>
                  </w:r>
                </w:p>
              </w:tc>
              <w:tc>
                <w:tcPr>
                  <w:tcW w:w="709" w:type="pct"/>
                  <w:noWrap w:val="0"/>
                  <w:vAlign w:val="center"/>
                </w:tcPr>
                <w:p w14:paraId="1D6EAAC5">
                  <w:pPr>
                    <w:pStyle w:val="89"/>
                    <w:keepNext w:val="0"/>
                    <w:keepLines w:val="0"/>
                    <w:suppressLineNumbers w:val="0"/>
                    <w:spacing w:before="42" w:beforeAutospacing="0" w:after="0" w:afterAutospacing="0" w:line="360" w:lineRule="auto"/>
                    <w:ind w:left="0" w:right="186"/>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42</w:t>
                  </w:r>
                </w:p>
              </w:tc>
              <w:tc>
                <w:tcPr>
                  <w:tcW w:w="720" w:type="pct"/>
                  <w:noWrap w:val="0"/>
                  <w:vAlign w:val="center"/>
                </w:tcPr>
                <w:p w14:paraId="4FEFB5B1">
                  <w:pPr>
                    <w:pStyle w:val="89"/>
                    <w:keepNext w:val="0"/>
                    <w:keepLines w:val="0"/>
                    <w:suppressLineNumbers w:val="0"/>
                    <w:spacing w:before="42" w:beforeAutospacing="0" w:after="0" w:afterAutospacing="0" w:line="360" w:lineRule="auto"/>
                    <w:ind w:left="0" w:right="98"/>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22</w:t>
                  </w:r>
                </w:p>
              </w:tc>
              <w:tc>
                <w:tcPr>
                  <w:tcW w:w="655" w:type="pct"/>
                  <w:noWrap w:val="0"/>
                  <w:vAlign w:val="center"/>
                </w:tcPr>
                <w:p w14:paraId="035DB092">
                  <w:pPr>
                    <w:pStyle w:val="89"/>
                    <w:keepNext w:val="0"/>
                    <w:keepLines w:val="0"/>
                    <w:suppressLineNumbers w:val="0"/>
                    <w:spacing w:before="42" w:beforeAutospacing="0" w:after="0" w:afterAutospacing="0" w:line="360" w:lineRule="auto"/>
                    <w:ind w:left="0" w:right="105"/>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0.8</w:t>
                  </w:r>
                </w:p>
              </w:tc>
              <w:tc>
                <w:tcPr>
                  <w:tcW w:w="865" w:type="pct"/>
                  <w:noWrap w:val="0"/>
                  <w:vAlign w:val="center"/>
                </w:tcPr>
                <w:p w14:paraId="68C6E8FA">
                  <w:pPr>
                    <w:pStyle w:val="89"/>
                    <w:keepNext w:val="0"/>
                    <w:keepLines w:val="0"/>
                    <w:suppressLineNumbers w:val="0"/>
                    <w:spacing w:before="42" w:beforeAutospacing="0" w:after="0" w:afterAutospacing="0" w:line="360" w:lineRule="auto"/>
                    <w:ind w:left="0" w:right="106"/>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71</w:t>
                  </w:r>
                </w:p>
              </w:tc>
            </w:tr>
            <w:tr w14:paraId="00BE17D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92" w:hRule="atLeast"/>
                <w:jc w:val="center"/>
              </w:trPr>
              <w:tc>
                <w:tcPr>
                  <w:tcW w:w="238" w:type="pct"/>
                  <w:tcBorders>
                    <w:top w:val="nil"/>
                    <w:bottom w:val="nil"/>
                  </w:tcBorders>
                  <w:noWrap w:val="0"/>
                  <w:vAlign w:val="center"/>
                </w:tcPr>
                <w:p w14:paraId="00E0CB88">
                  <w:pPr>
                    <w:keepNext w:val="0"/>
                    <w:keepLines w:val="0"/>
                    <w:suppressLineNumbers w:val="0"/>
                    <w:spacing w:before="0" w:beforeAutospacing="0" w:after="0" w:afterAutospacing="0" w:line="360" w:lineRule="auto"/>
                    <w:ind w:left="0" w:right="0"/>
                    <w:jc w:val="both"/>
                    <w:rPr>
                      <w:rFonts w:hint="default" w:ascii="Times New Roman" w:hAnsi="Times New Roman" w:cs="Times New Roman"/>
                      <w:color w:val="auto"/>
                      <w:sz w:val="18"/>
                      <w:szCs w:val="18"/>
                    </w:rPr>
                  </w:pPr>
                </w:p>
              </w:tc>
              <w:tc>
                <w:tcPr>
                  <w:tcW w:w="606" w:type="pct"/>
                  <w:noWrap w:val="0"/>
                  <w:vAlign w:val="center"/>
                </w:tcPr>
                <w:p w14:paraId="1DD185F1">
                  <w:pPr>
                    <w:pStyle w:val="89"/>
                    <w:keepNext w:val="0"/>
                    <w:keepLines w:val="0"/>
                    <w:suppressLineNumbers w:val="0"/>
                    <w:spacing w:before="1" w:beforeAutospacing="0" w:after="0" w:afterAutospacing="0" w:line="360" w:lineRule="auto"/>
                    <w:ind w:left="168" w:right="162"/>
                    <w:jc w:val="center"/>
                    <w:rPr>
                      <w:rFonts w:hint="default"/>
                      <w:color w:val="auto"/>
                      <w:sz w:val="18"/>
                      <w:szCs w:val="18"/>
                      <w:lang w:val="en-US" w:eastAsia="zh-CN"/>
                    </w:rPr>
                  </w:pPr>
                  <w:r>
                    <w:rPr>
                      <w:rFonts w:hint="eastAsia"/>
                      <w:color w:val="auto"/>
                      <w:sz w:val="18"/>
                      <w:szCs w:val="18"/>
                      <w:lang w:val="en-US" w:eastAsia="zh-CN"/>
                    </w:rPr>
                    <w:t>百分位数浓度</w:t>
                  </w:r>
                </w:p>
              </w:tc>
              <w:tc>
                <w:tcPr>
                  <w:tcW w:w="620" w:type="pct"/>
                  <w:noWrap w:val="0"/>
                  <w:vAlign w:val="center"/>
                </w:tcPr>
                <w:p w14:paraId="0128B597">
                  <w:pPr>
                    <w:pStyle w:val="89"/>
                    <w:keepNext w:val="0"/>
                    <w:keepLines w:val="0"/>
                    <w:suppressLineNumbers w:val="0"/>
                    <w:spacing w:before="42" w:beforeAutospacing="0" w:after="0" w:afterAutospacing="0" w:line="360" w:lineRule="auto"/>
                    <w:ind w:left="0" w:right="88"/>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17</w:t>
                  </w:r>
                </w:p>
              </w:tc>
              <w:tc>
                <w:tcPr>
                  <w:tcW w:w="583" w:type="pct"/>
                  <w:noWrap w:val="0"/>
                  <w:vAlign w:val="center"/>
                </w:tcPr>
                <w:p w14:paraId="056F6EBC">
                  <w:pPr>
                    <w:pStyle w:val="89"/>
                    <w:keepNext w:val="0"/>
                    <w:keepLines w:val="0"/>
                    <w:suppressLineNumbers w:val="0"/>
                    <w:spacing w:before="42" w:beforeAutospacing="0" w:after="0" w:afterAutospacing="0" w:line="360" w:lineRule="auto"/>
                    <w:ind w:left="0" w:right="105"/>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34</w:t>
                  </w:r>
                </w:p>
              </w:tc>
              <w:tc>
                <w:tcPr>
                  <w:tcW w:w="709" w:type="pct"/>
                  <w:noWrap w:val="0"/>
                  <w:vAlign w:val="center"/>
                </w:tcPr>
                <w:p w14:paraId="2B918A27">
                  <w:pPr>
                    <w:pStyle w:val="89"/>
                    <w:keepNext w:val="0"/>
                    <w:keepLines w:val="0"/>
                    <w:suppressLineNumbers w:val="0"/>
                    <w:spacing w:before="42" w:beforeAutospacing="0" w:after="0" w:afterAutospacing="0" w:line="360" w:lineRule="auto"/>
                    <w:ind w:left="0" w:right="186"/>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86</w:t>
                  </w:r>
                </w:p>
              </w:tc>
              <w:tc>
                <w:tcPr>
                  <w:tcW w:w="720" w:type="pct"/>
                  <w:noWrap w:val="0"/>
                  <w:vAlign w:val="center"/>
                </w:tcPr>
                <w:p w14:paraId="56DA3F92">
                  <w:pPr>
                    <w:pStyle w:val="89"/>
                    <w:keepNext w:val="0"/>
                    <w:keepLines w:val="0"/>
                    <w:suppressLineNumbers w:val="0"/>
                    <w:spacing w:before="42" w:beforeAutospacing="0" w:after="0" w:afterAutospacing="0" w:line="360" w:lineRule="auto"/>
                    <w:ind w:left="0" w:right="98"/>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44</w:t>
                  </w:r>
                </w:p>
              </w:tc>
              <w:tc>
                <w:tcPr>
                  <w:tcW w:w="655" w:type="pct"/>
                  <w:noWrap w:val="0"/>
                  <w:vAlign w:val="center"/>
                </w:tcPr>
                <w:p w14:paraId="0EDE177E">
                  <w:pPr>
                    <w:pStyle w:val="89"/>
                    <w:keepNext w:val="0"/>
                    <w:keepLines w:val="0"/>
                    <w:suppressLineNumbers w:val="0"/>
                    <w:spacing w:before="42" w:beforeAutospacing="0" w:after="0" w:afterAutospacing="0" w:line="360" w:lineRule="auto"/>
                    <w:ind w:left="114" w:right="105"/>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w:t>
                  </w:r>
                </w:p>
              </w:tc>
              <w:tc>
                <w:tcPr>
                  <w:tcW w:w="865" w:type="pct"/>
                  <w:noWrap w:val="0"/>
                  <w:vAlign w:val="center"/>
                </w:tcPr>
                <w:p w14:paraId="5612BA18">
                  <w:pPr>
                    <w:pStyle w:val="89"/>
                    <w:keepNext w:val="0"/>
                    <w:keepLines w:val="0"/>
                    <w:suppressLineNumbers w:val="0"/>
                    <w:spacing w:before="42" w:beforeAutospacing="0" w:after="0" w:afterAutospacing="0" w:line="360" w:lineRule="auto"/>
                    <w:ind w:left="0" w:right="106"/>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115</w:t>
                  </w:r>
                </w:p>
              </w:tc>
            </w:tr>
            <w:tr w14:paraId="1100D15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92" w:hRule="atLeast"/>
                <w:jc w:val="center"/>
              </w:trPr>
              <w:tc>
                <w:tcPr>
                  <w:tcW w:w="238" w:type="pct"/>
                  <w:tcBorders>
                    <w:top w:val="nil"/>
                  </w:tcBorders>
                  <w:noWrap w:val="0"/>
                  <w:vAlign w:val="center"/>
                </w:tcPr>
                <w:p w14:paraId="011FD4B0">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18"/>
                      <w:szCs w:val="18"/>
                    </w:rPr>
                  </w:pPr>
                </w:p>
              </w:tc>
              <w:tc>
                <w:tcPr>
                  <w:tcW w:w="606" w:type="pct"/>
                  <w:noWrap w:val="0"/>
                  <w:vAlign w:val="center"/>
                </w:tcPr>
                <w:p w14:paraId="0B719C28">
                  <w:pPr>
                    <w:pStyle w:val="89"/>
                    <w:keepNext w:val="0"/>
                    <w:keepLines w:val="0"/>
                    <w:suppressLineNumbers w:val="0"/>
                    <w:spacing w:before="1" w:beforeAutospacing="0" w:after="0" w:afterAutospacing="0" w:line="360" w:lineRule="auto"/>
                    <w:ind w:left="168" w:right="162"/>
                    <w:jc w:val="center"/>
                    <w:rPr>
                      <w:rFonts w:hint="default"/>
                      <w:color w:val="auto"/>
                      <w:sz w:val="18"/>
                      <w:szCs w:val="18"/>
                      <w:lang w:val="en-US" w:eastAsia="zh-CN"/>
                    </w:rPr>
                  </w:pPr>
                  <w:r>
                    <w:rPr>
                      <w:rFonts w:hint="eastAsia"/>
                      <w:color w:val="auto"/>
                      <w:sz w:val="18"/>
                      <w:szCs w:val="18"/>
                      <w:lang w:val="en-US" w:eastAsia="zh-CN"/>
                    </w:rPr>
                    <w:t>所属类别</w:t>
                  </w:r>
                </w:p>
              </w:tc>
              <w:tc>
                <w:tcPr>
                  <w:tcW w:w="620" w:type="pct"/>
                  <w:noWrap w:val="0"/>
                  <w:vAlign w:val="center"/>
                </w:tcPr>
                <w:p w14:paraId="5A0068E0">
                  <w:pPr>
                    <w:pStyle w:val="89"/>
                    <w:keepNext w:val="0"/>
                    <w:keepLines w:val="0"/>
                    <w:suppressLineNumbers w:val="0"/>
                    <w:spacing w:before="42" w:beforeAutospacing="0" w:after="0" w:afterAutospacing="0" w:line="360" w:lineRule="auto"/>
                    <w:ind w:left="98" w:right="88"/>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一级</w:t>
                  </w:r>
                </w:p>
              </w:tc>
              <w:tc>
                <w:tcPr>
                  <w:tcW w:w="583" w:type="pct"/>
                  <w:noWrap w:val="0"/>
                  <w:vAlign w:val="center"/>
                </w:tcPr>
                <w:p w14:paraId="01374879">
                  <w:pPr>
                    <w:pStyle w:val="89"/>
                    <w:keepNext w:val="0"/>
                    <w:keepLines w:val="0"/>
                    <w:suppressLineNumbers w:val="0"/>
                    <w:spacing w:before="42" w:beforeAutospacing="0" w:after="0" w:afterAutospacing="0" w:line="360" w:lineRule="auto"/>
                    <w:ind w:left="113" w:right="105"/>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一级</w:t>
                  </w:r>
                </w:p>
              </w:tc>
              <w:tc>
                <w:tcPr>
                  <w:tcW w:w="709" w:type="pct"/>
                  <w:noWrap w:val="0"/>
                  <w:vAlign w:val="center"/>
                </w:tcPr>
                <w:p w14:paraId="2FC4C7E1">
                  <w:pPr>
                    <w:pStyle w:val="89"/>
                    <w:keepNext w:val="0"/>
                    <w:keepLines w:val="0"/>
                    <w:suppressLineNumbers w:val="0"/>
                    <w:spacing w:before="42" w:beforeAutospacing="0" w:after="0" w:afterAutospacing="0" w:line="360" w:lineRule="auto"/>
                    <w:ind w:left="195" w:right="186"/>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二级</w:t>
                  </w:r>
                </w:p>
              </w:tc>
              <w:tc>
                <w:tcPr>
                  <w:tcW w:w="720" w:type="pct"/>
                  <w:noWrap w:val="0"/>
                  <w:vAlign w:val="center"/>
                </w:tcPr>
                <w:p w14:paraId="7FD64538">
                  <w:pPr>
                    <w:pStyle w:val="89"/>
                    <w:keepNext w:val="0"/>
                    <w:keepLines w:val="0"/>
                    <w:suppressLineNumbers w:val="0"/>
                    <w:spacing w:before="42" w:beforeAutospacing="0" w:after="0" w:afterAutospacing="0" w:line="360" w:lineRule="auto"/>
                    <w:ind w:left="106" w:right="98"/>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二级</w:t>
                  </w:r>
                </w:p>
              </w:tc>
              <w:tc>
                <w:tcPr>
                  <w:tcW w:w="655" w:type="pct"/>
                  <w:noWrap w:val="0"/>
                  <w:vAlign w:val="center"/>
                </w:tcPr>
                <w:p w14:paraId="02A4B89C">
                  <w:pPr>
                    <w:pStyle w:val="89"/>
                    <w:keepNext w:val="0"/>
                    <w:keepLines w:val="0"/>
                    <w:suppressLineNumbers w:val="0"/>
                    <w:spacing w:before="42" w:beforeAutospacing="0" w:after="0" w:afterAutospacing="0" w:line="360" w:lineRule="auto"/>
                    <w:ind w:left="114" w:right="105"/>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一级</w:t>
                  </w:r>
                </w:p>
              </w:tc>
              <w:tc>
                <w:tcPr>
                  <w:tcW w:w="865" w:type="pct"/>
                  <w:noWrap w:val="0"/>
                  <w:vAlign w:val="center"/>
                </w:tcPr>
                <w:p w14:paraId="5E4985C4">
                  <w:pPr>
                    <w:pStyle w:val="89"/>
                    <w:keepNext w:val="0"/>
                    <w:keepLines w:val="0"/>
                    <w:suppressLineNumbers w:val="0"/>
                    <w:spacing w:before="42" w:beforeAutospacing="0" w:after="0" w:afterAutospacing="0" w:line="360" w:lineRule="auto"/>
                    <w:ind w:left="111" w:right="106"/>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二级</w:t>
                  </w:r>
                </w:p>
              </w:tc>
            </w:tr>
          </w:tbl>
          <w:p w14:paraId="24B0AAF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经过调查，项目位于乡镇地区</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周边无大型大气污染企业</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因此项目所在区域环境空气质量良好，可满足《环境空气质量标准》（GB 3095-2012）中的</w:t>
            </w:r>
            <w:r>
              <w:rPr>
                <w:rFonts w:hint="eastAsia" w:ascii="Times New Roman" w:hAnsi="Times New Roman" w:eastAsia="宋体" w:cs="Times New Roman"/>
                <w:color w:val="auto"/>
                <w:sz w:val="24"/>
                <w:szCs w:val="24"/>
                <w:lang w:val="en-US" w:eastAsia="zh-CN"/>
              </w:rPr>
              <w:t>二</w:t>
            </w:r>
            <w:r>
              <w:rPr>
                <w:rFonts w:hint="default" w:ascii="Times New Roman" w:hAnsi="Times New Roman" w:eastAsia="宋体" w:cs="Times New Roman"/>
                <w:color w:val="auto"/>
                <w:sz w:val="24"/>
                <w:szCs w:val="24"/>
                <w:lang w:val="en-US" w:eastAsia="zh-CN"/>
              </w:rPr>
              <w:t>级标准。</w:t>
            </w:r>
          </w:p>
          <w:p w14:paraId="7CD3C15B">
            <w:pPr>
              <w:keepNext w:val="0"/>
              <w:keepLines w:val="0"/>
              <w:widowControl/>
              <w:suppressLineNumbers w:val="0"/>
              <w:spacing w:before="0" w:beforeAutospacing="0" w:after="0" w:afterAutospacing="0"/>
              <w:ind w:left="0" w:right="0"/>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声环境质量现状</w:t>
            </w:r>
          </w:p>
          <w:p w14:paraId="10FD5F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color w:val="auto"/>
                <w:sz w:val="24"/>
                <w:szCs w:val="24"/>
                <w:lang w:val="en-US" w:eastAsia="zh-CN"/>
              </w:rPr>
              <w:t>项目所在区域属于</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类声环境功能区，执行《声环境质量标准》（GB3096-2008）中的</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类声环境功能区环境噪声限值标准，即昼间</w:t>
            </w:r>
            <w:r>
              <w:rPr>
                <w:rFonts w:hint="eastAsia" w:ascii="Times New Roman" w:hAnsi="Times New Roman" w:eastAsia="宋体" w:cs="Times New Roman"/>
                <w:color w:val="auto"/>
                <w:sz w:val="24"/>
                <w:szCs w:val="24"/>
                <w:lang w:val="en-US" w:eastAsia="zh-CN"/>
              </w:rPr>
              <w:t>60</w:t>
            </w:r>
            <w:r>
              <w:rPr>
                <w:rFonts w:hint="default" w:ascii="Times New Roman" w:hAnsi="Times New Roman" w:eastAsia="宋体" w:cs="Times New Roman"/>
                <w:color w:val="auto"/>
                <w:sz w:val="24"/>
                <w:szCs w:val="24"/>
                <w:lang w:val="en-US" w:eastAsia="zh-CN"/>
              </w:rPr>
              <w:t>dB(A)，夜间</w:t>
            </w:r>
            <w:r>
              <w:rPr>
                <w:rFonts w:hint="eastAsia" w:ascii="Times New Roman" w:hAnsi="Times New Roman" w:eastAsia="宋体" w:cs="Times New Roman"/>
                <w:color w:val="auto"/>
                <w:sz w:val="24"/>
                <w:szCs w:val="24"/>
                <w:lang w:val="en-US" w:eastAsia="zh-CN"/>
              </w:rPr>
              <w:t>50</w:t>
            </w:r>
            <w:r>
              <w:rPr>
                <w:rFonts w:hint="default" w:ascii="Times New Roman" w:hAnsi="Times New Roman" w:eastAsia="宋体" w:cs="Times New Roman"/>
                <w:color w:val="auto"/>
                <w:sz w:val="24"/>
                <w:szCs w:val="24"/>
                <w:lang w:val="en-US" w:eastAsia="zh-CN"/>
              </w:rPr>
              <w:t>dB(A)。</w:t>
            </w:r>
          </w:p>
          <w:p w14:paraId="1AD50B4E">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经过调查</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项目</w:t>
            </w:r>
            <w:r>
              <w:rPr>
                <w:rFonts w:hint="eastAsia" w:ascii="Times New Roman" w:hAnsi="Times New Roman" w:eastAsia="宋体" w:cs="Times New Roman"/>
                <w:color w:val="auto"/>
                <w:sz w:val="24"/>
                <w:szCs w:val="24"/>
                <w:lang w:val="en-US" w:eastAsia="zh-CN"/>
              </w:rPr>
              <w:t>厂界外50m范围内无声环境保护目标，即无居民区，因此本次评价不开展声环境质量现状监测。经过环评人员现场踏勘，项目周边</w:t>
            </w:r>
            <w:r>
              <w:rPr>
                <w:rFonts w:hint="default" w:ascii="Times New Roman" w:hAnsi="Times New Roman" w:eastAsia="宋体" w:cs="Times New Roman"/>
                <w:color w:val="auto"/>
                <w:sz w:val="24"/>
                <w:szCs w:val="24"/>
                <w:lang w:val="en-US" w:eastAsia="zh-CN"/>
              </w:rPr>
              <w:t>无大型工业噪声源，</w:t>
            </w:r>
            <w:r>
              <w:rPr>
                <w:rFonts w:hint="eastAsia" w:ascii="Times New Roman" w:hAnsi="Times New Roman" w:eastAsia="宋体" w:cs="Times New Roman"/>
                <w:color w:val="auto"/>
                <w:sz w:val="24"/>
                <w:szCs w:val="24"/>
                <w:lang w:val="en-US" w:eastAsia="zh-CN"/>
              </w:rPr>
              <w:t>已存在的企业均相应的采取一定的降噪措施，</w:t>
            </w:r>
            <w:r>
              <w:rPr>
                <w:rFonts w:hint="default" w:ascii="Times New Roman" w:hAnsi="Times New Roman" w:eastAsia="宋体" w:cs="Times New Roman"/>
                <w:color w:val="auto"/>
                <w:sz w:val="24"/>
                <w:szCs w:val="24"/>
                <w:lang w:val="en-US" w:eastAsia="zh-CN"/>
              </w:rPr>
              <w:t>因此区域声环境质量良好，可达到</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声环境质量标准》(GB3096-2008)中的</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类标准要求。</w:t>
            </w:r>
          </w:p>
          <w:p w14:paraId="32E27E8F">
            <w:pPr>
              <w:keepNext w:val="0"/>
              <w:keepLines w:val="0"/>
              <w:suppressLineNumbers w:val="0"/>
              <w:adjustRightInd w:val="0"/>
              <w:snapToGrid w:val="0"/>
              <w:spacing w:before="0" w:beforeAutospacing="0" w:after="0" w:afterAutospacing="0" w:line="360" w:lineRule="auto"/>
              <w:ind w:left="0" w:right="0" w:firstLine="422" w:firstLineChars="200"/>
              <w:jc w:val="left"/>
              <w:rPr>
                <w:rFonts w:hint="default" w:ascii="Times New Roman" w:hAnsi="Times New Roman" w:eastAsia="宋体" w:cs="Times New Roman"/>
                <w:b/>
                <w:color w:val="auto"/>
                <w:highlight w:val="none"/>
              </w:rPr>
            </w:pPr>
          </w:p>
        </w:tc>
      </w:tr>
      <w:tr w14:paraId="658159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18" w:hRule="atLeast"/>
        </w:trPr>
        <w:tc>
          <w:tcPr>
            <w:tcW w:w="437" w:type="dxa"/>
            <w:tcBorders>
              <w:top w:val="single" w:color="auto" w:sz="4" w:space="0"/>
              <w:left w:val="single" w:color="auto" w:sz="8" w:space="0"/>
              <w:bottom w:val="single" w:color="auto" w:sz="4" w:space="0"/>
              <w:right w:val="single" w:color="auto" w:sz="4" w:space="0"/>
            </w:tcBorders>
            <w:noWrap w:val="0"/>
            <w:vAlign w:val="center"/>
          </w:tcPr>
          <w:p w14:paraId="6C5E90C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sz w:val="24"/>
                <w:highlight w:val="none"/>
              </w:rPr>
              <w:t>与项目有关的原有环境污染和生态破坏问题</w:t>
            </w:r>
          </w:p>
        </w:tc>
        <w:tc>
          <w:tcPr>
            <w:tcW w:w="8497" w:type="dxa"/>
            <w:tcBorders>
              <w:top w:val="single" w:color="auto" w:sz="4" w:space="0"/>
              <w:left w:val="single" w:color="auto" w:sz="4" w:space="0"/>
              <w:bottom w:val="single" w:color="auto" w:sz="4" w:space="0"/>
              <w:right w:val="single" w:color="auto" w:sz="8" w:space="0"/>
            </w:tcBorders>
            <w:noWrap w:val="0"/>
            <w:vAlign w:val="center"/>
          </w:tcPr>
          <w:p w14:paraId="778ABF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720" w:firstLineChars="3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2013年芒市华盛金矿开发有限公司委托云南省地质环境监测院编制完成了《芒市华盛金矿开发有限公司芒市华盛金矿年产10万吨金矿石采选项目环境影响报告书》，并于2014年3月获得云南省环保厅的批复（云环审〔2014〕65号）。</w:t>
            </w:r>
            <w:r>
              <w:rPr>
                <w:rFonts w:hint="default" w:ascii="Times New Roman" w:hAnsi="Times New Roman" w:eastAsia="Calibri" w:cs="Times New Roman"/>
                <w:color w:val="auto"/>
                <w:sz w:val="24"/>
              </w:rPr>
              <w:t>项目于2014年5月开工建设，2015年6月建成投入试生产，2016年6月试生产结束投入正式生产</w:t>
            </w:r>
            <w:r>
              <w:rPr>
                <w:rFonts w:hint="default" w:ascii="Times New Roman" w:hAnsi="Times New Roman" w:eastAsia="宋体" w:cs="Times New Roman"/>
                <w:color w:val="auto"/>
                <w:kern w:val="0"/>
                <w:sz w:val="24"/>
                <w:szCs w:val="24"/>
                <w:highlight w:val="none"/>
                <w:lang w:val="en-US" w:eastAsia="zh-CN" w:bidi="ar-SA"/>
              </w:rPr>
              <w:t>，于2016年12月云南省环境工程评估中心编制完成《建设项目竣工环境保护验收调查</w:t>
            </w:r>
            <w:r>
              <w:rPr>
                <w:rFonts w:hint="default" w:ascii="Times New Roman" w:hAnsi="Times New Roman" w:eastAsia="宋体" w:cs="Times New Roman"/>
                <w:color w:val="auto"/>
                <w:kern w:val="0"/>
                <w:sz w:val="24"/>
                <w:szCs w:val="24"/>
                <w:lang w:val="en-US" w:eastAsia="zh-CN" w:bidi="ar"/>
              </w:rPr>
              <w:t>报告》，并通过环保验收。</w:t>
            </w:r>
            <w:r>
              <w:rPr>
                <w:rFonts w:hint="default" w:ascii="Times New Roman" w:hAnsi="Times New Roman" w:eastAsia="宋体" w:cs="Times New Roman"/>
                <w:color w:val="auto"/>
                <w:kern w:val="0"/>
                <w:sz w:val="24"/>
                <w:szCs w:val="24"/>
                <w:highlight w:val="none"/>
                <w:lang w:val="en-US" w:eastAsia="zh-CN" w:bidi="ar-SA"/>
              </w:rPr>
              <w:t>目前露天开采部分已开采结束，地下开采部分未开始开采。</w:t>
            </w:r>
          </w:p>
          <w:p w14:paraId="0C6834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现场勘查，项目所在矿区范围内植被覆盖，未出现裸露山体，项目生态恢复治理效果明显，所在区域内的植被恢复较好，未对所在范围内的生态环境造成严重的破坏或改变生态环境功能。因此无原有环境污染和生态破坏问题。</w:t>
            </w:r>
          </w:p>
          <w:p w14:paraId="1F9459F0">
            <w:pPr>
              <w:pStyle w:val="71"/>
              <w:keepNext w:val="0"/>
              <w:keepLines w:val="0"/>
              <w:suppressLineNumbers w:val="0"/>
              <w:autoSpaceDE w:val="0"/>
              <w:spacing w:before="0" w:beforeAutospacing="0" w:after="0" w:afterAutospacing="0"/>
              <w:ind w:left="0" w:leftChars="0" w:right="0" w:firstLine="480" w:firstLineChars="200"/>
              <w:jc w:val="both"/>
              <w:rPr>
                <w:rFonts w:hint="eastAsia" w:ascii="Times New Roman" w:hAnsi="Times New Roman" w:eastAsia="宋体" w:cs="Times New Roman"/>
                <w:color w:val="auto"/>
                <w:highlight w:val="none"/>
                <w:lang w:val="en-US" w:eastAsia="zh-CN"/>
              </w:rPr>
            </w:pPr>
          </w:p>
          <w:p w14:paraId="20A3C09E">
            <w:pPr>
              <w:pStyle w:val="71"/>
              <w:keepNext w:val="0"/>
              <w:keepLines w:val="0"/>
              <w:suppressLineNumbers w:val="0"/>
              <w:autoSpaceDE w:val="0"/>
              <w:spacing w:before="0" w:beforeAutospacing="0" w:after="0" w:afterAutospacing="0"/>
              <w:ind w:left="0" w:leftChars="0" w:right="0" w:firstLine="480" w:firstLineChars="200"/>
              <w:jc w:val="both"/>
              <w:rPr>
                <w:rFonts w:hint="eastAsia" w:ascii="Times New Roman" w:hAnsi="Times New Roman" w:eastAsia="宋体" w:cs="Times New Roman"/>
                <w:color w:val="auto"/>
                <w:highlight w:val="none"/>
                <w:lang w:val="en-US" w:eastAsia="zh-CN"/>
              </w:rPr>
            </w:pPr>
          </w:p>
          <w:p w14:paraId="34A12B02">
            <w:pPr>
              <w:pStyle w:val="71"/>
              <w:keepNext w:val="0"/>
              <w:keepLines w:val="0"/>
              <w:suppressLineNumbers w:val="0"/>
              <w:autoSpaceDE w:val="0"/>
              <w:spacing w:before="0" w:beforeAutospacing="0" w:after="0" w:afterAutospacing="0"/>
              <w:ind w:left="0" w:leftChars="0" w:right="0" w:firstLine="480" w:firstLineChars="200"/>
              <w:jc w:val="both"/>
              <w:rPr>
                <w:rFonts w:hint="eastAsia" w:ascii="Times New Roman" w:hAnsi="Times New Roman" w:eastAsia="宋体" w:cs="Times New Roman"/>
                <w:color w:val="auto"/>
                <w:highlight w:val="none"/>
                <w:lang w:val="en-US" w:eastAsia="zh-CN"/>
              </w:rPr>
            </w:pPr>
          </w:p>
          <w:p w14:paraId="1C9E9626">
            <w:pPr>
              <w:pStyle w:val="71"/>
              <w:keepNext w:val="0"/>
              <w:keepLines w:val="0"/>
              <w:suppressLineNumbers w:val="0"/>
              <w:autoSpaceDE w:val="0"/>
              <w:spacing w:before="0" w:beforeAutospacing="0" w:after="0" w:afterAutospacing="0"/>
              <w:ind w:left="0" w:leftChars="0" w:right="0" w:firstLine="480" w:firstLineChars="200"/>
              <w:jc w:val="both"/>
              <w:rPr>
                <w:rFonts w:hint="eastAsia" w:ascii="Times New Roman" w:hAnsi="Times New Roman" w:eastAsia="宋体" w:cs="Times New Roman"/>
                <w:color w:val="auto"/>
                <w:highlight w:val="none"/>
                <w:lang w:val="en-US" w:eastAsia="zh-CN"/>
              </w:rPr>
            </w:pPr>
          </w:p>
          <w:p w14:paraId="7E1DEDD8">
            <w:pPr>
              <w:pStyle w:val="71"/>
              <w:keepNext w:val="0"/>
              <w:keepLines w:val="0"/>
              <w:suppressLineNumbers w:val="0"/>
              <w:autoSpaceDE w:val="0"/>
              <w:spacing w:before="0" w:beforeAutospacing="0" w:after="0" w:afterAutospacing="0"/>
              <w:ind w:left="0" w:leftChars="0" w:right="0" w:firstLine="480" w:firstLineChars="200"/>
              <w:jc w:val="both"/>
              <w:rPr>
                <w:rFonts w:hint="default" w:ascii="Times New Roman" w:hAnsi="Times New Roman" w:eastAsia="宋体" w:cs="Times New Roman"/>
                <w:color w:val="auto"/>
                <w:highlight w:val="none"/>
                <w:lang w:val="en-US" w:eastAsia="zh-CN"/>
              </w:rPr>
            </w:pPr>
          </w:p>
        </w:tc>
      </w:tr>
      <w:tr w14:paraId="43AA76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99" w:hRule="atLeast"/>
        </w:trPr>
        <w:tc>
          <w:tcPr>
            <w:tcW w:w="437" w:type="dxa"/>
            <w:tcBorders>
              <w:top w:val="single" w:color="auto" w:sz="4" w:space="0"/>
              <w:left w:val="single" w:color="auto" w:sz="8" w:space="0"/>
              <w:bottom w:val="single" w:color="auto" w:sz="4" w:space="0"/>
              <w:right w:val="single" w:color="auto" w:sz="4" w:space="0"/>
            </w:tcBorders>
            <w:noWrap w:val="0"/>
            <w:vAlign w:val="center"/>
          </w:tcPr>
          <w:p w14:paraId="0046FB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生态环境保护目标</w:t>
            </w:r>
          </w:p>
        </w:tc>
        <w:tc>
          <w:tcPr>
            <w:tcW w:w="8497" w:type="dxa"/>
            <w:tcBorders>
              <w:top w:val="single" w:color="auto" w:sz="4" w:space="0"/>
              <w:left w:val="single" w:color="auto" w:sz="4" w:space="0"/>
              <w:bottom w:val="single" w:color="auto" w:sz="4" w:space="0"/>
              <w:right w:val="single" w:color="auto" w:sz="8" w:space="0"/>
            </w:tcBorders>
            <w:noWrap w:val="0"/>
            <w:vAlign w:val="center"/>
          </w:tcPr>
          <w:p w14:paraId="23E7117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zh-CN"/>
              </w:rPr>
              <w:t>根据《建设项目环境影响报告表编制技术指南（</w:t>
            </w:r>
            <w:r>
              <w:rPr>
                <w:rFonts w:hint="eastAsia" w:ascii="Times New Roman" w:hAnsi="Times New Roman" w:cs="Times New Roman"/>
                <w:color w:val="auto"/>
                <w:sz w:val="24"/>
                <w:szCs w:val="24"/>
                <w:lang w:val="en-US" w:eastAsia="zh-CN"/>
              </w:rPr>
              <w:t>生态影响</w:t>
            </w:r>
            <w:r>
              <w:rPr>
                <w:rFonts w:hint="default" w:ascii="Times New Roman" w:hAnsi="Times New Roman" w:cs="Times New Roman"/>
                <w:color w:val="auto"/>
                <w:sz w:val="24"/>
                <w:szCs w:val="24"/>
                <w:lang w:val="zh-CN"/>
              </w:rPr>
              <w:t>类）》（试行），确定本</w:t>
            </w:r>
            <w:r>
              <w:rPr>
                <w:rFonts w:hint="eastAsia" w:ascii="Times New Roman" w:hAnsi="Times New Roman" w:cs="Times New Roman"/>
                <w:color w:val="auto"/>
                <w:sz w:val="24"/>
                <w:szCs w:val="24"/>
                <w:lang w:val="en-US" w:eastAsia="zh-CN"/>
              </w:rPr>
              <w:t>项目的环境保护目标，详</w:t>
            </w:r>
            <w:r>
              <w:rPr>
                <w:rFonts w:hint="default" w:ascii="Times New Roman" w:hAnsi="Times New Roman" w:cs="Times New Roman"/>
                <w:color w:val="auto"/>
                <w:sz w:val="24"/>
                <w:szCs w:val="24"/>
                <w:lang w:val="en-US" w:eastAsia="zh-CN"/>
              </w:rPr>
              <w:t>见表3-</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val="en-US" w:eastAsia="zh-CN"/>
              </w:rPr>
              <w:t>。</w:t>
            </w:r>
          </w:p>
          <w:p w14:paraId="2BDEA1BF">
            <w:pPr>
              <w:pStyle w:val="2"/>
              <w:keepNext w:val="0"/>
              <w:keepLines w:val="0"/>
              <w:suppressLineNumbers w:val="0"/>
              <w:spacing w:before="0" w:beforeAutospacing="0" w:after="0" w:afterAutospacing="0"/>
              <w:ind w:left="0" w:right="0"/>
              <w:jc w:val="center"/>
              <w:rPr>
                <w:rFonts w:hint="default" w:cs="Times New Roman"/>
                <w:b/>
                <w:bCs/>
                <w:color w:val="auto"/>
                <w:sz w:val="24"/>
                <w:szCs w:val="24"/>
                <w:lang w:val="en-US" w:eastAsia="zh-CN"/>
              </w:rPr>
            </w:pPr>
            <w:r>
              <w:rPr>
                <w:rFonts w:hint="default" w:cs="Times New Roman"/>
                <w:b/>
                <w:bCs/>
                <w:color w:val="auto"/>
                <w:sz w:val="24"/>
                <w:szCs w:val="24"/>
                <w:lang w:val="en-US" w:eastAsia="zh-CN"/>
              </w:rPr>
              <w:t>表3</w:t>
            </w:r>
            <w:r>
              <w:rPr>
                <w:rFonts w:hint="eastAsia" w:cs="Times New Roman"/>
                <w:b/>
                <w:bCs/>
                <w:color w:val="auto"/>
                <w:sz w:val="24"/>
                <w:szCs w:val="24"/>
                <w:lang w:val="en-US" w:eastAsia="zh-CN"/>
              </w:rPr>
              <w:t>-6</w:t>
            </w:r>
            <w:r>
              <w:rPr>
                <w:rFonts w:hint="default" w:cs="Times New Roman"/>
                <w:b/>
                <w:bCs/>
                <w:color w:val="auto"/>
                <w:sz w:val="24"/>
                <w:szCs w:val="24"/>
                <w:lang w:val="en-US" w:eastAsia="zh-CN"/>
              </w:rPr>
              <w:t xml:space="preserve"> 主要环境保护目标</w:t>
            </w:r>
          </w:p>
          <w:tbl>
            <w:tblPr>
              <w:tblStyle w:val="32"/>
              <w:tblW w:w="8038"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1274"/>
              <w:gridCol w:w="1221"/>
              <w:gridCol w:w="917"/>
              <w:gridCol w:w="1120"/>
              <w:gridCol w:w="930"/>
              <w:gridCol w:w="710"/>
              <w:gridCol w:w="982"/>
            </w:tblGrid>
            <w:tr w14:paraId="1D24D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884" w:type="dxa"/>
                  <w:vMerge w:val="restart"/>
                  <w:noWrap w:val="0"/>
                  <w:vAlign w:val="center"/>
                </w:tcPr>
                <w:p w14:paraId="4B64B0FD">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default" w:cs="Times New Roman"/>
                      <w:color w:val="auto"/>
                      <w:sz w:val="21"/>
                      <w:szCs w:val="21"/>
                      <w:lang w:val="en-US" w:eastAsia="zh-CN"/>
                    </w:rPr>
                    <w:t>环境要素</w:t>
                  </w:r>
                </w:p>
              </w:tc>
              <w:tc>
                <w:tcPr>
                  <w:tcW w:w="2495" w:type="dxa"/>
                  <w:gridSpan w:val="2"/>
                  <w:noWrap w:val="0"/>
                  <w:vAlign w:val="center"/>
                </w:tcPr>
                <w:p w14:paraId="2E33DAA6">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default" w:cs="Times New Roman"/>
                      <w:color w:val="auto"/>
                      <w:sz w:val="21"/>
                      <w:szCs w:val="21"/>
                      <w:lang w:val="en-US" w:eastAsia="zh-CN"/>
                    </w:rPr>
                    <w:t>坐标（°）</w:t>
                  </w:r>
                </w:p>
              </w:tc>
              <w:tc>
                <w:tcPr>
                  <w:tcW w:w="917" w:type="dxa"/>
                  <w:vMerge w:val="restart"/>
                  <w:noWrap w:val="0"/>
                  <w:vAlign w:val="center"/>
                </w:tcPr>
                <w:p w14:paraId="7546199C">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default" w:cs="Times New Roman"/>
                      <w:color w:val="auto"/>
                      <w:sz w:val="21"/>
                      <w:szCs w:val="21"/>
                      <w:lang w:val="en-US" w:eastAsia="zh-CN"/>
                    </w:rPr>
                    <w:t>保护对象</w:t>
                  </w:r>
                </w:p>
              </w:tc>
              <w:tc>
                <w:tcPr>
                  <w:tcW w:w="1120" w:type="dxa"/>
                  <w:vMerge w:val="restart"/>
                  <w:noWrap w:val="0"/>
                  <w:vAlign w:val="center"/>
                </w:tcPr>
                <w:p w14:paraId="5FEA4F7F">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保护人数（人）</w:t>
                  </w:r>
                </w:p>
              </w:tc>
              <w:tc>
                <w:tcPr>
                  <w:tcW w:w="930" w:type="dxa"/>
                  <w:vMerge w:val="restart"/>
                  <w:noWrap w:val="0"/>
                  <w:vAlign w:val="center"/>
                </w:tcPr>
                <w:p w14:paraId="53CB1880">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default" w:cs="Times New Roman"/>
                      <w:color w:val="auto"/>
                      <w:sz w:val="21"/>
                      <w:szCs w:val="21"/>
                      <w:lang w:val="en-US" w:eastAsia="zh-CN"/>
                    </w:rPr>
                    <w:t>环境功能区</w:t>
                  </w:r>
                </w:p>
              </w:tc>
              <w:tc>
                <w:tcPr>
                  <w:tcW w:w="710" w:type="dxa"/>
                  <w:vMerge w:val="restart"/>
                  <w:noWrap w:val="0"/>
                  <w:vAlign w:val="center"/>
                </w:tcPr>
                <w:p w14:paraId="1C710634">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default" w:cs="Times New Roman"/>
                      <w:color w:val="auto"/>
                      <w:sz w:val="21"/>
                      <w:szCs w:val="21"/>
                      <w:lang w:val="en-US" w:eastAsia="zh-CN"/>
                    </w:rPr>
                    <w:t>相对厂址方位</w:t>
                  </w:r>
                </w:p>
              </w:tc>
              <w:tc>
                <w:tcPr>
                  <w:tcW w:w="982" w:type="dxa"/>
                  <w:vMerge w:val="restart"/>
                  <w:noWrap w:val="0"/>
                  <w:vAlign w:val="center"/>
                </w:tcPr>
                <w:p w14:paraId="36F22FE2">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default" w:cs="Times New Roman"/>
                      <w:color w:val="auto"/>
                      <w:sz w:val="21"/>
                      <w:szCs w:val="21"/>
                      <w:lang w:val="en-US" w:eastAsia="zh-CN"/>
                    </w:rPr>
                    <w:t>相对厂界距离（m）</w:t>
                  </w:r>
                </w:p>
              </w:tc>
            </w:tr>
            <w:tr w14:paraId="5E019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84" w:type="dxa"/>
                  <w:vMerge w:val="continue"/>
                  <w:noWrap w:val="0"/>
                  <w:vAlign w:val="center"/>
                </w:tcPr>
                <w:p w14:paraId="697DCB34">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p>
              </w:tc>
              <w:tc>
                <w:tcPr>
                  <w:tcW w:w="1274" w:type="dxa"/>
                  <w:noWrap w:val="0"/>
                  <w:vAlign w:val="center"/>
                </w:tcPr>
                <w:p w14:paraId="7820C664">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default" w:cs="Times New Roman"/>
                      <w:color w:val="auto"/>
                      <w:sz w:val="21"/>
                      <w:szCs w:val="21"/>
                      <w:lang w:val="en-US" w:eastAsia="zh-CN"/>
                    </w:rPr>
                    <w:t>N</w:t>
                  </w:r>
                </w:p>
              </w:tc>
              <w:tc>
                <w:tcPr>
                  <w:tcW w:w="1221" w:type="dxa"/>
                  <w:noWrap w:val="0"/>
                  <w:vAlign w:val="center"/>
                </w:tcPr>
                <w:p w14:paraId="42EF3091">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default" w:cs="Times New Roman"/>
                      <w:color w:val="auto"/>
                      <w:sz w:val="21"/>
                      <w:szCs w:val="21"/>
                      <w:lang w:val="en-US" w:eastAsia="zh-CN"/>
                    </w:rPr>
                    <w:t>E</w:t>
                  </w:r>
                </w:p>
              </w:tc>
              <w:tc>
                <w:tcPr>
                  <w:tcW w:w="917" w:type="dxa"/>
                  <w:vMerge w:val="continue"/>
                  <w:noWrap w:val="0"/>
                  <w:vAlign w:val="center"/>
                </w:tcPr>
                <w:p w14:paraId="1B69DCE5">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p>
              </w:tc>
              <w:tc>
                <w:tcPr>
                  <w:tcW w:w="1120" w:type="dxa"/>
                  <w:vMerge w:val="continue"/>
                  <w:noWrap w:val="0"/>
                  <w:vAlign w:val="center"/>
                </w:tcPr>
                <w:p w14:paraId="5B22CD9D">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p>
              </w:tc>
              <w:tc>
                <w:tcPr>
                  <w:tcW w:w="930" w:type="dxa"/>
                  <w:vMerge w:val="continue"/>
                  <w:noWrap w:val="0"/>
                  <w:vAlign w:val="center"/>
                </w:tcPr>
                <w:p w14:paraId="7BE29037">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p>
              </w:tc>
              <w:tc>
                <w:tcPr>
                  <w:tcW w:w="710" w:type="dxa"/>
                  <w:vMerge w:val="continue"/>
                  <w:noWrap w:val="0"/>
                  <w:vAlign w:val="center"/>
                </w:tcPr>
                <w:p w14:paraId="59087A75">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p>
              </w:tc>
              <w:tc>
                <w:tcPr>
                  <w:tcW w:w="982" w:type="dxa"/>
                  <w:vMerge w:val="continue"/>
                  <w:noWrap w:val="0"/>
                  <w:vAlign w:val="center"/>
                </w:tcPr>
                <w:p w14:paraId="6B65D14B">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p>
              </w:tc>
            </w:tr>
            <w:tr w14:paraId="4BE9B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884" w:type="dxa"/>
                  <w:noWrap w:val="0"/>
                  <w:vAlign w:val="center"/>
                </w:tcPr>
                <w:p w14:paraId="1A63405A">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default" w:cs="Times New Roman"/>
                      <w:color w:val="auto"/>
                      <w:sz w:val="21"/>
                      <w:szCs w:val="21"/>
                      <w:lang w:val="en-US" w:eastAsia="zh-CN"/>
                    </w:rPr>
                    <w:t>大气环境</w:t>
                  </w:r>
                </w:p>
                <w:p w14:paraId="3D0D0D3E">
                  <w:pPr>
                    <w:pStyle w:val="2"/>
                    <w:keepNext w:val="0"/>
                    <w:keepLines w:val="0"/>
                    <w:suppressLineNumbers w:val="0"/>
                    <w:spacing w:before="0" w:beforeAutospacing="0" w:after="0" w:afterAutospacing="0"/>
                    <w:ind w:left="0" w:right="0"/>
                    <w:jc w:val="both"/>
                    <w:rPr>
                      <w:rFonts w:hint="default" w:cs="Times New Roman"/>
                      <w:color w:val="auto"/>
                      <w:sz w:val="21"/>
                      <w:szCs w:val="21"/>
                      <w:lang w:val="en-US" w:eastAsia="zh-CN"/>
                    </w:rPr>
                  </w:pPr>
                </w:p>
              </w:tc>
              <w:tc>
                <w:tcPr>
                  <w:tcW w:w="1274" w:type="dxa"/>
                  <w:noWrap w:val="0"/>
                  <w:vAlign w:val="center"/>
                </w:tcPr>
                <w:p w14:paraId="7A983845">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default" w:cs="Times New Roman"/>
                      <w:color w:val="auto"/>
                      <w:sz w:val="21"/>
                      <w:szCs w:val="21"/>
                      <w:lang w:val="en-US" w:eastAsia="zh-CN"/>
                    </w:rPr>
                    <w:t>24.302892822</w:t>
                  </w:r>
                </w:p>
              </w:tc>
              <w:tc>
                <w:tcPr>
                  <w:tcW w:w="1221" w:type="dxa"/>
                  <w:noWrap w:val="0"/>
                  <w:vAlign w:val="center"/>
                </w:tcPr>
                <w:p w14:paraId="20CB8655">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default" w:cs="Times New Roman"/>
                      <w:color w:val="auto"/>
                      <w:sz w:val="21"/>
                      <w:szCs w:val="21"/>
                      <w:lang w:val="en-US" w:eastAsia="zh-CN"/>
                    </w:rPr>
                    <w:t>98.365716951</w:t>
                  </w:r>
                </w:p>
              </w:tc>
              <w:tc>
                <w:tcPr>
                  <w:tcW w:w="917" w:type="dxa"/>
                  <w:noWrap w:val="0"/>
                  <w:vAlign w:val="center"/>
                </w:tcPr>
                <w:p w14:paraId="2A834D02">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下芒岗</w:t>
                  </w:r>
                </w:p>
              </w:tc>
              <w:tc>
                <w:tcPr>
                  <w:tcW w:w="1120" w:type="dxa"/>
                  <w:noWrap w:val="0"/>
                  <w:vAlign w:val="center"/>
                </w:tcPr>
                <w:p w14:paraId="7E400386">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30户（132人）</w:t>
                  </w:r>
                </w:p>
              </w:tc>
              <w:tc>
                <w:tcPr>
                  <w:tcW w:w="930" w:type="dxa"/>
                  <w:noWrap w:val="0"/>
                  <w:vAlign w:val="center"/>
                </w:tcPr>
                <w:p w14:paraId="3D7B8461">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default" w:cs="Times New Roman"/>
                      <w:color w:val="auto"/>
                      <w:sz w:val="21"/>
                      <w:szCs w:val="21"/>
                      <w:lang w:val="en-US" w:eastAsia="zh-CN"/>
                    </w:rPr>
                    <w:t>二类区</w:t>
                  </w:r>
                </w:p>
              </w:tc>
              <w:tc>
                <w:tcPr>
                  <w:tcW w:w="710" w:type="dxa"/>
                  <w:noWrap w:val="0"/>
                  <w:vAlign w:val="center"/>
                </w:tcPr>
                <w:p w14:paraId="31AC1AE6">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东南</w:t>
                  </w:r>
                </w:p>
              </w:tc>
              <w:tc>
                <w:tcPr>
                  <w:tcW w:w="982" w:type="dxa"/>
                  <w:noWrap w:val="0"/>
                  <w:vAlign w:val="center"/>
                </w:tcPr>
                <w:p w14:paraId="3875696B">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260</w:t>
                  </w:r>
                </w:p>
              </w:tc>
            </w:tr>
            <w:tr w14:paraId="7E8BF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884" w:type="dxa"/>
                  <w:noWrap w:val="0"/>
                  <w:vAlign w:val="center"/>
                </w:tcPr>
                <w:p w14:paraId="28041F17">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声环境</w:t>
                  </w:r>
                </w:p>
              </w:tc>
              <w:tc>
                <w:tcPr>
                  <w:tcW w:w="1274" w:type="dxa"/>
                  <w:noWrap w:val="0"/>
                  <w:vAlign w:val="center"/>
                </w:tcPr>
                <w:p w14:paraId="7C9B4B88">
                  <w:pPr>
                    <w:pStyle w:val="2"/>
                    <w:keepNext w:val="0"/>
                    <w:keepLines w:val="0"/>
                    <w:suppressLineNumbers w:val="0"/>
                    <w:spacing w:before="0" w:beforeAutospacing="0" w:after="0" w:afterAutospacing="0"/>
                    <w:ind w:left="0" w:right="0"/>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1221" w:type="dxa"/>
                  <w:noWrap w:val="0"/>
                  <w:vAlign w:val="center"/>
                </w:tcPr>
                <w:p w14:paraId="390209A1">
                  <w:pPr>
                    <w:pStyle w:val="2"/>
                    <w:keepNext w:val="0"/>
                    <w:keepLines w:val="0"/>
                    <w:suppressLineNumbers w:val="0"/>
                    <w:spacing w:before="0" w:beforeAutospacing="0" w:after="0" w:afterAutospacing="0"/>
                    <w:ind w:left="0" w:right="0"/>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917" w:type="dxa"/>
                  <w:noWrap w:val="0"/>
                  <w:vAlign w:val="center"/>
                </w:tcPr>
                <w:p w14:paraId="276D4A23">
                  <w:pPr>
                    <w:pStyle w:val="2"/>
                    <w:keepNext w:val="0"/>
                    <w:keepLines w:val="0"/>
                    <w:suppressLineNumbers w:val="0"/>
                    <w:spacing w:before="0" w:beforeAutospacing="0" w:after="0" w:afterAutospacing="0"/>
                    <w:ind w:left="0" w:right="0"/>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1120" w:type="dxa"/>
                  <w:noWrap w:val="0"/>
                  <w:vAlign w:val="center"/>
                </w:tcPr>
                <w:p w14:paraId="11D7DE71">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930" w:type="dxa"/>
                  <w:noWrap w:val="0"/>
                  <w:vAlign w:val="center"/>
                </w:tcPr>
                <w:p w14:paraId="0BFBC3D4">
                  <w:pPr>
                    <w:pStyle w:val="2"/>
                    <w:keepNext w:val="0"/>
                    <w:keepLines w:val="0"/>
                    <w:suppressLineNumbers w:val="0"/>
                    <w:spacing w:before="0" w:beforeAutospacing="0" w:after="0" w:afterAutospacing="0"/>
                    <w:ind w:left="0" w:right="0"/>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710" w:type="dxa"/>
                  <w:noWrap w:val="0"/>
                  <w:vAlign w:val="center"/>
                </w:tcPr>
                <w:p w14:paraId="77507E6C">
                  <w:pPr>
                    <w:pStyle w:val="2"/>
                    <w:keepNext w:val="0"/>
                    <w:keepLines w:val="0"/>
                    <w:suppressLineNumbers w:val="0"/>
                    <w:spacing w:before="0" w:beforeAutospacing="0" w:after="0" w:afterAutospacing="0"/>
                    <w:ind w:left="0" w:right="0"/>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982" w:type="dxa"/>
                  <w:noWrap w:val="0"/>
                  <w:vAlign w:val="center"/>
                </w:tcPr>
                <w:p w14:paraId="511F8EAB">
                  <w:pPr>
                    <w:pStyle w:val="2"/>
                    <w:keepNext w:val="0"/>
                    <w:keepLines w:val="0"/>
                    <w:suppressLineNumbers w:val="0"/>
                    <w:spacing w:before="0" w:beforeAutospacing="0" w:after="0" w:afterAutospacing="0"/>
                    <w:ind w:left="0" w:right="0"/>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r>
            <w:tr w14:paraId="4B0C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84" w:type="dxa"/>
                  <w:noWrap w:val="0"/>
                  <w:vAlign w:val="center"/>
                </w:tcPr>
                <w:p w14:paraId="0A91A57E">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地表水环境</w:t>
                  </w:r>
                </w:p>
              </w:tc>
              <w:tc>
                <w:tcPr>
                  <w:tcW w:w="1274" w:type="dxa"/>
                  <w:noWrap w:val="0"/>
                  <w:vAlign w:val="center"/>
                </w:tcPr>
                <w:p w14:paraId="1B6693BF">
                  <w:pPr>
                    <w:pStyle w:val="2"/>
                    <w:keepNext w:val="0"/>
                    <w:keepLines w:val="0"/>
                    <w:suppressLineNumbers w:val="0"/>
                    <w:spacing w:before="0" w:beforeAutospacing="0" w:after="0" w:afterAutospacing="0"/>
                    <w:ind w:left="0" w:right="0"/>
                    <w:jc w:val="center"/>
                    <w:rPr>
                      <w:rFonts w:hint="eastAsia" w:cs="Times New Roman"/>
                      <w:color w:val="auto"/>
                      <w:sz w:val="21"/>
                      <w:szCs w:val="21"/>
                      <w:lang w:val="en-US" w:eastAsia="zh-CN"/>
                    </w:rPr>
                  </w:pPr>
                </w:p>
              </w:tc>
              <w:tc>
                <w:tcPr>
                  <w:tcW w:w="1221" w:type="dxa"/>
                  <w:noWrap w:val="0"/>
                  <w:vAlign w:val="center"/>
                </w:tcPr>
                <w:p w14:paraId="02FF5ACE">
                  <w:pPr>
                    <w:pStyle w:val="2"/>
                    <w:keepNext w:val="0"/>
                    <w:keepLines w:val="0"/>
                    <w:suppressLineNumbers w:val="0"/>
                    <w:spacing w:before="0" w:beforeAutospacing="0" w:after="0" w:afterAutospacing="0"/>
                    <w:ind w:left="0" w:right="0"/>
                    <w:jc w:val="center"/>
                    <w:rPr>
                      <w:rFonts w:hint="eastAsia" w:cs="Times New Roman"/>
                      <w:color w:val="auto"/>
                      <w:sz w:val="21"/>
                      <w:szCs w:val="21"/>
                      <w:lang w:val="en-US" w:eastAsia="zh-CN"/>
                    </w:rPr>
                  </w:pPr>
                </w:p>
              </w:tc>
              <w:tc>
                <w:tcPr>
                  <w:tcW w:w="917" w:type="dxa"/>
                  <w:noWrap w:val="0"/>
                  <w:vAlign w:val="center"/>
                </w:tcPr>
                <w:p w14:paraId="4183B02E">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default" w:cs="Times New Roman"/>
                      <w:color w:val="auto"/>
                      <w:sz w:val="21"/>
                      <w:szCs w:val="21"/>
                      <w:lang w:val="en-US" w:eastAsia="zh-CN"/>
                    </w:rPr>
                    <w:t>大岗河</w:t>
                  </w:r>
                </w:p>
              </w:tc>
              <w:tc>
                <w:tcPr>
                  <w:tcW w:w="1120" w:type="dxa"/>
                  <w:noWrap w:val="0"/>
                  <w:vAlign w:val="center"/>
                </w:tcPr>
                <w:p w14:paraId="11978D85">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930" w:type="dxa"/>
                  <w:noWrap w:val="0"/>
                  <w:vAlign w:val="center"/>
                </w:tcPr>
                <w:p w14:paraId="52F64895">
                  <w:pPr>
                    <w:pStyle w:val="2"/>
                    <w:keepNext w:val="0"/>
                    <w:keepLines w:val="0"/>
                    <w:suppressLineNumbers w:val="0"/>
                    <w:spacing w:before="0" w:beforeAutospacing="0" w:after="0" w:afterAutospacing="0"/>
                    <w:ind w:left="0" w:right="0"/>
                    <w:jc w:val="center"/>
                    <w:rPr>
                      <w:rFonts w:hint="eastAsia" w:cs="Times New Roman"/>
                      <w:color w:val="auto"/>
                      <w:sz w:val="21"/>
                      <w:szCs w:val="21"/>
                      <w:lang w:val="en-US" w:eastAsia="zh-CN"/>
                    </w:rPr>
                  </w:pPr>
                  <w:r>
                    <w:rPr>
                      <w:rFonts w:hint="default" w:cs="Times New Roman"/>
                      <w:color w:val="auto"/>
                      <w:sz w:val="21"/>
                      <w:szCs w:val="21"/>
                      <w:lang w:val="en-US" w:eastAsia="zh-CN"/>
                    </w:rPr>
                    <w:t>Ⅲ类</w:t>
                  </w:r>
                </w:p>
              </w:tc>
              <w:tc>
                <w:tcPr>
                  <w:tcW w:w="710" w:type="dxa"/>
                  <w:noWrap w:val="0"/>
                  <w:vAlign w:val="center"/>
                </w:tcPr>
                <w:p w14:paraId="3E8A071D">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东</w:t>
                  </w:r>
                </w:p>
              </w:tc>
              <w:tc>
                <w:tcPr>
                  <w:tcW w:w="982" w:type="dxa"/>
                  <w:noWrap w:val="0"/>
                  <w:vAlign w:val="center"/>
                </w:tcPr>
                <w:p w14:paraId="108E1927">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1200</w:t>
                  </w:r>
                </w:p>
              </w:tc>
            </w:tr>
            <w:tr w14:paraId="3410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884" w:type="dxa"/>
                  <w:noWrap w:val="0"/>
                  <w:vAlign w:val="center"/>
                </w:tcPr>
                <w:p w14:paraId="7C78DD9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地下水环境</w:t>
                  </w:r>
                </w:p>
              </w:tc>
              <w:tc>
                <w:tcPr>
                  <w:tcW w:w="1274" w:type="dxa"/>
                  <w:noWrap w:val="0"/>
                  <w:vAlign w:val="center"/>
                </w:tcPr>
                <w:p w14:paraId="1E8A9FF7">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221" w:type="dxa"/>
                  <w:noWrap w:val="0"/>
                  <w:vAlign w:val="center"/>
                </w:tcPr>
                <w:p w14:paraId="3AA74DB7">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917" w:type="dxa"/>
                  <w:noWrap w:val="0"/>
                  <w:vAlign w:val="center"/>
                </w:tcPr>
                <w:p w14:paraId="01866478">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勘探范围内及周边区域地水</w:t>
                  </w:r>
                </w:p>
              </w:tc>
              <w:tc>
                <w:tcPr>
                  <w:tcW w:w="1120" w:type="dxa"/>
                  <w:noWrap w:val="0"/>
                  <w:vAlign w:val="center"/>
                </w:tcPr>
                <w:p w14:paraId="64B04217">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930" w:type="dxa"/>
                  <w:noWrap w:val="0"/>
                  <w:vAlign w:val="center"/>
                </w:tcPr>
                <w:p w14:paraId="49B677DC">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default" w:cs="Times New Roman"/>
                      <w:color w:val="auto"/>
                      <w:sz w:val="21"/>
                      <w:szCs w:val="21"/>
                      <w:lang w:val="en-US" w:eastAsia="zh-CN"/>
                    </w:rPr>
                    <w:t>Ⅲ类</w:t>
                  </w:r>
                </w:p>
              </w:tc>
              <w:tc>
                <w:tcPr>
                  <w:tcW w:w="1692" w:type="dxa"/>
                  <w:gridSpan w:val="2"/>
                  <w:noWrap w:val="0"/>
                  <w:vAlign w:val="center"/>
                </w:tcPr>
                <w:p w14:paraId="539FC208">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矿界内及周边</w:t>
                  </w:r>
                </w:p>
              </w:tc>
            </w:tr>
            <w:tr w14:paraId="20B1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884" w:type="dxa"/>
                  <w:vMerge w:val="restart"/>
                  <w:noWrap w:val="0"/>
                  <w:vAlign w:val="center"/>
                </w:tcPr>
                <w:p w14:paraId="05A5CCDF">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生态环境</w:t>
                  </w:r>
                </w:p>
              </w:tc>
              <w:tc>
                <w:tcPr>
                  <w:tcW w:w="1274" w:type="dxa"/>
                  <w:noWrap w:val="0"/>
                  <w:vAlign w:val="center"/>
                </w:tcPr>
                <w:p w14:paraId="660E65EC">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221" w:type="dxa"/>
                  <w:noWrap w:val="0"/>
                  <w:vAlign w:val="center"/>
                </w:tcPr>
                <w:p w14:paraId="61EE4D15">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917" w:type="dxa"/>
                  <w:noWrap w:val="0"/>
                  <w:vAlign w:val="center"/>
                </w:tcPr>
                <w:p w14:paraId="3970C47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陆生植被和野生动植物</w:t>
                  </w:r>
                </w:p>
              </w:tc>
              <w:tc>
                <w:tcPr>
                  <w:tcW w:w="3742" w:type="dxa"/>
                  <w:gridSpan w:val="4"/>
                  <w:noWrap w:val="0"/>
                  <w:vAlign w:val="center"/>
                </w:tcPr>
                <w:p w14:paraId="6D4FE6C8">
                  <w:pPr>
                    <w:pStyle w:val="2"/>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default" w:cs="Times New Roman"/>
                      <w:color w:val="auto"/>
                      <w:sz w:val="21"/>
                      <w:szCs w:val="21"/>
                      <w:lang w:val="en-US" w:eastAsia="zh-CN"/>
                    </w:rPr>
                    <w:t>所有评价区内</w:t>
                  </w:r>
                  <w:r>
                    <w:rPr>
                      <w:rFonts w:hint="eastAsia" w:cs="Times New Roman"/>
                      <w:color w:val="auto"/>
                      <w:sz w:val="21"/>
                      <w:szCs w:val="21"/>
                      <w:lang w:val="en-US" w:eastAsia="zh-CN"/>
                    </w:rPr>
                    <w:t>的</w:t>
                  </w:r>
                  <w:r>
                    <w:rPr>
                      <w:rFonts w:hint="default" w:cs="Times New Roman"/>
                      <w:color w:val="auto"/>
                      <w:sz w:val="21"/>
                      <w:szCs w:val="21"/>
                      <w:lang w:val="en-US" w:eastAsia="zh-CN"/>
                    </w:rPr>
                    <w:t>陆生生态环境</w:t>
                  </w:r>
                </w:p>
              </w:tc>
            </w:tr>
            <w:tr w14:paraId="49878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884" w:type="dxa"/>
                  <w:vMerge w:val="continue"/>
                  <w:noWrap w:val="0"/>
                  <w:vAlign w:val="center"/>
                </w:tcPr>
                <w:p w14:paraId="0B0FE0A2">
                  <w:pPr>
                    <w:pStyle w:val="2"/>
                    <w:keepNext w:val="0"/>
                    <w:keepLines w:val="0"/>
                    <w:suppressLineNumbers w:val="0"/>
                    <w:spacing w:before="0" w:beforeAutospacing="0" w:after="0" w:afterAutospacing="0"/>
                    <w:ind w:left="0" w:right="0"/>
                    <w:jc w:val="center"/>
                    <w:rPr>
                      <w:rFonts w:hint="eastAsia" w:cs="Times New Roman"/>
                      <w:color w:val="auto"/>
                      <w:sz w:val="21"/>
                      <w:szCs w:val="21"/>
                      <w:lang w:val="en-US" w:eastAsia="zh-CN"/>
                    </w:rPr>
                  </w:pPr>
                </w:p>
              </w:tc>
              <w:tc>
                <w:tcPr>
                  <w:tcW w:w="1274" w:type="dxa"/>
                  <w:noWrap w:val="0"/>
                  <w:vAlign w:val="center"/>
                </w:tcPr>
                <w:p w14:paraId="05022075">
                  <w:pPr>
                    <w:pStyle w:val="2"/>
                    <w:keepNext w:val="0"/>
                    <w:keepLines w:val="0"/>
                    <w:suppressLineNumbers w:val="0"/>
                    <w:spacing w:before="0" w:beforeAutospacing="0" w:after="0" w:afterAutospacing="0"/>
                    <w:ind w:left="0" w:right="0"/>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1221" w:type="dxa"/>
                  <w:noWrap w:val="0"/>
                  <w:vAlign w:val="center"/>
                </w:tcPr>
                <w:p w14:paraId="3FDED304">
                  <w:pPr>
                    <w:pStyle w:val="2"/>
                    <w:keepNext w:val="0"/>
                    <w:keepLines w:val="0"/>
                    <w:suppressLineNumbers w:val="0"/>
                    <w:spacing w:before="0" w:beforeAutospacing="0" w:after="0" w:afterAutospacing="0"/>
                    <w:ind w:left="0" w:right="0"/>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917" w:type="dxa"/>
                  <w:noWrap w:val="0"/>
                  <w:vAlign w:val="center"/>
                </w:tcPr>
                <w:p w14:paraId="527EB1F3">
                  <w:pPr>
                    <w:pStyle w:val="2"/>
                    <w:keepNext w:val="0"/>
                    <w:keepLines w:val="0"/>
                    <w:suppressLineNumbers w:val="0"/>
                    <w:spacing w:before="0" w:beforeAutospacing="0" w:after="0" w:afterAutospacing="0"/>
                    <w:ind w:left="0" w:right="0"/>
                    <w:jc w:val="center"/>
                    <w:rPr>
                      <w:rFonts w:hint="eastAsia" w:cs="Times New Roman"/>
                      <w:color w:val="auto"/>
                      <w:sz w:val="21"/>
                      <w:szCs w:val="21"/>
                      <w:lang w:val="en-US" w:eastAsia="zh-CN"/>
                    </w:rPr>
                  </w:pPr>
                  <w:r>
                    <w:rPr>
                      <w:rFonts w:hint="eastAsia" w:cs="Times New Roman"/>
                      <w:color w:val="auto"/>
                      <w:sz w:val="21"/>
                      <w:szCs w:val="21"/>
                      <w:lang w:val="en-US" w:eastAsia="zh-CN"/>
                    </w:rPr>
                    <w:t>水生动植物</w:t>
                  </w:r>
                </w:p>
              </w:tc>
              <w:tc>
                <w:tcPr>
                  <w:tcW w:w="3742" w:type="dxa"/>
                  <w:gridSpan w:val="4"/>
                  <w:noWrap w:val="0"/>
                  <w:vAlign w:val="center"/>
                </w:tcPr>
                <w:p w14:paraId="4A1A6278">
                  <w:pPr>
                    <w:pStyle w:val="2"/>
                    <w:keepNext w:val="0"/>
                    <w:keepLines w:val="0"/>
                    <w:suppressLineNumbers w:val="0"/>
                    <w:spacing w:before="0" w:beforeAutospacing="0" w:after="0" w:afterAutospacing="0"/>
                    <w:ind w:left="0" w:right="0"/>
                    <w:jc w:val="center"/>
                    <w:rPr>
                      <w:rFonts w:hint="eastAsia" w:cs="Times New Roman"/>
                      <w:color w:val="auto"/>
                      <w:sz w:val="21"/>
                      <w:szCs w:val="21"/>
                      <w:lang w:val="en-US" w:eastAsia="zh-CN"/>
                    </w:rPr>
                  </w:pPr>
                  <w:r>
                    <w:rPr>
                      <w:rFonts w:hint="default" w:cs="Times New Roman"/>
                      <w:color w:val="auto"/>
                      <w:sz w:val="21"/>
                      <w:szCs w:val="21"/>
                      <w:lang w:val="en-US" w:eastAsia="zh-CN"/>
                    </w:rPr>
                    <w:t>所有评价区</w:t>
                  </w:r>
                  <w:r>
                    <w:rPr>
                      <w:rFonts w:hint="eastAsia" w:cs="Times New Roman"/>
                      <w:color w:val="auto"/>
                      <w:sz w:val="21"/>
                      <w:szCs w:val="21"/>
                      <w:lang w:val="en-US" w:eastAsia="zh-CN"/>
                    </w:rPr>
                    <w:t>内的水</w:t>
                  </w:r>
                  <w:r>
                    <w:rPr>
                      <w:rFonts w:hint="default" w:cs="Times New Roman"/>
                      <w:color w:val="auto"/>
                      <w:sz w:val="21"/>
                      <w:szCs w:val="21"/>
                      <w:lang w:val="en-US" w:eastAsia="zh-CN"/>
                    </w:rPr>
                    <w:t>生生态环境</w:t>
                  </w:r>
                </w:p>
              </w:tc>
            </w:tr>
          </w:tbl>
          <w:p w14:paraId="7AD07750">
            <w:pPr>
              <w:keepNext w:val="0"/>
              <w:keepLines w:val="0"/>
              <w:suppressLineNumbers w:val="0"/>
              <w:autoSpaceDE w:val="0"/>
              <w:adjustRightInd w:val="0"/>
              <w:snapToGrid w:val="0"/>
              <w:spacing w:before="0" w:beforeAutospacing="0" w:after="0" w:afterAutospacing="0" w:line="360" w:lineRule="auto"/>
              <w:ind w:left="0" w:right="0"/>
              <w:rPr>
                <w:rFonts w:hint="eastAsia" w:ascii="Times New Roman" w:hAnsi="Times New Roman" w:cs="Times New Roman"/>
                <w:color w:val="auto"/>
                <w:lang w:val="en-US" w:eastAsia="zh-CN"/>
              </w:rPr>
            </w:pPr>
          </w:p>
          <w:p w14:paraId="3287A5D0">
            <w:pPr>
              <w:keepNext w:val="0"/>
              <w:keepLines w:val="0"/>
              <w:suppressLineNumbers w:val="0"/>
              <w:autoSpaceDE w:val="0"/>
              <w:adjustRightInd w:val="0"/>
              <w:snapToGrid w:val="0"/>
              <w:spacing w:before="0" w:beforeAutospacing="0" w:after="0" w:afterAutospacing="0" w:line="360" w:lineRule="auto"/>
              <w:ind w:left="0" w:right="0"/>
              <w:rPr>
                <w:rFonts w:hint="eastAsia" w:ascii="Times New Roman" w:hAnsi="Times New Roman" w:cs="Times New Roman"/>
                <w:color w:val="auto"/>
                <w:lang w:val="en-US" w:eastAsia="zh-CN"/>
              </w:rPr>
            </w:pPr>
          </w:p>
          <w:p w14:paraId="058A228D">
            <w:pPr>
              <w:keepNext w:val="0"/>
              <w:keepLines w:val="0"/>
              <w:suppressLineNumbers w:val="0"/>
              <w:autoSpaceDE w:val="0"/>
              <w:adjustRightInd w:val="0"/>
              <w:snapToGrid w:val="0"/>
              <w:spacing w:before="0" w:beforeAutospacing="0" w:after="0" w:afterAutospacing="0" w:line="360" w:lineRule="auto"/>
              <w:ind w:left="0" w:right="0"/>
              <w:rPr>
                <w:rFonts w:hint="eastAsia" w:ascii="Times New Roman" w:hAnsi="Times New Roman" w:cs="Times New Roman"/>
                <w:color w:val="auto"/>
                <w:lang w:val="en-US" w:eastAsia="zh-CN"/>
              </w:rPr>
            </w:pPr>
          </w:p>
          <w:p w14:paraId="5BCF4699">
            <w:pPr>
              <w:keepNext w:val="0"/>
              <w:keepLines w:val="0"/>
              <w:suppressLineNumbers w:val="0"/>
              <w:autoSpaceDE w:val="0"/>
              <w:adjustRightInd w:val="0"/>
              <w:snapToGrid w:val="0"/>
              <w:spacing w:before="0" w:beforeAutospacing="0" w:after="0" w:afterAutospacing="0" w:line="360" w:lineRule="auto"/>
              <w:ind w:left="0" w:right="0"/>
              <w:rPr>
                <w:rFonts w:hint="default" w:ascii="Times New Roman" w:hAnsi="Times New Roman" w:cs="Times New Roman"/>
                <w:color w:val="auto"/>
                <w:lang w:val="en-US" w:eastAsia="zh-CN"/>
              </w:rPr>
            </w:pPr>
          </w:p>
          <w:p w14:paraId="0E632221">
            <w:pPr>
              <w:pStyle w:val="2"/>
              <w:keepNext w:val="0"/>
              <w:keepLines w:val="0"/>
              <w:suppressLineNumbers w:val="0"/>
              <w:spacing w:before="0" w:beforeAutospacing="0" w:after="0" w:afterAutospacing="0"/>
              <w:ind w:left="0" w:right="0"/>
              <w:rPr>
                <w:rFonts w:hint="default" w:cs="Times New Roman"/>
                <w:color w:val="auto"/>
                <w:lang w:val="en-US" w:eastAsia="zh-CN"/>
              </w:rPr>
            </w:pPr>
          </w:p>
          <w:p w14:paraId="50F84FE7">
            <w:pPr>
              <w:keepNext w:val="0"/>
              <w:keepLines w:val="0"/>
              <w:suppressLineNumbers w:val="0"/>
              <w:spacing w:before="0" w:beforeAutospacing="0" w:after="0" w:afterAutospacing="0"/>
              <w:ind w:left="0" w:right="0"/>
              <w:rPr>
                <w:rFonts w:hint="default" w:ascii="Times New Roman" w:hAnsi="Times New Roman" w:cs="Times New Roman"/>
                <w:color w:val="auto"/>
                <w:lang w:val="en-US" w:eastAsia="zh-CN"/>
              </w:rPr>
            </w:pPr>
          </w:p>
          <w:p w14:paraId="4E84EBF0">
            <w:pPr>
              <w:pStyle w:val="2"/>
              <w:keepNext w:val="0"/>
              <w:keepLines w:val="0"/>
              <w:suppressLineNumbers w:val="0"/>
              <w:spacing w:before="0" w:beforeAutospacing="0" w:after="0" w:afterAutospacing="0"/>
              <w:ind w:left="0" w:right="0"/>
              <w:rPr>
                <w:rFonts w:hint="default" w:cs="Times New Roman"/>
                <w:color w:val="auto"/>
                <w:lang w:val="en-US" w:eastAsia="zh-CN"/>
              </w:rPr>
            </w:pPr>
          </w:p>
          <w:p w14:paraId="245D41B1">
            <w:pPr>
              <w:keepNext w:val="0"/>
              <w:keepLines w:val="0"/>
              <w:suppressLineNumbers w:val="0"/>
              <w:spacing w:before="0" w:beforeAutospacing="0" w:after="0" w:afterAutospacing="0"/>
              <w:ind w:left="0" w:right="0"/>
              <w:rPr>
                <w:rFonts w:hint="default" w:ascii="Times New Roman" w:hAnsi="Times New Roman" w:cs="Times New Roman"/>
                <w:color w:val="auto"/>
                <w:lang w:val="en-US" w:eastAsia="zh-CN"/>
              </w:rPr>
            </w:pPr>
          </w:p>
          <w:p w14:paraId="50D5B376">
            <w:pPr>
              <w:pStyle w:val="2"/>
              <w:keepNext w:val="0"/>
              <w:keepLines w:val="0"/>
              <w:suppressLineNumbers w:val="0"/>
              <w:spacing w:before="0" w:beforeAutospacing="0" w:after="0" w:afterAutospacing="0"/>
              <w:ind w:left="0" w:right="0"/>
              <w:rPr>
                <w:rFonts w:hint="default" w:cs="Times New Roman"/>
                <w:color w:val="auto"/>
                <w:lang w:val="en-US" w:eastAsia="zh-CN"/>
              </w:rPr>
            </w:pPr>
          </w:p>
          <w:p w14:paraId="6088E8A5">
            <w:pPr>
              <w:pStyle w:val="2"/>
              <w:keepNext w:val="0"/>
              <w:keepLines w:val="0"/>
              <w:suppressLineNumbers w:val="0"/>
              <w:spacing w:before="0" w:beforeAutospacing="0" w:after="0" w:afterAutospacing="0"/>
              <w:ind w:left="0" w:right="0"/>
              <w:rPr>
                <w:rFonts w:hint="default" w:cs="Times New Roman"/>
                <w:color w:val="auto"/>
                <w:lang w:val="en-US" w:eastAsia="zh-CN"/>
              </w:rPr>
            </w:pPr>
          </w:p>
        </w:tc>
      </w:tr>
      <w:tr w14:paraId="4A79ED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52" w:hRule="atLeast"/>
        </w:trPr>
        <w:tc>
          <w:tcPr>
            <w:tcW w:w="437" w:type="dxa"/>
            <w:tcBorders>
              <w:top w:val="single" w:color="auto" w:sz="4" w:space="0"/>
              <w:left w:val="single" w:color="auto" w:sz="8" w:space="0"/>
              <w:bottom w:val="single" w:color="auto" w:sz="4" w:space="0"/>
              <w:right w:val="single" w:color="auto" w:sz="4" w:space="0"/>
            </w:tcBorders>
            <w:noWrap w:val="0"/>
            <w:vAlign w:val="center"/>
          </w:tcPr>
          <w:p w14:paraId="5978CD2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评价</w:t>
            </w:r>
          </w:p>
          <w:p w14:paraId="660AE26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标准</w:t>
            </w:r>
          </w:p>
        </w:tc>
        <w:tc>
          <w:tcPr>
            <w:tcW w:w="8497" w:type="dxa"/>
            <w:tcBorders>
              <w:top w:val="single" w:color="auto" w:sz="4" w:space="0"/>
              <w:left w:val="single" w:color="auto" w:sz="4" w:space="0"/>
              <w:bottom w:val="single" w:color="auto" w:sz="4" w:space="0"/>
              <w:right w:val="single" w:color="auto" w:sz="8" w:space="0"/>
            </w:tcBorders>
            <w:noWrap w:val="0"/>
            <w:vAlign w:val="center"/>
          </w:tcPr>
          <w:p w14:paraId="532D64ED">
            <w:pPr>
              <w:pStyle w:val="26"/>
              <w:keepNext w:val="0"/>
              <w:keepLines w:val="0"/>
              <w:widowControl w:val="0"/>
              <w:suppressLineNumbers w:val="0"/>
              <w:spacing w:before="0" w:beforeAutospacing="0" w:after="0" w:afterAutospacing="0" w:line="360" w:lineRule="auto"/>
              <w:ind w:left="0" w:right="0"/>
              <w:outlineLvl w:val="2"/>
              <w:rPr>
                <w:rFonts w:hint="default" w:cs="Times New Roman"/>
                <w:b/>
                <w:bCs/>
                <w:color w:val="auto"/>
              </w:rPr>
            </w:pPr>
            <w:r>
              <w:rPr>
                <w:rFonts w:hint="eastAsia" w:cs="Times New Roman"/>
                <w:b/>
                <w:bCs/>
                <w:color w:val="auto"/>
                <w:lang w:val="en-US" w:eastAsia="zh-CN"/>
              </w:rPr>
              <w:t>1、</w:t>
            </w:r>
            <w:r>
              <w:rPr>
                <w:rFonts w:hint="default" w:cs="Times New Roman"/>
                <w:b/>
                <w:bCs/>
                <w:color w:val="auto"/>
              </w:rPr>
              <w:t xml:space="preserve">环境质量标准 </w:t>
            </w:r>
          </w:p>
          <w:p w14:paraId="40B238AD">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环境空气</w:t>
            </w:r>
          </w:p>
          <w:p w14:paraId="65138E50">
            <w:pPr>
              <w:keepNext w:val="0"/>
              <w:keepLines w:val="0"/>
              <w:suppressLineNumbers w:val="0"/>
              <w:spacing w:before="0" w:beforeAutospacing="0" w:after="0" w:afterAutospacing="0" w:line="360" w:lineRule="auto"/>
              <w:ind w:left="0" w:right="0" w:firstLine="46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项目位于</w:t>
            </w:r>
            <w:r>
              <w:rPr>
                <w:rFonts w:hint="eastAsia" w:ascii="Times New Roman" w:hAnsi="Times New Roman" w:cs="Times New Roman"/>
                <w:color w:val="auto"/>
                <w:sz w:val="24"/>
                <w:szCs w:val="24"/>
                <w:lang w:val="en-US" w:eastAsia="zh-CN"/>
              </w:rPr>
              <w:t>云南省芒市三台山乡上芒岗麦窝坝</w:t>
            </w:r>
            <w:r>
              <w:rPr>
                <w:rFonts w:hint="default" w:ascii="Times New Roman" w:hAnsi="Times New Roman" w:cs="Times New Roman"/>
                <w:color w:val="auto"/>
                <w:sz w:val="24"/>
                <w:szCs w:val="24"/>
              </w:rPr>
              <w:t>，属于环境空气二类区，因此本次环境空气质量评价采用《环境空气质量标准》（GB3095-2012）中二级标准限值，标准限值见表3</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w:t>
            </w:r>
          </w:p>
          <w:p w14:paraId="36E77747">
            <w:pPr>
              <w:keepNext w:val="0"/>
              <w:keepLines w:val="0"/>
              <w:suppressLineNumbers w:val="0"/>
              <w:autoSpaceDE w:val="0"/>
              <w:spacing w:before="0" w:beforeAutospacing="0" w:after="0" w:afterAutospacing="0"/>
              <w:ind w:left="0" w:right="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表3-</w:t>
            </w:r>
            <w:r>
              <w:rPr>
                <w:rFonts w:hint="eastAsia" w:ascii="Times New Roman" w:hAnsi="Times New Roman" w:cs="Times New Roman"/>
                <w:b/>
                <w:bCs/>
                <w:color w:val="auto"/>
                <w:sz w:val="24"/>
                <w:szCs w:val="24"/>
                <w:lang w:val="en-US" w:eastAsia="zh-CN"/>
              </w:rPr>
              <w:t>7</w:t>
            </w:r>
            <w:r>
              <w:rPr>
                <w:rFonts w:hint="default" w:ascii="Times New Roman" w:hAnsi="Times New Roman" w:cs="Times New Roman"/>
                <w:b/>
                <w:bCs/>
                <w:color w:val="auto"/>
                <w:sz w:val="24"/>
                <w:szCs w:val="24"/>
              </w:rPr>
              <w:t xml:space="preserve">  环境空气评价标准限值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2"/>
              <w:gridCol w:w="1662"/>
              <w:gridCol w:w="1662"/>
              <w:gridCol w:w="2423"/>
            </w:tblGrid>
            <w:tr w14:paraId="26F2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352" w:type="dxa"/>
                  <w:tcBorders>
                    <w:top w:val="single" w:color="auto" w:sz="4" w:space="0"/>
                    <w:left w:val="single" w:color="auto" w:sz="4" w:space="0"/>
                    <w:bottom w:val="single" w:color="auto" w:sz="4" w:space="0"/>
                    <w:right w:val="single" w:color="auto" w:sz="4" w:space="0"/>
                  </w:tcBorders>
                  <w:noWrap w:val="0"/>
                  <w:vAlign w:val="center"/>
                </w:tcPr>
                <w:p w14:paraId="210A48D5">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污染物名称</w:t>
                  </w:r>
                </w:p>
              </w:tc>
              <w:tc>
                <w:tcPr>
                  <w:tcW w:w="1662" w:type="dxa"/>
                  <w:tcBorders>
                    <w:top w:val="single" w:color="auto" w:sz="4" w:space="0"/>
                    <w:left w:val="nil"/>
                    <w:bottom w:val="single" w:color="auto" w:sz="4" w:space="0"/>
                    <w:right w:val="single" w:color="auto" w:sz="4" w:space="0"/>
                  </w:tcBorders>
                  <w:noWrap w:val="0"/>
                  <w:vAlign w:val="center"/>
                </w:tcPr>
                <w:p w14:paraId="430623FC">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平均时段</w:t>
                  </w:r>
                </w:p>
              </w:tc>
              <w:tc>
                <w:tcPr>
                  <w:tcW w:w="1662" w:type="dxa"/>
                  <w:tcBorders>
                    <w:top w:val="single" w:color="auto" w:sz="4" w:space="0"/>
                    <w:left w:val="nil"/>
                    <w:bottom w:val="single" w:color="auto" w:sz="4" w:space="0"/>
                    <w:right w:val="single" w:color="auto" w:sz="4" w:space="0"/>
                  </w:tcBorders>
                  <w:noWrap w:val="0"/>
                  <w:vAlign w:val="center"/>
                </w:tcPr>
                <w:p w14:paraId="666EC02B">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标准值（ug/m3）</w:t>
                  </w:r>
                </w:p>
              </w:tc>
              <w:tc>
                <w:tcPr>
                  <w:tcW w:w="2423" w:type="dxa"/>
                  <w:tcBorders>
                    <w:top w:val="single" w:color="auto" w:sz="4" w:space="0"/>
                    <w:left w:val="nil"/>
                    <w:bottom w:val="single" w:color="auto" w:sz="4" w:space="0"/>
                    <w:right w:val="single" w:color="auto" w:sz="4" w:space="0"/>
                  </w:tcBorders>
                  <w:noWrap w:val="0"/>
                  <w:vAlign w:val="center"/>
                </w:tcPr>
                <w:p w14:paraId="1B3C0056">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标准</w:t>
                  </w:r>
                </w:p>
              </w:tc>
            </w:tr>
            <w:tr w14:paraId="02890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352" w:type="dxa"/>
                  <w:vMerge w:val="restart"/>
                  <w:tcBorders>
                    <w:top w:val="nil"/>
                    <w:left w:val="single" w:color="auto" w:sz="4" w:space="0"/>
                    <w:bottom w:val="single" w:color="auto" w:sz="4" w:space="0"/>
                    <w:right w:val="single" w:color="auto" w:sz="4" w:space="0"/>
                  </w:tcBorders>
                  <w:noWrap w:val="0"/>
                  <w:vAlign w:val="center"/>
                </w:tcPr>
                <w:p w14:paraId="4351E5EC">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可吸入颗粒物（PM</w:t>
                  </w:r>
                  <w:r>
                    <w:rPr>
                      <w:rFonts w:hint="default" w:ascii="Times New Roman" w:hAnsi="Times New Roman" w:cs="Times New Roman"/>
                      <w:color w:val="auto"/>
                      <w:vertAlign w:val="subscript"/>
                    </w:rPr>
                    <w:t>10</w:t>
                  </w:r>
                  <w:r>
                    <w:rPr>
                      <w:rFonts w:hint="default" w:ascii="Times New Roman" w:hAnsi="Times New Roman" w:cs="Times New Roman"/>
                      <w:color w:val="auto"/>
                    </w:rPr>
                    <w:t>）</w:t>
                  </w:r>
                </w:p>
              </w:tc>
              <w:tc>
                <w:tcPr>
                  <w:tcW w:w="1662" w:type="dxa"/>
                  <w:tcBorders>
                    <w:top w:val="single" w:color="auto" w:sz="4" w:space="0"/>
                    <w:left w:val="nil"/>
                    <w:bottom w:val="single" w:color="auto" w:sz="4" w:space="0"/>
                    <w:right w:val="single" w:color="auto" w:sz="4" w:space="0"/>
                  </w:tcBorders>
                  <w:noWrap w:val="0"/>
                  <w:vAlign w:val="center"/>
                </w:tcPr>
                <w:p w14:paraId="29F83964">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年平均</w:t>
                  </w:r>
                </w:p>
              </w:tc>
              <w:tc>
                <w:tcPr>
                  <w:tcW w:w="1662" w:type="dxa"/>
                  <w:tcBorders>
                    <w:top w:val="single" w:color="auto" w:sz="4" w:space="0"/>
                    <w:left w:val="nil"/>
                    <w:bottom w:val="single" w:color="auto" w:sz="4" w:space="0"/>
                    <w:right w:val="single" w:color="auto" w:sz="4" w:space="0"/>
                  </w:tcBorders>
                  <w:noWrap w:val="0"/>
                  <w:vAlign w:val="center"/>
                </w:tcPr>
                <w:p w14:paraId="3A000E01">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70</w:t>
                  </w:r>
                </w:p>
              </w:tc>
              <w:tc>
                <w:tcPr>
                  <w:tcW w:w="2423" w:type="dxa"/>
                  <w:vMerge w:val="restart"/>
                  <w:tcBorders>
                    <w:top w:val="nil"/>
                    <w:left w:val="nil"/>
                    <w:bottom w:val="single" w:color="auto" w:sz="4" w:space="0"/>
                    <w:right w:val="single" w:color="auto" w:sz="4" w:space="0"/>
                  </w:tcBorders>
                  <w:noWrap w:val="0"/>
                  <w:vAlign w:val="center"/>
                </w:tcPr>
                <w:p w14:paraId="644215AF">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《环境空气质量标准》（GB3095-2012）二级标准</w:t>
                  </w:r>
                </w:p>
              </w:tc>
            </w:tr>
            <w:tr w14:paraId="233D5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352" w:type="dxa"/>
                  <w:vMerge w:val="continue"/>
                  <w:tcBorders>
                    <w:top w:val="nil"/>
                    <w:left w:val="single" w:color="auto" w:sz="4" w:space="0"/>
                    <w:bottom w:val="single" w:color="auto" w:sz="4" w:space="0"/>
                    <w:right w:val="single" w:color="auto" w:sz="4" w:space="0"/>
                  </w:tcBorders>
                  <w:noWrap w:val="0"/>
                  <w:vAlign w:val="center"/>
                </w:tcPr>
                <w:p w14:paraId="14233162">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c>
                <w:tcPr>
                  <w:tcW w:w="1662" w:type="dxa"/>
                  <w:tcBorders>
                    <w:top w:val="single" w:color="auto" w:sz="4" w:space="0"/>
                    <w:left w:val="nil"/>
                    <w:bottom w:val="single" w:color="auto" w:sz="4" w:space="0"/>
                    <w:right w:val="single" w:color="auto" w:sz="4" w:space="0"/>
                  </w:tcBorders>
                  <w:noWrap w:val="0"/>
                  <w:vAlign w:val="center"/>
                </w:tcPr>
                <w:p w14:paraId="40F6A0BD">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24小时平均</w:t>
                  </w:r>
                </w:p>
              </w:tc>
              <w:tc>
                <w:tcPr>
                  <w:tcW w:w="1662" w:type="dxa"/>
                  <w:tcBorders>
                    <w:top w:val="single" w:color="auto" w:sz="4" w:space="0"/>
                    <w:left w:val="nil"/>
                    <w:bottom w:val="single" w:color="auto" w:sz="4" w:space="0"/>
                    <w:right w:val="single" w:color="auto" w:sz="4" w:space="0"/>
                  </w:tcBorders>
                  <w:noWrap w:val="0"/>
                  <w:vAlign w:val="center"/>
                </w:tcPr>
                <w:p w14:paraId="33AFA63E">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150</w:t>
                  </w:r>
                </w:p>
              </w:tc>
              <w:tc>
                <w:tcPr>
                  <w:tcW w:w="2423" w:type="dxa"/>
                  <w:vMerge w:val="continue"/>
                  <w:tcBorders>
                    <w:top w:val="nil"/>
                    <w:left w:val="nil"/>
                    <w:bottom w:val="single" w:color="auto" w:sz="4" w:space="0"/>
                    <w:right w:val="single" w:color="auto" w:sz="4" w:space="0"/>
                  </w:tcBorders>
                  <w:noWrap w:val="0"/>
                  <w:vAlign w:val="center"/>
                </w:tcPr>
                <w:p w14:paraId="14A59FA7">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r>
            <w:tr w14:paraId="4BF0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352" w:type="dxa"/>
                  <w:vMerge w:val="restart"/>
                  <w:tcBorders>
                    <w:top w:val="nil"/>
                    <w:left w:val="single" w:color="auto" w:sz="4" w:space="0"/>
                    <w:bottom w:val="single" w:color="auto" w:sz="4" w:space="0"/>
                    <w:right w:val="single" w:color="auto" w:sz="4" w:space="0"/>
                  </w:tcBorders>
                  <w:noWrap w:val="0"/>
                  <w:vAlign w:val="center"/>
                </w:tcPr>
                <w:p w14:paraId="0B2BC031">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细颗粒物（PM</w:t>
                  </w:r>
                  <w:r>
                    <w:rPr>
                      <w:rFonts w:hint="default" w:ascii="Times New Roman" w:hAnsi="Times New Roman" w:cs="Times New Roman"/>
                      <w:color w:val="auto"/>
                      <w:vertAlign w:val="subscript"/>
                    </w:rPr>
                    <w:t>2.5</w:t>
                  </w:r>
                  <w:r>
                    <w:rPr>
                      <w:rFonts w:hint="default" w:ascii="Times New Roman" w:hAnsi="Times New Roman" w:cs="Times New Roman"/>
                      <w:color w:val="auto"/>
                    </w:rPr>
                    <w:t>）</w:t>
                  </w:r>
                </w:p>
              </w:tc>
              <w:tc>
                <w:tcPr>
                  <w:tcW w:w="1662" w:type="dxa"/>
                  <w:tcBorders>
                    <w:top w:val="single" w:color="auto" w:sz="4" w:space="0"/>
                    <w:left w:val="nil"/>
                    <w:bottom w:val="single" w:color="auto" w:sz="4" w:space="0"/>
                    <w:right w:val="single" w:color="auto" w:sz="4" w:space="0"/>
                  </w:tcBorders>
                  <w:noWrap w:val="0"/>
                  <w:vAlign w:val="center"/>
                </w:tcPr>
                <w:p w14:paraId="7805051C">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年平均</w:t>
                  </w:r>
                </w:p>
              </w:tc>
              <w:tc>
                <w:tcPr>
                  <w:tcW w:w="1662" w:type="dxa"/>
                  <w:tcBorders>
                    <w:top w:val="single" w:color="auto" w:sz="4" w:space="0"/>
                    <w:left w:val="nil"/>
                    <w:bottom w:val="single" w:color="auto" w:sz="4" w:space="0"/>
                    <w:right w:val="single" w:color="auto" w:sz="4" w:space="0"/>
                  </w:tcBorders>
                  <w:noWrap w:val="0"/>
                  <w:vAlign w:val="center"/>
                </w:tcPr>
                <w:p w14:paraId="33569C07">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35</w:t>
                  </w:r>
                </w:p>
              </w:tc>
              <w:tc>
                <w:tcPr>
                  <w:tcW w:w="2423" w:type="dxa"/>
                  <w:vMerge w:val="continue"/>
                  <w:tcBorders>
                    <w:top w:val="nil"/>
                    <w:left w:val="nil"/>
                    <w:bottom w:val="single" w:color="auto" w:sz="4" w:space="0"/>
                    <w:right w:val="single" w:color="auto" w:sz="4" w:space="0"/>
                  </w:tcBorders>
                  <w:noWrap w:val="0"/>
                  <w:vAlign w:val="center"/>
                </w:tcPr>
                <w:p w14:paraId="6D76BC81">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r>
            <w:tr w14:paraId="55B64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352" w:type="dxa"/>
                  <w:vMerge w:val="continue"/>
                  <w:tcBorders>
                    <w:top w:val="nil"/>
                    <w:left w:val="single" w:color="auto" w:sz="4" w:space="0"/>
                    <w:bottom w:val="single" w:color="auto" w:sz="4" w:space="0"/>
                    <w:right w:val="single" w:color="auto" w:sz="4" w:space="0"/>
                  </w:tcBorders>
                  <w:noWrap w:val="0"/>
                  <w:vAlign w:val="center"/>
                </w:tcPr>
                <w:p w14:paraId="4208547B">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c>
                <w:tcPr>
                  <w:tcW w:w="1662" w:type="dxa"/>
                  <w:tcBorders>
                    <w:top w:val="single" w:color="auto" w:sz="4" w:space="0"/>
                    <w:left w:val="nil"/>
                    <w:bottom w:val="single" w:color="auto" w:sz="4" w:space="0"/>
                    <w:right w:val="single" w:color="auto" w:sz="4" w:space="0"/>
                  </w:tcBorders>
                  <w:noWrap w:val="0"/>
                  <w:vAlign w:val="center"/>
                </w:tcPr>
                <w:p w14:paraId="667E0E02">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24小时平均</w:t>
                  </w:r>
                </w:p>
              </w:tc>
              <w:tc>
                <w:tcPr>
                  <w:tcW w:w="1662" w:type="dxa"/>
                  <w:tcBorders>
                    <w:top w:val="single" w:color="auto" w:sz="4" w:space="0"/>
                    <w:left w:val="nil"/>
                    <w:bottom w:val="single" w:color="auto" w:sz="4" w:space="0"/>
                    <w:right w:val="single" w:color="auto" w:sz="4" w:space="0"/>
                  </w:tcBorders>
                  <w:noWrap w:val="0"/>
                  <w:vAlign w:val="center"/>
                </w:tcPr>
                <w:p w14:paraId="016370C9">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75</w:t>
                  </w:r>
                </w:p>
              </w:tc>
              <w:tc>
                <w:tcPr>
                  <w:tcW w:w="2423" w:type="dxa"/>
                  <w:vMerge w:val="continue"/>
                  <w:tcBorders>
                    <w:top w:val="nil"/>
                    <w:left w:val="nil"/>
                    <w:bottom w:val="single" w:color="auto" w:sz="4" w:space="0"/>
                    <w:right w:val="single" w:color="auto" w:sz="4" w:space="0"/>
                  </w:tcBorders>
                  <w:noWrap w:val="0"/>
                  <w:vAlign w:val="center"/>
                </w:tcPr>
                <w:p w14:paraId="17019AE8">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r>
            <w:tr w14:paraId="4185D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352" w:type="dxa"/>
                  <w:vMerge w:val="restart"/>
                  <w:tcBorders>
                    <w:top w:val="nil"/>
                    <w:left w:val="single" w:color="auto" w:sz="4" w:space="0"/>
                    <w:bottom w:val="single" w:color="auto" w:sz="4" w:space="0"/>
                    <w:right w:val="single" w:color="auto" w:sz="4" w:space="0"/>
                  </w:tcBorders>
                  <w:noWrap w:val="0"/>
                  <w:vAlign w:val="center"/>
                </w:tcPr>
                <w:p w14:paraId="4C689900">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二氧化氮（NO</w:t>
                  </w:r>
                  <w:r>
                    <w:rPr>
                      <w:rFonts w:hint="default" w:ascii="Times New Roman" w:hAnsi="Times New Roman" w:cs="Times New Roman"/>
                      <w:color w:val="auto"/>
                      <w:vertAlign w:val="subscript"/>
                    </w:rPr>
                    <w:t>2</w:t>
                  </w:r>
                  <w:r>
                    <w:rPr>
                      <w:rFonts w:hint="default" w:ascii="Times New Roman" w:hAnsi="Times New Roman" w:cs="Times New Roman"/>
                      <w:color w:val="auto"/>
                    </w:rPr>
                    <w:t>）</w:t>
                  </w:r>
                </w:p>
              </w:tc>
              <w:tc>
                <w:tcPr>
                  <w:tcW w:w="1662" w:type="dxa"/>
                  <w:tcBorders>
                    <w:top w:val="single" w:color="auto" w:sz="4" w:space="0"/>
                    <w:left w:val="nil"/>
                    <w:bottom w:val="single" w:color="auto" w:sz="4" w:space="0"/>
                    <w:right w:val="single" w:color="auto" w:sz="4" w:space="0"/>
                  </w:tcBorders>
                  <w:noWrap w:val="0"/>
                  <w:vAlign w:val="center"/>
                </w:tcPr>
                <w:p w14:paraId="6F6E600E">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年平均</w:t>
                  </w:r>
                </w:p>
              </w:tc>
              <w:tc>
                <w:tcPr>
                  <w:tcW w:w="1662" w:type="dxa"/>
                  <w:tcBorders>
                    <w:top w:val="single" w:color="auto" w:sz="4" w:space="0"/>
                    <w:left w:val="nil"/>
                    <w:bottom w:val="single" w:color="auto" w:sz="4" w:space="0"/>
                    <w:right w:val="single" w:color="auto" w:sz="4" w:space="0"/>
                  </w:tcBorders>
                  <w:noWrap w:val="0"/>
                  <w:vAlign w:val="center"/>
                </w:tcPr>
                <w:p w14:paraId="0B334AB0">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40</w:t>
                  </w:r>
                </w:p>
              </w:tc>
              <w:tc>
                <w:tcPr>
                  <w:tcW w:w="2423" w:type="dxa"/>
                  <w:vMerge w:val="continue"/>
                  <w:tcBorders>
                    <w:top w:val="nil"/>
                    <w:left w:val="nil"/>
                    <w:bottom w:val="single" w:color="auto" w:sz="4" w:space="0"/>
                    <w:right w:val="single" w:color="auto" w:sz="4" w:space="0"/>
                  </w:tcBorders>
                  <w:noWrap w:val="0"/>
                  <w:vAlign w:val="center"/>
                </w:tcPr>
                <w:p w14:paraId="08385D5F">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r>
            <w:tr w14:paraId="211B7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352" w:type="dxa"/>
                  <w:vMerge w:val="continue"/>
                  <w:tcBorders>
                    <w:top w:val="nil"/>
                    <w:left w:val="single" w:color="auto" w:sz="4" w:space="0"/>
                    <w:bottom w:val="single" w:color="auto" w:sz="4" w:space="0"/>
                    <w:right w:val="single" w:color="auto" w:sz="4" w:space="0"/>
                  </w:tcBorders>
                  <w:noWrap w:val="0"/>
                  <w:vAlign w:val="center"/>
                </w:tcPr>
                <w:p w14:paraId="075083FC">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c>
                <w:tcPr>
                  <w:tcW w:w="1662" w:type="dxa"/>
                  <w:tcBorders>
                    <w:top w:val="single" w:color="auto" w:sz="4" w:space="0"/>
                    <w:left w:val="nil"/>
                    <w:bottom w:val="single" w:color="auto" w:sz="4" w:space="0"/>
                    <w:right w:val="single" w:color="auto" w:sz="4" w:space="0"/>
                  </w:tcBorders>
                  <w:noWrap w:val="0"/>
                  <w:vAlign w:val="center"/>
                </w:tcPr>
                <w:p w14:paraId="41DF697F">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24小时平均</w:t>
                  </w:r>
                </w:p>
              </w:tc>
              <w:tc>
                <w:tcPr>
                  <w:tcW w:w="1662" w:type="dxa"/>
                  <w:tcBorders>
                    <w:top w:val="single" w:color="auto" w:sz="4" w:space="0"/>
                    <w:left w:val="nil"/>
                    <w:bottom w:val="single" w:color="auto" w:sz="4" w:space="0"/>
                    <w:right w:val="single" w:color="auto" w:sz="4" w:space="0"/>
                  </w:tcBorders>
                  <w:noWrap w:val="0"/>
                  <w:vAlign w:val="center"/>
                </w:tcPr>
                <w:p w14:paraId="586389E8">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80</w:t>
                  </w:r>
                </w:p>
              </w:tc>
              <w:tc>
                <w:tcPr>
                  <w:tcW w:w="2423" w:type="dxa"/>
                  <w:vMerge w:val="continue"/>
                  <w:tcBorders>
                    <w:top w:val="nil"/>
                    <w:left w:val="nil"/>
                    <w:bottom w:val="single" w:color="auto" w:sz="4" w:space="0"/>
                    <w:right w:val="single" w:color="auto" w:sz="4" w:space="0"/>
                  </w:tcBorders>
                  <w:noWrap w:val="0"/>
                  <w:vAlign w:val="center"/>
                </w:tcPr>
                <w:p w14:paraId="4C5077E9">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r>
            <w:tr w14:paraId="2984A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352" w:type="dxa"/>
                  <w:vMerge w:val="continue"/>
                  <w:tcBorders>
                    <w:top w:val="nil"/>
                    <w:left w:val="single" w:color="auto" w:sz="4" w:space="0"/>
                    <w:bottom w:val="single" w:color="auto" w:sz="4" w:space="0"/>
                    <w:right w:val="single" w:color="auto" w:sz="4" w:space="0"/>
                  </w:tcBorders>
                  <w:noWrap w:val="0"/>
                  <w:vAlign w:val="center"/>
                </w:tcPr>
                <w:p w14:paraId="1F703EA3">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c>
                <w:tcPr>
                  <w:tcW w:w="1662" w:type="dxa"/>
                  <w:tcBorders>
                    <w:top w:val="single" w:color="auto" w:sz="4" w:space="0"/>
                    <w:left w:val="nil"/>
                    <w:bottom w:val="single" w:color="auto" w:sz="4" w:space="0"/>
                    <w:right w:val="single" w:color="auto" w:sz="4" w:space="0"/>
                  </w:tcBorders>
                  <w:noWrap w:val="0"/>
                  <w:vAlign w:val="center"/>
                </w:tcPr>
                <w:p w14:paraId="6891E5FD">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1小时平均</w:t>
                  </w:r>
                </w:p>
              </w:tc>
              <w:tc>
                <w:tcPr>
                  <w:tcW w:w="1662" w:type="dxa"/>
                  <w:tcBorders>
                    <w:top w:val="single" w:color="auto" w:sz="4" w:space="0"/>
                    <w:left w:val="nil"/>
                    <w:bottom w:val="single" w:color="auto" w:sz="4" w:space="0"/>
                    <w:right w:val="single" w:color="auto" w:sz="4" w:space="0"/>
                  </w:tcBorders>
                  <w:noWrap w:val="0"/>
                  <w:vAlign w:val="center"/>
                </w:tcPr>
                <w:p w14:paraId="2578771A">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200</w:t>
                  </w:r>
                </w:p>
              </w:tc>
              <w:tc>
                <w:tcPr>
                  <w:tcW w:w="2423" w:type="dxa"/>
                  <w:vMerge w:val="continue"/>
                  <w:tcBorders>
                    <w:top w:val="nil"/>
                    <w:left w:val="nil"/>
                    <w:bottom w:val="single" w:color="auto" w:sz="4" w:space="0"/>
                    <w:right w:val="single" w:color="auto" w:sz="4" w:space="0"/>
                  </w:tcBorders>
                  <w:noWrap w:val="0"/>
                  <w:vAlign w:val="center"/>
                </w:tcPr>
                <w:p w14:paraId="6A6A6B61">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r>
            <w:tr w14:paraId="2D725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352" w:type="dxa"/>
                  <w:vMerge w:val="restart"/>
                  <w:tcBorders>
                    <w:top w:val="nil"/>
                    <w:left w:val="single" w:color="auto" w:sz="4" w:space="0"/>
                    <w:bottom w:val="single" w:color="auto" w:sz="4" w:space="0"/>
                    <w:right w:val="single" w:color="auto" w:sz="4" w:space="0"/>
                  </w:tcBorders>
                  <w:noWrap w:val="0"/>
                  <w:vAlign w:val="center"/>
                </w:tcPr>
                <w:p w14:paraId="072425D8">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二氧化硫（SO</w:t>
                  </w:r>
                  <w:r>
                    <w:rPr>
                      <w:rFonts w:hint="default" w:ascii="Times New Roman" w:hAnsi="Times New Roman" w:cs="Times New Roman"/>
                      <w:color w:val="auto"/>
                      <w:vertAlign w:val="subscript"/>
                    </w:rPr>
                    <w:t>2</w:t>
                  </w:r>
                  <w:r>
                    <w:rPr>
                      <w:rFonts w:hint="default" w:ascii="Times New Roman" w:hAnsi="Times New Roman" w:cs="Times New Roman"/>
                      <w:color w:val="auto"/>
                    </w:rPr>
                    <w:t>）</w:t>
                  </w:r>
                </w:p>
              </w:tc>
              <w:tc>
                <w:tcPr>
                  <w:tcW w:w="1662" w:type="dxa"/>
                  <w:tcBorders>
                    <w:top w:val="single" w:color="auto" w:sz="4" w:space="0"/>
                    <w:left w:val="nil"/>
                    <w:bottom w:val="single" w:color="auto" w:sz="4" w:space="0"/>
                    <w:right w:val="single" w:color="auto" w:sz="4" w:space="0"/>
                  </w:tcBorders>
                  <w:noWrap w:val="0"/>
                  <w:vAlign w:val="center"/>
                </w:tcPr>
                <w:p w14:paraId="0B317655">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年平均</w:t>
                  </w:r>
                </w:p>
              </w:tc>
              <w:tc>
                <w:tcPr>
                  <w:tcW w:w="1662" w:type="dxa"/>
                  <w:tcBorders>
                    <w:top w:val="single" w:color="auto" w:sz="4" w:space="0"/>
                    <w:left w:val="nil"/>
                    <w:bottom w:val="single" w:color="auto" w:sz="4" w:space="0"/>
                    <w:right w:val="single" w:color="auto" w:sz="4" w:space="0"/>
                  </w:tcBorders>
                  <w:noWrap w:val="0"/>
                  <w:vAlign w:val="center"/>
                </w:tcPr>
                <w:p w14:paraId="05640E00">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60</w:t>
                  </w:r>
                </w:p>
              </w:tc>
              <w:tc>
                <w:tcPr>
                  <w:tcW w:w="2423" w:type="dxa"/>
                  <w:vMerge w:val="continue"/>
                  <w:tcBorders>
                    <w:top w:val="nil"/>
                    <w:left w:val="nil"/>
                    <w:bottom w:val="single" w:color="auto" w:sz="4" w:space="0"/>
                    <w:right w:val="single" w:color="auto" w:sz="4" w:space="0"/>
                  </w:tcBorders>
                  <w:noWrap w:val="0"/>
                  <w:vAlign w:val="center"/>
                </w:tcPr>
                <w:p w14:paraId="2A1C33A1">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r>
            <w:tr w14:paraId="02CB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352" w:type="dxa"/>
                  <w:vMerge w:val="continue"/>
                  <w:tcBorders>
                    <w:top w:val="nil"/>
                    <w:left w:val="single" w:color="auto" w:sz="4" w:space="0"/>
                    <w:bottom w:val="single" w:color="auto" w:sz="4" w:space="0"/>
                    <w:right w:val="single" w:color="auto" w:sz="4" w:space="0"/>
                  </w:tcBorders>
                  <w:noWrap w:val="0"/>
                  <w:vAlign w:val="center"/>
                </w:tcPr>
                <w:p w14:paraId="065271D3">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c>
                <w:tcPr>
                  <w:tcW w:w="1662" w:type="dxa"/>
                  <w:tcBorders>
                    <w:top w:val="single" w:color="auto" w:sz="4" w:space="0"/>
                    <w:left w:val="nil"/>
                    <w:bottom w:val="single" w:color="auto" w:sz="4" w:space="0"/>
                    <w:right w:val="single" w:color="auto" w:sz="4" w:space="0"/>
                  </w:tcBorders>
                  <w:noWrap w:val="0"/>
                  <w:vAlign w:val="center"/>
                </w:tcPr>
                <w:p w14:paraId="26DEA74E">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24小时平均</w:t>
                  </w:r>
                </w:p>
              </w:tc>
              <w:tc>
                <w:tcPr>
                  <w:tcW w:w="1662" w:type="dxa"/>
                  <w:tcBorders>
                    <w:top w:val="single" w:color="auto" w:sz="4" w:space="0"/>
                    <w:left w:val="nil"/>
                    <w:bottom w:val="single" w:color="auto" w:sz="4" w:space="0"/>
                    <w:right w:val="single" w:color="auto" w:sz="4" w:space="0"/>
                  </w:tcBorders>
                  <w:noWrap w:val="0"/>
                  <w:vAlign w:val="center"/>
                </w:tcPr>
                <w:p w14:paraId="360F7C81">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150</w:t>
                  </w:r>
                </w:p>
              </w:tc>
              <w:tc>
                <w:tcPr>
                  <w:tcW w:w="2423" w:type="dxa"/>
                  <w:vMerge w:val="continue"/>
                  <w:tcBorders>
                    <w:top w:val="nil"/>
                    <w:left w:val="nil"/>
                    <w:bottom w:val="single" w:color="auto" w:sz="4" w:space="0"/>
                    <w:right w:val="single" w:color="auto" w:sz="4" w:space="0"/>
                  </w:tcBorders>
                  <w:noWrap w:val="0"/>
                  <w:vAlign w:val="center"/>
                </w:tcPr>
                <w:p w14:paraId="1A1E83CD">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r>
            <w:tr w14:paraId="625E7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352" w:type="dxa"/>
                  <w:vMerge w:val="continue"/>
                  <w:tcBorders>
                    <w:top w:val="nil"/>
                    <w:left w:val="single" w:color="auto" w:sz="4" w:space="0"/>
                    <w:bottom w:val="single" w:color="auto" w:sz="4" w:space="0"/>
                    <w:right w:val="single" w:color="auto" w:sz="4" w:space="0"/>
                  </w:tcBorders>
                  <w:noWrap w:val="0"/>
                  <w:vAlign w:val="center"/>
                </w:tcPr>
                <w:p w14:paraId="32463DFC">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c>
                <w:tcPr>
                  <w:tcW w:w="1662" w:type="dxa"/>
                  <w:tcBorders>
                    <w:top w:val="single" w:color="auto" w:sz="4" w:space="0"/>
                    <w:left w:val="nil"/>
                    <w:bottom w:val="single" w:color="auto" w:sz="4" w:space="0"/>
                    <w:right w:val="single" w:color="auto" w:sz="4" w:space="0"/>
                  </w:tcBorders>
                  <w:noWrap w:val="0"/>
                  <w:vAlign w:val="center"/>
                </w:tcPr>
                <w:p w14:paraId="2F7E91CD">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1小时平均</w:t>
                  </w:r>
                </w:p>
              </w:tc>
              <w:tc>
                <w:tcPr>
                  <w:tcW w:w="1662" w:type="dxa"/>
                  <w:tcBorders>
                    <w:top w:val="single" w:color="auto" w:sz="4" w:space="0"/>
                    <w:left w:val="nil"/>
                    <w:bottom w:val="single" w:color="auto" w:sz="4" w:space="0"/>
                    <w:right w:val="single" w:color="auto" w:sz="4" w:space="0"/>
                  </w:tcBorders>
                  <w:noWrap w:val="0"/>
                  <w:vAlign w:val="center"/>
                </w:tcPr>
                <w:p w14:paraId="4A9516B7">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500</w:t>
                  </w:r>
                </w:p>
              </w:tc>
              <w:tc>
                <w:tcPr>
                  <w:tcW w:w="2423" w:type="dxa"/>
                  <w:vMerge w:val="continue"/>
                  <w:tcBorders>
                    <w:top w:val="nil"/>
                    <w:left w:val="nil"/>
                    <w:bottom w:val="single" w:color="auto" w:sz="4" w:space="0"/>
                    <w:right w:val="single" w:color="auto" w:sz="4" w:space="0"/>
                  </w:tcBorders>
                  <w:noWrap w:val="0"/>
                  <w:vAlign w:val="center"/>
                </w:tcPr>
                <w:p w14:paraId="76FD33CF">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r>
            <w:tr w14:paraId="12B20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352" w:type="dxa"/>
                  <w:vMerge w:val="restart"/>
                  <w:tcBorders>
                    <w:top w:val="nil"/>
                    <w:left w:val="single" w:color="auto" w:sz="4" w:space="0"/>
                    <w:bottom w:val="single" w:color="auto" w:sz="4" w:space="0"/>
                    <w:right w:val="single" w:color="auto" w:sz="4" w:space="0"/>
                  </w:tcBorders>
                  <w:noWrap w:val="0"/>
                  <w:vAlign w:val="center"/>
                </w:tcPr>
                <w:p w14:paraId="47953E97">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颗粒物（TSP）</w:t>
                  </w:r>
                </w:p>
              </w:tc>
              <w:tc>
                <w:tcPr>
                  <w:tcW w:w="1662" w:type="dxa"/>
                  <w:tcBorders>
                    <w:top w:val="single" w:color="auto" w:sz="4" w:space="0"/>
                    <w:left w:val="nil"/>
                    <w:bottom w:val="single" w:color="auto" w:sz="4" w:space="0"/>
                    <w:right w:val="single" w:color="auto" w:sz="4" w:space="0"/>
                  </w:tcBorders>
                  <w:noWrap w:val="0"/>
                  <w:vAlign w:val="center"/>
                </w:tcPr>
                <w:p w14:paraId="164FE280">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年平均</w:t>
                  </w:r>
                </w:p>
              </w:tc>
              <w:tc>
                <w:tcPr>
                  <w:tcW w:w="1662" w:type="dxa"/>
                  <w:tcBorders>
                    <w:top w:val="single" w:color="auto" w:sz="4" w:space="0"/>
                    <w:left w:val="nil"/>
                    <w:bottom w:val="single" w:color="auto" w:sz="4" w:space="0"/>
                    <w:right w:val="single" w:color="auto" w:sz="4" w:space="0"/>
                  </w:tcBorders>
                  <w:noWrap w:val="0"/>
                  <w:vAlign w:val="center"/>
                </w:tcPr>
                <w:p w14:paraId="042232CF">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200</w:t>
                  </w:r>
                </w:p>
              </w:tc>
              <w:tc>
                <w:tcPr>
                  <w:tcW w:w="2423" w:type="dxa"/>
                  <w:vMerge w:val="continue"/>
                  <w:tcBorders>
                    <w:top w:val="nil"/>
                    <w:left w:val="nil"/>
                    <w:bottom w:val="single" w:color="auto" w:sz="4" w:space="0"/>
                    <w:right w:val="single" w:color="auto" w:sz="4" w:space="0"/>
                  </w:tcBorders>
                  <w:noWrap w:val="0"/>
                  <w:vAlign w:val="center"/>
                </w:tcPr>
                <w:p w14:paraId="12D8B354">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r>
            <w:tr w14:paraId="1A383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352" w:type="dxa"/>
                  <w:vMerge w:val="continue"/>
                  <w:tcBorders>
                    <w:top w:val="nil"/>
                    <w:left w:val="single" w:color="auto" w:sz="4" w:space="0"/>
                    <w:bottom w:val="single" w:color="auto" w:sz="4" w:space="0"/>
                    <w:right w:val="single" w:color="auto" w:sz="4" w:space="0"/>
                  </w:tcBorders>
                  <w:noWrap w:val="0"/>
                  <w:vAlign w:val="center"/>
                </w:tcPr>
                <w:p w14:paraId="615ADE97">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c>
                <w:tcPr>
                  <w:tcW w:w="1662" w:type="dxa"/>
                  <w:tcBorders>
                    <w:top w:val="single" w:color="auto" w:sz="4" w:space="0"/>
                    <w:left w:val="nil"/>
                    <w:bottom w:val="single" w:color="auto" w:sz="4" w:space="0"/>
                    <w:right w:val="single" w:color="auto" w:sz="4" w:space="0"/>
                  </w:tcBorders>
                  <w:noWrap w:val="0"/>
                  <w:vAlign w:val="center"/>
                </w:tcPr>
                <w:p w14:paraId="2FC2B92B">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24小时平均</w:t>
                  </w:r>
                </w:p>
              </w:tc>
              <w:tc>
                <w:tcPr>
                  <w:tcW w:w="1662" w:type="dxa"/>
                  <w:tcBorders>
                    <w:top w:val="single" w:color="auto" w:sz="4" w:space="0"/>
                    <w:left w:val="nil"/>
                    <w:bottom w:val="single" w:color="auto" w:sz="4" w:space="0"/>
                    <w:right w:val="single" w:color="auto" w:sz="4" w:space="0"/>
                  </w:tcBorders>
                  <w:noWrap w:val="0"/>
                  <w:vAlign w:val="center"/>
                </w:tcPr>
                <w:p w14:paraId="1A2191D1">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300</w:t>
                  </w:r>
                </w:p>
              </w:tc>
              <w:tc>
                <w:tcPr>
                  <w:tcW w:w="2423" w:type="dxa"/>
                  <w:vMerge w:val="continue"/>
                  <w:tcBorders>
                    <w:top w:val="nil"/>
                    <w:left w:val="nil"/>
                    <w:bottom w:val="single" w:color="auto" w:sz="4" w:space="0"/>
                    <w:right w:val="single" w:color="auto" w:sz="4" w:space="0"/>
                  </w:tcBorders>
                  <w:noWrap w:val="0"/>
                  <w:vAlign w:val="center"/>
                </w:tcPr>
                <w:p w14:paraId="100FF495">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r>
            <w:tr w14:paraId="521A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352" w:type="dxa"/>
                  <w:vMerge w:val="restart"/>
                  <w:tcBorders>
                    <w:top w:val="nil"/>
                    <w:left w:val="single" w:color="auto" w:sz="4" w:space="0"/>
                    <w:bottom w:val="single" w:color="auto" w:sz="4" w:space="0"/>
                    <w:right w:val="single" w:color="auto" w:sz="4" w:space="0"/>
                  </w:tcBorders>
                  <w:noWrap w:val="0"/>
                  <w:vAlign w:val="center"/>
                </w:tcPr>
                <w:p w14:paraId="5A39BD61">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臭氧</w:t>
                  </w:r>
                </w:p>
              </w:tc>
              <w:tc>
                <w:tcPr>
                  <w:tcW w:w="1662" w:type="dxa"/>
                  <w:tcBorders>
                    <w:top w:val="single" w:color="auto" w:sz="4" w:space="0"/>
                    <w:left w:val="nil"/>
                    <w:bottom w:val="single" w:color="auto" w:sz="4" w:space="0"/>
                    <w:right w:val="single" w:color="auto" w:sz="4" w:space="0"/>
                  </w:tcBorders>
                  <w:noWrap w:val="0"/>
                  <w:vAlign w:val="center"/>
                </w:tcPr>
                <w:p w14:paraId="3BF8DA9A">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8小时平均</w:t>
                  </w:r>
                </w:p>
              </w:tc>
              <w:tc>
                <w:tcPr>
                  <w:tcW w:w="1662" w:type="dxa"/>
                  <w:tcBorders>
                    <w:top w:val="single" w:color="auto" w:sz="4" w:space="0"/>
                    <w:left w:val="nil"/>
                    <w:bottom w:val="single" w:color="auto" w:sz="4" w:space="0"/>
                    <w:right w:val="single" w:color="auto" w:sz="4" w:space="0"/>
                  </w:tcBorders>
                  <w:noWrap w:val="0"/>
                  <w:vAlign w:val="center"/>
                </w:tcPr>
                <w:p w14:paraId="5D4CF017">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160</w:t>
                  </w:r>
                </w:p>
              </w:tc>
              <w:tc>
                <w:tcPr>
                  <w:tcW w:w="2423" w:type="dxa"/>
                  <w:vMerge w:val="continue"/>
                  <w:tcBorders>
                    <w:top w:val="nil"/>
                    <w:left w:val="nil"/>
                    <w:bottom w:val="single" w:color="auto" w:sz="4" w:space="0"/>
                    <w:right w:val="single" w:color="auto" w:sz="4" w:space="0"/>
                  </w:tcBorders>
                  <w:noWrap w:val="0"/>
                  <w:vAlign w:val="center"/>
                </w:tcPr>
                <w:p w14:paraId="2D33874F">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r>
            <w:tr w14:paraId="0E18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352" w:type="dxa"/>
                  <w:vMerge w:val="continue"/>
                  <w:tcBorders>
                    <w:top w:val="nil"/>
                    <w:left w:val="single" w:color="auto" w:sz="4" w:space="0"/>
                    <w:bottom w:val="single" w:color="auto" w:sz="4" w:space="0"/>
                    <w:right w:val="single" w:color="auto" w:sz="4" w:space="0"/>
                  </w:tcBorders>
                  <w:noWrap w:val="0"/>
                  <w:vAlign w:val="center"/>
                </w:tcPr>
                <w:p w14:paraId="7316C55D">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c>
                <w:tcPr>
                  <w:tcW w:w="1662" w:type="dxa"/>
                  <w:tcBorders>
                    <w:top w:val="single" w:color="auto" w:sz="4" w:space="0"/>
                    <w:left w:val="nil"/>
                    <w:bottom w:val="single" w:color="auto" w:sz="4" w:space="0"/>
                    <w:right w:val="single" w:color="auto" w:sz="4" w:space="0"/>
                  </w:tcBorders>
                  <w:noWrap w:val="0"/>
                  <w:vAlign w:val="center"/>
                </w:tcPr>
                <w:p w14:paraId="4D1C404E">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1小时平均</w:t>
                  </w:r>
                </w:p>
              </w:tc>
              <w:tc>
                <w:tcPr>
                  <w:tcW w:w="1662" w:type="dxa"/>
                  <w:tcBorders>
                    <w:top w:val="single" w:color="auto" w:sz="4" w:space="0"/>
                    <w:left w:val="nil"/>
                    <w:bottom w:val="single" w:color="auto" w:sz="4" w:space="0"/>
                    <w:right w:val="single" w:color="auto" w:sz="4" w:space="0"/>
                  </w:tcBorders>
                  <w:noWrap w:val="0"/>
                  <w:vAlign w:val="center"/>
                </w:tcPr>
                <w:p w14:paraId="06CAADBF">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200</w:t>
                  </w:r>
                </w:p>
              </w:tc>
              <w:tc>
                <w:tcPr>
                  <w:tcW w:w="2423" w:type="dxa"/>
                  <w:vMerge w:val="continue"/>
                  <w:tcBorders>
                    <w:top w:val="nil"/>
                    <w:left w:val="nil"/>
                    <w:bottom w:val="single" w:color="auto" w:sz="4" w:space="0"/>
                    <w:right w:val="single" w:color="auto" w:sz="4" w:space="0"/>
                  </w:tcBorders>
                  <w:noWrap w:val="0"/>
                  <w:vAlign w:val="center"/>
                </w:tcPr>
                <w:p w14:paraId="7DDE7EFF">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r>
            <w:tr w14:paraId="3FD4F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352" w:type="dxa"/>
                  <w:vMerge w:val="restart"/>
                  <w:tcBorders>
                    <w:top w:val="nil"/>
                    <w:left w:val="single" w:color="auto" w:sz="4" w:space="0"/>
                    <w:bottom w:val="single" w:color="auto" w:sz="4" w:space="0"/>
                    <w:right w:val="single" w:color="auto" w:sz="4" w:space="0"/>
                  </w:tcBorders>
                  <w:noWrap w:val="0"/>
                  <w:vAlign w:val="center"/>
                </w:tcPr>
                <w:p w14:paraId="54115083">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一氧化碳</w:t>
                  </w:r>
                </w:p>
              </w:tc>
              <w:tc>
                <w:tcPr>
                  <w:tcW w:w="1662" w:type="dxa"/>
                  <w:tcBorders>
                    <w:top w:val="single" w:color="auto" w:sz="4" w:space="0"/>
                    <w:left w:val="nil"/>
                    <w:bottom w:val="single" w:color="auto" w:sz="4" w:space="0"/>
                    <w:right w:val="single" w:color="auto" w:sz="4" w:space="0"/>
                  </w:tcBorders>
                  <w:noWrap w:val="0"/>
                  <w:vAlign w:val="center"/>
                </w:tcPr>
                <w:p w14:paraId="575FAD7D">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24小时平均</w:t>
                  </w:r>
                </w:p>
              </w:tc>
              <w:tc>
                <w:tcPr>
                  <w:tcW w:w="1662" w:type="dxa"/>
                  <w:tcBorders>
                    <w:top w:val="single" w:color="auto" w:sz="4" w:space="0"/>
                    <w:left w:val="nil"/>
                    <w:bottom w:val="single" w:color="auto" w:sz="4" w:space="0"/>
                    <w:right w:val="single" w:color="auto" w:sz="4" w:space="0"/>
                  </w:tcBorders>
                  <w:noWrap w:val="0"/>
                  <w:vAlign w:val="center"/>
                </w:tcPr>
                <w:p w14:paraId="2DF9FFF5">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4000</w:t>
                  </w:r>
                </w:p>
              </w:tc>
              <w:tc>
                <w:tcPr>
                  <w:tcW w:w="2423" w:type="dxa"/>
                  <w:vMerge w:val="continue"/>
                  <w:tcBorders>
                    <w:top w:val="nil"/>
                    <w:left w:val="nil"/>
                    <w:bottom w:val="single" w:color="auto" w:sz="4" w:space="0"/>
                    <w:right w:val="single" w:color="auto" w:sz="4" w:space="0"/>
                  </w:tcBorders>
                  <w:noWrap w:val="0"/>
                  <w:vAlign w:val="center"/>
                </w:tcPr>
                <w:p w14:paraId="2F58676F">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r>
            <w:tr w14:paraId="5B201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352" w:type="dxa"/>
                  <w:vMerge w:val="continue"/>
                  <w:tcBorders>
                    <w:top w:val="nil"/>
                    <w:left w:val="single" w:color="auto" w:sz="4" w:space="0"/>
                    <w:bottom w:val="single" w:color="auto" w:sz="4" w:space="0"/>
                    <w:right w:val="single" w:color="auto" w:sz="4" w:space="0"/>
                  </w:tcBorders>
                  <w:noWrap w:val="0"/>
                  <w:vAlign w:val="center"/>
                </w:tcPr>
                <w:p w14:paraId="71FEF522">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c>
                <w:tcPr>
                  <w:tcW w:w="1662" w:type="dxa"/>
                  <w:tcBorders>
                    <w:top w:val="single" w:color="auto" w:sz="4" w:space="0"/>
                    <w:left w:val="nil"/>
                    <w:bottom w:val="single" w:color="auto" w:sz="4" w:space="0"/>
                    <w:right w:val="single" w:color="auto" w:sz="4" w:space="0"/>
                  </w:tcBorders>
                  <w:noWrap w:val="0"/>
                  <w:vAlign w:val="center"/>
                </w:tcPr>
                <w:p w14:paraId="1AAEB0CA">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1小时平均</w:t>
                  </w:r>
                </w:p>
              </w:tc>
              <w:tc>
                <w:tcPr>
                  <w:tcW w:w="1662" w:type="dxa"/>
                  <w:tcBorders>
                    <w:top w:val="single" w:color="auto" w:sz="4" w:space="0"/>
                    <w:left w:val="nil"/>
                    <w:bottom w:val="single" w:color="auto" w:sz="4" w:space="0"/>
                    <w:right w:val="single" w:color="auto" w:sz="4" w:space="0"/>
                  </w:tcBorders>
                  <w:noWrap w:val="0"/>
                  <w:vAlign w:val="center"/>
                </w:tcPr>
                <w:p w14:paraId="285A1ED6">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10000</w:t>
                  </w:r>
                </w:p>
              </w:tc>
              <w:tc>
                <w:tcPr>
                  <w:tcW w:w="2423" w:type="dxa"/>
                  <w:vMerge w:val="continue"/>
                  <w:tcBorders>
                    <w:top w:val="nil"/>
                    <w:left w:val="nil"/>
                    <w:bottom w:val="single" w:color="auto" w:sz="4" w:space="0"/>
                    <w:right w:val="single" w:color="auto" w:sz="4" w:space="0"/>
                  </w:tcBorders>
                  <w:noWrap w:val="0"/>
                  <w:vAlign w:val="center"/>
                </w:tcPr>
                <w:p w14:paraId="1A9311EA">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r>
            <w:tr w14:paraId="7587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352" w:type="dxa"/>
                  <w:vMerge w:val="restart"/>
                  <w:tcBorders>
                    <w:top w:val="nil"/>
                    <w:left w:val="single" w:color="auto" w:sz="4" w:space="0"/>
                    <w:bottom w:val="single" w:color="auto" w:sz="4" w:space="0"/>
                    <w:right w:val="single" w:color="auto" w:sz="4" w:space="0"/>
                  </w:tcBorders>
                  <w:noWrap w:val="0"/>
                  <w:vAlign w:val="center"/>
                </w:tcPr>
                <w:p w14:paraId="5CD49744">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氮氧化物</w:t>
                  </w:r>
                </w:p>
              </w:tc>
              <w:tc>
                <w:tcPr>
                  <w:tcW w:w="1662" w:type="dxa"/>
                  <w:tcBorders>
                    <w:top w:val="single" w:color="auto" w:sz="4" w:space="0"/>
                    <w:left w:val="nil"/>
                    <w:bottom w:val="single" w:color="auto" w:sz="4" w:space="0"/>
                    <w:right w:val="single" w:color="auto" w:sz="4" w:space="0"/>
                  </w:tcBorders>
                  <w:noWrap w:val="0"/>
                  <w:vAlign w:val="center"/>
                </w:tcPr>
                <w:p w14:paraId="328263D7">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年平均</w:t>
                  </w:r>
                </w:p>
              </w:tc>
              <w:tc>
                <w:tcPr>
                  <w:tcW w:w="1662" w:type="dxa"/>
                  <w:tcBorders>
                    <w:top w:val="single" w:color="auto" w:sz="4" w:space="0"/>
                    <w:left w:val="nil"/>
                    <w:bottom w:val="single" w:color="auto" w:sz="4" w:space="0"/>
                    <w:right w:val="single" w:color="auto" w:sz="4" w:space="0"/>
                  </w:tcBorders>
                  <w:noWrap w:val="0"/>
                  <w:vAlign w:val="center"/>
                </w:tcPr>
                <w:p w14:paraId="6A7024F0">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50</w:t>
                  </w:r>
                </w:p>
              </w:tc>
              <w:tc>
                <w:tcPr>
                  <w:tcW w:w="2423" w:type="dxa"/>
                  <w:vMerge w:val="continue"/>
                  <w:tcBorders>
                    <w:top w:val="nil"/>
                    <w:left w:val="nil"/>
                    <w:bottom w:val="single" w:color="auto" w:sz="4" w:space="0"/>
                    <w:right w:val="single" w:color="auto" w:sz="4" w:space="0"/>
                  </w:tcBorders>
                  <w:noWrap w:val="0"/>
                  <w:vAlign w:val="center"/>
                </w:tcPr>
                <w:p w14:paraId="5FCACDFA">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r>
            <w:tr w14:paraId="6D46D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352" w:type="dxa"/>
                  <w:vMerge w:val="continue"/>
                  <w:tcBorders>
                    <w:top w:val="nil"/>
                    <w:left w:val="single" w:color="auto" w:sz="4" w:space="0"/>
                    <w:bottom w:val="single" w:color="auto" w:sz="4" w:space="0"/>
                    <w:right w:val="single" w:color="auto" w:sz="4" w:space="0"/>
                  </w:tcBorders>
                  <w:noWrap w:val="0"/>
                  <w:vAlign w:val="center"/>
                </w:tcPr>
                <w:p w14:paraId="0889734C">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c>
                <w:tcPr>
                  <w:tcW w:w="1662" w:type="dxa"/>
                  <w:tcBorders>
                    <w:top w:val="single" w:color="auto" w:sz="4" w:space="0"/>
                    <w:left w:val="nil"/>
                    <w:bottom w:val="single" w:color="auto" w:sz="4" w:space="0"/>
                    <w:right w:val="single" w:color="auto" w:sz="4" w:space="0"/>
                  </w:tcBorders>
                  <w:noWrap w:val="0"/>
                  <w:vAlign w:val="center"/>
                </w:tcPr>
                <w:p w14:paraId="010F5BA3">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24小时平均</w:t>
                  </w:r>
                </w:p>
              </w:tc>
              <w:tc>
                <w:tcPr>
                  <w:tcW w:w="1662" w:type="dxa"/>
                  <w:tcBorders>
                    <w:top w:val="single" w:color="auto" w:sz="4" w:space="0"/>
                    <w:left w:val="nil"/>
                    <w:bottom w:val="single" w:color="auto" w:sz="4" w:space="0"/>
                    <w:right w:val="single" w:color="auto" w:sz="4" w:space="0"/>
                  </w:tcBorders>
                  <w:noWrap w:val="0"/>
                  <w:vAlign w:val="center"/>
                </w:tcPr>
                <w:p w14:paraId="5B586234">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100</w:t>
                  </w:r>
                </w:p>
              </w:tc>
              <w:tc>
                <w:tcPr>
                  <w:tcW w:w="2423" w:type="dxa"/>
                  <w:vMerge w:val="continue"/>
                  <w:tcBorders>
                    <w:top w:val="nil"/>
                    <w:left w:val="nil"/>
                    <w:bottom w:val="single" w:color="auto" w:sz="4" w:space="0"/>
                    <w:right w:val="single" w:color="auto" w:sz="4" w:space="0"/>
                  </w:tcBorders>
                  <w:noWrap w:val="0"/>
                  <w:vAlign w:val="center"/>
                </w:tcPr>
                <w:p w14:paraId="03A11A33">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r>
            <w:tr w14:paraId="6893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2352" w:type="dxa"/>
                  <w:vMerge w:val="continue"/>
                  <w:tcBorders>
                    <w:top w:val="nil"/>
                    <w:left w:val="single" w:color="auto" w:sz="4" w:space="0"/>
                    <w:bottom w:val="single" w:color="auto" w:sz="4" w:space="0"/>
                    <w:right w:val="single" w:color="auto" w:sz="4" w:space="0"/>
                  </w:tcBorders>
                  <w:noWrap w:val="0"/>
                  <w:vAlign w:val="center"/>
                </w:tcPr>
                <w:p w14:paraId="7C74A18E">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c>
                <w:tcPr>
                  <w:tcW w:w="1662" w:type="dxa"/>
                  <w:tcBorders>
                    <w:top w:val="single" w:color="auto" w:sz="4" w:space="0"/>
                    <w:left w:val="nil"/>
                    <w:bottom w:val="single" w:color="auto" w:sz="4" w:space="0"/>
                    <w:right w:val="single" w:color="auto" w:sz="4" w:space="0"/>
                  </w:tcBorders>
                  <w:noWrap w:val="0"/>
                  <w:vAlign w:val="center"/>
                </w:tcPr>
                <w:p w14:paraId="3D91BD3E">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1小时平均</w:t>
                  </w:r>
                </w:p>
              </w:tc>
              <w:tc>
                <w:tcPr>
                  <w:tcW w:w="1662" w:type="dxa"/>
                  <w:tcBorders>
                    <w:top w:val="single" w:color="auto" w:sz="4" w:space="0"/>
                    <w:left w:val="nil"/>
                    <w:bottom w:val="single" w:color="auto" w:sz="4" w:space="0"/>
                    <w:right w:val="single" w:color="auto" w:sz="4" w:space="0"/>
                  </w:tcBorders>
                  <w:noWrap w:val="0"/>
                  <w:vAlign w:val="center"/>
                </w:tcPr>
                <w:p w14:paraId="36FCD6C5">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250</w:t>
                  </w:r>
                </w:p>
              </w:tc>
              <w:tc>
                <w:tcPr>
                  <w:tcW w:w="2423" w:type="dxa"/>
                  <w:vMerge w:val="continue"/>
                  <w:tcBorders>
                    <w:top w:val="nil"/>
                    <w:left w:val="nil"/>
                    <w:bottom w:val="single" w:color="auto" w:sz="4" w:space="0"/>
                    <w:right w:val="single" w:color="auto" w:sz="4" w:space="0"/>
                  </w:tcBorders>
                  <w:noWrap w:val="0"/>
                  <w:vAlign w:val="center"/>
                </w:tcPr>
                <w:p w14:paraId="5D455C48">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r>
          </w:tbl>
          <w:p w14:paraId="1BBBCF61">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地表水</w:t>
            </w:r>
          </w:p>
          <w:p w14:paraId="3720986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val="en-US" w:eastAsia="zh-CN"/>
              </w:rPr>
              <w:t>所涉及的最近的地表水为</w:t>
            </w:r>
            <w:r>
              <w:rPr>
                <w:rFonts w:hint="eastAsia" w:ascii="Times New Roman" w:hAnsi="Times New Roman" w:cs="Times New Roman"/>
                <w:color w:val="auto"/>
                <w:sz w:val="24"/>
                <w:szCs w:val="24"/>
                <w:lang w:val="en-US" w:eastAsia="zh-CN"/>
              </w:rPr>
              <w:t>大岗河，</w:t>
            </w:r>
            <w:r>
              <w:rPr>
                <w:rFonts w:hint="eastAsia" w:ascii="Times New Roman" w:hAnsi="Times New Roman" w:cs="Times New Roman"/>
                <w:color w:val="auto"/>
                <w:sz w:val="24"/>
                <w:szCs w:val="24"/>
              </w:rPr>
              <w:t>大岗河为邦滇河一级支流，邦滇河为芒市大河过木康后的一级支流</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属于芒市大河水系</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rPr>
              <w:t>根据</w:t>
            </w:r>
            <w:r>
              <w:rPr>
                <w:rFonts w:hint="default" w:ascii="Times New Roman" w:hAnsi="Times New Roman" w:cs="Times New Roman"/>
                <w:color w:val="auto"/>
                <w:sz w:val="24"/>
                <w:szCs w:val="24"/>
                <w:lang w:val="en-GB" w:eastAsia="zh-CN"/>
              </w:rPr>
              <w:t>《德宏州人民政府关于水功能区划复核和调整报告》（德政复</w:t>
            </w:r>
            <w:r>
              <w:rPr>
                <w:rFonts w:hint="eastAsia" w:ascii="Times New Roman" w:hAnsi="Times New Roman" w:cs="Times New Roman"/>
                <w:color w:val="auto"/>
                <w:sz w:val="24"/>
                <w:szCs w:val="24"/>
                <w:lang w:val="en-GB" w:eastAsia="zh-CN"/>
              </w:rPr>
              <w:t>〔</w:t>
            </w:r>
            <w:r>
              <w:rPr>
                <w:rFonts w:hint="default" w:ascii="Times New Roman" w:hAnsi="Times New Roman" w:cs="Times New Roman"/>
                <w:color w:val="auto"/>
                <w:sz w:val="24"/>
                <w:szCs w:val="24"/>
                <w:lang w:val="en-GB" w:eastAsia="zh-CN"/>
              </w:rPr>
              <w:t>2014</w:t>
            </w:r>
            <w:r>
              <w:rPr>
                <w:rFonts w:hint="eastAsia" w:ascii="Times New Roman" w:hAnsi="Times New Roman" w:cs="Times New Roman"/>
                <w:color w:val="auto"/>
                <w:sz w:val="24"/>
                <w:szCs w:val="24"/>
                <w:lang w:val="en-GB" w:eastAsia="zh-CN"/>
              </w:rPr>
              <w:t>〕</w:t>
            </w:r>
            <w:r>
              <w:rPr>
                <w:rFonts w:hint="default" w:ascii="Times New Roman" w:hAnsi="Times New Roman" w:cs="Times New Roman"/>
                <w:color w:val="auto"/>
                <w:sz w:val="24"/>
                <w:szCs w:val="24"/>
                <w:lang w:val="en-GB" w:eastAsia="zh-CN"/>
              </w:rPr>
              <w:t>257号）区划水质标准</w:t>
            </w:r>
            <w:r>
              <w:rPr>
                <w:rFonts w:hint="eastAsia"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芒市大河</w:t>
            </w:r>
            <w:r>
              <w:rPr>
                <w:rFonts w:hint="eastAsia" w:ascii="Times New Roman" w:hAnsi="Times New Roman" w:cs="Times New Roman"/>
                <w:color w:val="auto"/>
                <w:sz w:val="24"/>
                <w:szCs w:val="24"/>
              </w:rPr>
              <w:t>水功能区划为</w:t>
            </w:r>
            <w:r>
              <w:rPr>
                <w:rFonts w:hint="default" w:ascii="Times New Roman" w:hAnsi="Times New Roman" w:cs="Times New Roman"/>
                <w:color w:val="auto"/>
                <w:sz w:val="24"/>
                <w:szCs w:val="24"/>
              </w:rPr>
              <w:t>Ⅲ</w:t>
            </w:r>
            <w:r>
              <w:rPr>
                <w:rFonts w:hint="eastAsia" w:ascii="Times New Roman" w:hAnsi="Times New Roman" w:cs="Times New Roman"/>
                <w:color w:val="auto"/>
                <w:sz w:val="24"/>
                <w:szCs w:val="24"/>
              </w:rPr>
              <w:t>类保护目标，水体功能为</w:t>
            </w:r>
            <w:r>
              <w:rPr>
                <w:rFonts w:hint="eastAsia" w:ascii="Times New Roman" w:hAnsi="Times New Roman" w:cs="Times New Roman"/>
                <w:color w:val="auto"/>
                <w:sz w:val="24"/>
                <w:szCs w:val="24"/>
                <w:lang w:val="en-US" w:eastAsia="zh-CN"/>
              </w:rPr>
              <w:t>农业及景观用水</w:t>
            </w:r>
            <w:r>
              <w:rPr>
                <w:rFonts w:hint="eastAsia" w:ascii="Times New Roman" w:hAnsi="Times New Roman" w:cs="Times New Roman"/>
                <w:color w:val="auto"/>
                <w:sz w:val="24"/>
                <w:szCs w:val="24"/>
              </w:rPr>
              <w:t>，水质执行</w:t>
            </w:r>
            <w:r>
              <w:rPr>
                <w:rFonts w:hint="default" w:ascii="Times New Roman" w:hAnsi="Times New Roman" w:cs="Times New Roman"/>
                <w:color w:val="auto"/>
                <w:sz w:val="24"/>
                <w:szCs w:val="24"/>
                <w:lang w:val="en-GB" w:eastAsia="zh-CN"/>
              </w:rPr>
              <w:t>《地表水环境质量标准》</w:t>
            </w:r>
            <w:r>
              <w:rPr>
                <w:rFonts w:hint="eastAsia" w:ascii="Times New Roman" w:hAnsi="Times New Roman" w:cs="Times New Roman"/>
                <w:color w:val="auto"/>
                <w:sz w:val="24"/>
                <w:szCs w:val="24"/>
                <w:lang w:val="en-GB" w:eastAsia="zh-CN"/>
              </w:rPr>
              <w:t>（</w:t>
            </w:r>
            <w:r>
              <w:rPr>
                <w:rFonts w:hint="default" w:ascii="Times New Roman" w:hAnsi="Times New Roman" w:cs="Times New Roman"/>
                <w:color w:val="auto"/>
                <w:sz w:val="24"/>
                <w:szCs w:val="24"/>
                <w:lang w:val="en-GB" w:eastAsia="zh-CN"/>
              </w:rPr>
              <w:t>GB3838-2002</w:t>
            </w:r>
            <w:r>
              <w:rPr>
                <w:rFonts w:hint="eastAsia" w:ascii="Times New Roman" w:hAnsi="Times New Roman" w:cs="Times New Roman"/>
                <w:color w:val="auto"/>
                <w:sz w:val="24"/>
                <w:szCs w:val="24"/>
                <w:lang w:val="en-GB" w:eastAsia="zh-CN"/>
              </w:rPr>
              <w:t>）</w:t>
            </w:r>
            <w:r>
              <w:rPr>
                <w:rFonts w:hint="default" w:ascii="Times New Roman" w:hAnsi="Times New Roman" w:cs="Times New Roman"/>
                <w:color w:val="auto"/>
                <w:sz w:val="24"/>
                <w:szCs w:val="24"/>
                <w:lang w:val="en-GB" w:eastAsia="zh-CN"/>
              </w:rPr>
              <w:t>中的Ⅲ类标准</w:t>
            </w:r>
            <w:r>
              <w:rPr>
                <w:rFonts w:hint="eastAsia" w:ascii="Times New Roman" w:hAnsi="Times New Roman" w:cs="Times New Roman"/>
                <w:color w:val="auto"/>
                <w:sz w:val="24"/>
                <w:szCs w:val="24"/>
              </w:rPr>
              <w:t>。</w:t>
            </w:r>
            <w:r>
              <w:rPr>
                <w:rFonts w:hint="default" w:ascii="Times New Roman" w:hAnsi="Times New Roman" w:cs="Times New Roman"/>
                <w:color w:val="auto"/>
                <w:sz w:val="24"/>
                <w:szCs w:val="24"/>
              </w:rPr>
              <w:t>标准值见表3-</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w:t>
            </w:r>
          </w:p>
          <w:p w14:paraId="40C8FFCD">
            <w:pPr>
              <w:keepNext w:val="0"/>
              <w:keepLines w:val="0"/>
              <w:suppressLineNumbers w:val="0"/>
              <w:autoSpaceDE w:val="0"/>
              <w:spacing w:before="0" w:beforeAutospacing="0" w:after="0" w:afterAutospacing="0"/>
              <w:ind w:left="0" w:right="0" w:firstLine="482" w:firstLineChars="20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表3-</w:t>
            </w:r>
            <w:r>
              <w:rPr>
                <w:rFonts w:hint="eastAsia" w:ascii="Times New Roman" w:hAnsi="Times New Roman" w:cs="Times New Roman"/>
                <w:b/>
                <w:bCs/>
                <w:color w:val="auto"/>
                <w:sz w:val="24"/>
                <w:szCs w:val="24"/>
                <w:lang w:val="en-US" w:eastAsia="zh-CN"/>
              </w:rPr>
              <w:t>8</w:t>
            </w:r>
            <w:r>
              <w:rPr>
                <w:rFonts w:hint="default" w:ascii="Times New Roman" w:hAnsi="Times New Roman" w:cs="Times New Roman"/>
                <w:b/>
                <w:bCs/>
                <w:color w:val="auto"/>
                <w:sz w:val="24"/>
                <w:szCs w:val="24"/>
              </w:rPr>
              <w:t xml:space="preserve"> 地表水环境质量Ⅲ类标准限值  单位：mg/L</w:t>
            </w:r>
          </w:p>
          <w:tbl>
            <w:tblPr>
              <w:tblStyle w:val="31"/>
              <w:tblW w:w="8198" w:type="dxa"/>
              <w:jc w:val="center"/>
              <w:tblLayout w:type="fixed"/>
              <w:tblCellMar>
                <w:top w:w="0" w:type="dxa"/>
                <w:left w:w="10" w:type="dxa"/>
                <w:bottom w:w="0" w:type="dxa"/>
                <w:right w:w="10" w:type="dxa"/>
              </w:tblCellMar>
            </w:tblPr>
            <w:tblGrid>
              <w:gridCol w:w="2049"/>
              <w:gridCol w:w="2049"/>
              <w:gridCol w:w="2050"/>
              <w:gridCol w:w="2050"/>
            </w:tblGrid>
            <w:tr w14:paraId="511E514B">
              <w:tblPrEx>
                <w:tblCellMar>
                  <w:top w:w="0" w:type="dxa"/>
                  <w:left w:w="10" w:type="dxa"/>
                  <w:bottom w:w="0" w:type="dxa"/>
                  <w:right w:w="10" w:type="dxa"/>
                </w:tblCellMar>
              </w:tblPrEx>
              <w:trPr>
                <w:trHeight w:val="471" w:hRule="atLeast"/>
                <w:jc w:val="center"/>
              </w:trPr>
              <w:tc>
                <w:tcPr>
                  <w:tcW w:w="204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8A310C4">
                  <w:pPr>
                    <w:keepNext w:val="0"/>
                    <w:keepLines w:val="0"/>
                    <w:suppressLineNumbers w:val="0"/>
                    <w:tabs>
                      <w:tab w:val="left" w:pos="5205"/>
                    </w:tabs>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项目</w:t>
                  </w:r>
                </w:p>
              </w:tc>
              <w:tc>
                <w:tcPr>
                  <w:tcW w:w="204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48563B6">
                  <w:pPr>
                    <w:keepNext w:val="0"/>
                    <w:keepLines w:val="0"/>
                    <w:suppressLineNumbers w:val="0"/>
                    <w:tabs>
                      <w:tab w:val="left" w:pos="5205"/>
                    </w:tabs>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标准值</w:t>
                  </w:r>
                </w:p>
              </w:tc>
              <w:tc>
                <w:tcPr>
                  <w:tcW w:w="20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5860426">
                  <w:pPr>
                    <w:keepNext w:val="0"/>
                    <w:keepLines w:val="0"/>
                    <w:suppressLineNumbers w:val="0"/>
                    <w:tabs>
                      <w:tab w:val="left" w:pos="5205"/>
                    </w:tabs>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项目</w:t>
                  </w:r>
                </w:p>
              </w:tc>
              <w:tc>
                <w:tcPr>
                  <w:tcW w:w="20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89F7353">
                  <w:pPr>
                    <w:keepNext w:val="0"/>
                    <w:keepLines w:val="0"/>
                    <w:suppressLineNumbers w:val="0"/>
                    <w:tabs>
                      <w:tab w:val="left" w:pos="5205"/>
                    </w:tabs>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标准值</w:t>
                  </w:r>
                </w:p>
              </w:tc>
            </w:tr>
            <w:tr w14:paraId="1C788D2C">
              <w:tblPrEx>
                <w:tblCellMar>
                  <w:top w:w="0" w:type="dxa"/>
                  <w:left w:w="10" w:type="dxa"/>
                  <w:bottom w:w="0" w:type="dxa"/>
                  <w:right w:w="10" w:type="dxa"/>
                </w:tblCellMar>
              </w:tblPrEx>
              <w:trPr>
                <w:trHeight w:val="471" w:hRule="atLeast"/>
                <w:jc w:val="center"/>
              </w:trPr>
              <w:tc>
                <w:tcPr>
                  <w:tcW w:w="204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21C4609">
                  <w:pPr>
                    <w:keepNext w:val="0"/>
                    <w:keepLines w:val="0"/>
                    <w:suppressLineNumbers w:val="0"/>
                    <w:tabs>
                      <w:tab w:val="left" w:pos="5205"/>
                    </w:tabs>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pH</w:t>
                  </w:r>
                </w:p>
              </w:tc>
              <w:tc>
                <w:tcPr>
                  <w:tcW w:w="204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624477">
                  <w:pPr>
                    <w:keepNext w:val="0"/>
                    <w:keepLines w:val="0"/>
                    <w:suppressLineNumbers w:val="0"/>
                    <w:tabs>
                      <w:tab w:val="left" w:pos="5205"/>
                    </w:tabs>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6~9</w:t>
                  </w:r>
                </w:p>
              </w:tc>
              <w:tc>
                <w:tcPr>
                  <w:tcW w:w="20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928A84E">
                  <w:pPr>
                    <w:keepNext w:val="0"/>
                    <w:keepLines w:val="0"/>
                    <w:suppressLineNumbers w:val="0"/>
                    <w:tabs>
                      <w:tab w:val="left" w:pos="5205"/>
                    </w:tabs>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氟化物</w:t>
                  </w:r>
                </w:p>
              </w:tc>
              <w:tc>
                <w:tcPr>
                  <w:tcW w:w="20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295DCE">
                  <w:pPr>
                    <w:keepNext w:val="0"/>
                    <w:keepLines w:val="0"/>
                    <w:suppressLineNumbers w:val="0"/>
                    <w:tabs>
                      <w:tab w:val="left" w:pos="5205"/>
                    </w:tabs>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≤1.0</w:t>
                  </w:r>
                </w:p>
              </w:tc>
            </w:tr>
            <w:tr w14:paraId="3B06EA94">
              <w:tblPrEx>
                <w:tblCellMar>
                  <w:top w:w="0" w:type="dxa"/>
                  <w:left w:w="10" w:type="dxa"/>
                  <w:bottom w:w="0" w:type="dxa"/>
                  <w:right w:w="10" w:type="dxa"/>
                </w:tblCellMar>
              </w:tblPrEx>
              <w:trPr>
                <w:trHeight w:val="471" w:hRule="atLeast"/>
                <w:jc w:val="center"/>
              </w:trPr>
              <w:tc>
                <w:tcPr>
                  <w:tcW w:w="204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9D161CA">
                  <w:pPr>
                    <w:keepNext w:val="0"/>
                    <w:keepLines w:val="0"/>
                    <w:suppressLineNumbers w:val="0"/>
                    <w:tabs>
                      <w:tab w:val="left" w:pos="5205"/>
                    </w:tabs>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COD</w:t>
                  </w:r>
                </w:p>
              </w:tc>
              <w:tc>
                <w:tcPr>
                  <w:tcW w:w="204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170FAB">
                  <w:pPr>
                    <w:keepNext w:val="0"/>
                    <w:keepLines w:val="0"/>
                    <w:suppressLineNumbers w:val="0"/>
                    <w:tabs>
                      <w:tab w:val="left" w:pos="5205"/>
                    </w:tabs>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≤20</w:t>
                  </w:r>
                </w:p>
              </w:tc>
              <w:tc>
                <w:tcPr>
                  <w:tcW w:w="20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B97A811">
                  <w:pPr>
                    <w:keepNext w:val="0"/>
                    <w:keepLines w:val="0"/>
                    <w:suppressLineNumbers w:val="0"/>
                    <w:tabs>
                      <w:tab w:val="left" w:pos="5205"/>
                    </w:tabs>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总砷</w:t>
                  </w:r>
                </w:p>
              </w:tc>
              <w:tc>
                <w:tcPr>
                  <w:tcW w:w="20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D1BF175">
                  <w:pPr>
                    <w:keepNext w:val="0"/>
                    <w:keepLines w:val="0"/>
                    <w:suppressLineNumbers w:val="0"/>
                    <w:tabs>
                      <w:tab w:val="left" w:pos="5205"/>
                    </w:tabs>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≤0.05</w:t>
                  </w:r>
                </w:p>
              </w:tc>
            </w:tr>
            <w:tr w14:paraId="524BD120">
              <w:tblPrEx>
                <w:tblCellMar>
                  <w:top w:w="0" w:type="dxa"/>
                  <w:left w:w="10" w:type="dxa"/>
                  <w:bottom w:w="0" w:type="dxa"/>
                  <w:right w:w="10" w:type="dxa"/>
                </w:tblCellMar>
              </w:tblPrEx>
              <w:trPr>
                <w:trHeight w:val="471" w:hRule="atLeast"/>
                <w:jc w:val="center"/>
              </w:trPr>
              <w:tc>
                <w:tcPr>
                  <w:tcW w:w="204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32A298">
                  <w:pPr>
                    <w:keepNext w:val="0"/>
                    <w:keepLines w:val="0"/>
                    <w:suppressLineNumbers w:val="0"/>
                    <w:tabs>
                      <w:tab w:val="left" w:pos="5205"/>
                    </w:tabs>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BOD5</w:t>
                  </w:r>
                </w:p>
              </w:tc>
              <w:tc>
                <w:tcPr>
                  <w:tcW w:w="204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251E60">
                  <w:pPr>
                    <w:keepNext w:val="0"/>
                    <w:keepLines w:val="0"/>
                    <w:suppressLineNumbers w:val="0"/>
                    <w:tabs>
                      <w:tab w:val="left" w:pos="5205"/>
                    </w:tabs>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≤4</w:t>
                  </w:r>
                </w:p>
              </w:tc>
              <w:tc>
                <w:tcPr>
                  <w:tcW w:w="20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1E369B2">
                  <w:pPr>
                    <w:keepNext w:val="0"/>
                    <w:keepLines w:val="0"/>
                    <w:suppressLineNumbers w:val="0"/>
                    <w:tabs>
                      <w:tab w:val="left" w:pos="5205"/>
                    </w:tabs>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总汞</w:t>
                  </w:r>
                </w:p>
              </w:tc>
              <w:tc>
                <w:tcPr>
                  <w:tcW w:w="20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B65A422">
                  <w:pPr>
                    <w:keepNext w:val="0"/>
                    <w:keepLines w:val="0"/>
                    <w:suppressLineNumbers w:val="0"/>
                    <w:tabs>
                      <w:tab w:val="left" w:pos="5205"/>
                    </w:tabs>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≤0.0001</w:t>
                  </w:r>
                </w:p>
              </w:tc>
            </w:tr>
            <w:tr w14:paraId="4C73572E">
              <w:tblPrEx>
                <w:tblCellMar>
                  <w:top w:w="0" w:type="dxa"/>
                  <w:left w:w="10" w:type="dxa"/>
                  <w:bottom w:w="0" w:type="dxa"/>
                  <w:right w:w="10" w:type="dxa"/>
                </w:tblCellMar>
              </w:tblPrEx>
              <w:trPr>
                <w:trHeight w:val="471" w:hRule="atLeast"/>
                <w:jc w:val="center"/>
              </w:trPr>
              <w:tc>
                <w:tcPr>
                  <w:tcW w:w="204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09A788F">
                  <w:pPr>
                    <w:keepNext w:val="0"/>
                    <w:keepLines w:val="0"/>
                    <w:suppressLineNumbers w:val="0"/>
                    <w:tabs>
                      <w:tab w:val="left" w:pos="5205"/>
                    </w:tabs>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石油类</w:t>
                  </w:r>
                </w:p>
              </w:tc>
              <w:tc>
                <w:tcPr>
                  <w:tcW w:w="204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646D06A">
                  <w:pPr>
                    <w:keepNext w:val="0"/>
                    <w:keepLines w:val="0"/>
                    <w:suppressLineNumbers w:val="0"/>
                    <w:tabs>
                      <w:tab w:val="left" w:pos="5205"/>
                    </w:tabs>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≤0.05</w:t>
                  </w:r>
                </w:p>
              </w:tc>
              <w:tc>
                <w:tcPr>
                  <w:tcW w:w="20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BF61328">
                  <w:pPr>
                    <w:keepNext w:val="0"/>
                    <w:keepLines w:val="0"/>
                    <w:suppressLineNumbers w:val="0"/>
                    <w:tabs>
                      <w:tab w:val="left" w:pos="5205"/>
                    </w:tabs>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总铜</w:t>
                  </w:r>
                </w:p>
              </w:tc>
              <w:tc>
                <w:tcPr>
                  <w:tcW w:w="20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12ADD78">
                  <w:pPr>
                    <w:keepNext w:val="0"/>
                    <w:keepLines w:val="0"/>
                    <w:suppressLineNumbers w:val="0"/>
                    <w:tabs>
                      <w:tab w:val="left" w:pos="5205"/>
                    </w:tabs>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≤1.0</w:t>
                  </w:r>
                </w:p>
              </w:tc>
            </w:tr>
            <w:tr w14:paraId="050C4CF4">
              <w:tblPrEx>
                <w:tblCellMar>
                  <w:top w:w="0" w:type="dxa"/>
                  <w:left w:w="10" w:type="dxa"/>
                  <w:bottom w:w="0" w:type="dxa"/>
                  <w:right w:w="10" w:type="dxa"/>
                </w:tblCellMar>
              </w:tblPrEx>
              <w:trPr>
                <w:trHeight w:val="471" w:hRule="atLeast"/>
                <w:jc w:val="center"/>
              </w:trPr>
              <w:tc>
                <w:tcPr>
                  <w:tcW w:w="204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24B68CE">
                  <w:pPr>
                    <w:keepNext w:val="0"/>
                    <w:keepLines w:val="0"/>
                    <w:suppressLineNumbers w:val="0"/>
                    <w:tabs>
                      <w:tab w:val="left" w:pos="5205"/>
                    </w:tabs>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氨氮</w:t>
                  </w:r>
                </w:p>
              </w:tc>
              <w:tc>
                <w:tcPr>
                  <w:tcW w:w="204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FD4E40">
                  <w:pPr>
                    <w:keepNext w:val="0"/>
                    <w:keepLines w:val="0"/>
                    <w:suppressLineNumbers w:val="0"/>
                    <w:tabs>
                      <w:tab w:val="left" w:pos="5205"/>
                    </w:tabs>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≤1.0</w:t>
                  </w:r>
                </w:p>
              </w:tc>
              <w:tc>
                <w:tcPr>
                  <w:tcW w:w="20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C3E8FD4">
                  <w:pPr>
                    <w:keepNext w:val="0"/>
                    <w:keepLines w:val="0"/>
                    <w:suppressLineNumbers w:val="0"/>
                    <w:tabs>
                      <w:tab w:val="left" w:pos="5205"/>
                    </w:tabs>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总锌</w:t>
                  </w:r>
                </w:p>
              </w:tc>
              <w:tc>
                <w:tcPr>
                  <w:tcW w:w="20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54928F1">
                  <w:pPr>
                    <w:keepNext w:val="0"/>
                    <w:keepLines w:val="0"/>
                    <w:suppressLineNumbers w:val="0"/>
                    <w:tabs>
                      <w:tab w:val="left" w:pos="5205"/>
                    </w:tabs>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≤1.0</w:t>
                  </w:r>
                </w:p>
              </w:tc>
            </w:tr>
            <w:tr w14:paraId="6E34A4F0">
              <w:tblPrEx>
                <w:tblCellMar>
                  <w:top w:w="0" w:type="dxa"/>
                  <w:left w:w="10" w:type="dxa"/>
                  <w:bottom w:w="0" w:type="dxa"/>
                  <w:right w:w="10" w:type="dxa"/>
                </w:tblCellMar>
              </w:tblPrEx>
              <w:trPr>
                <w:trHeight w:val="471" w:hRule="atLeast"/>
                <w:jc w:val="center"/>
              </w:trPr>
              <w:tc>
                <w:tcPr>
                  <w:tcW w:w="204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F539C3B">
                  <w:pPr>
                    <w:keepNext w:val="0"/>
                    <w:keepLines w:val="0"/>
                    <w:suppressLineNumbers w:val="0"/>
                    <w:tabs>
                      <w:tab w:val="left" w:pos="5205"/>
                    </w:tabs>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硫化物</w:t>
                  </w:r>
                </w:p>
              </w:tc>
              <w:tc>
                <w:tcPr>
                  <w:tcW w:w="204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64BAF5">
                  <w:pPr>
                    <w:keepNext w:val="0"/>
                    <w:keepLines w:val="0"/>
                    <w:suppressLineNumbers w:val="0"/>
                    <w:tabs>
                      <w:tab w:val="left" w:pos="5205"/>
                    </w:tabs>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≤0.2</w:t>
                  </w:r>
                </w:p>
              </w:tc>
              <w:tc>
                <w:tcPr>
                  <w:tcW w:w="20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176C267">
                  <w:pPr>
                    <w:keepNext w:val="0"/>
                    <w:keepLines w:val="0"/>
                    <w:suppressLineNumbers w:val="0"/>
                    <w:tabs>
                      <w:tab w:val="left" w:pos="5205"/>
                    </w:tabs>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总铅</w:t>
                  </w:r>
                </w:p>
              </w:tc>
              <w:tc>
                <w:tcPr>
                  <w:tcW w:w="20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B746A93">
                  <w:pPr>
                    <w:keepNext w:val="0"/>
                    <w:keepLines w:val="0"/>
                    <w:suppressLineNumbers w:val="0"/>
                    <w:tabs>
                      <w:tab w:val="left" w:pos="5205"/>
                    </w:tabs>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≤0.05</w:t>
                  </w:r>
                </w:p>
              </w:tc>
            </w:tr>
            <w:tr w14:paraId="49FE3EC3">
              <w:tblPrEx>
                <w:tblCellMar>
                  <w:top w:w="0" w:type="dxa"/>
                  <w:left w:w="10" w:type="dxa"/>
                  <w:bottom w:w="0" w:type="dxa"/>
                  <w:right w:w="10" w:type="dxa"/>
                </w:tblCellMar>
              </w:tblPrEx>
              <w:trPr>
                <w:trHeight w:val="480" w:hRule="atLeast"/>
                <w:jc w:val="center"/>
              </w:trPr>
              <w:tc>
                <w:tcPr>
                  <w:tcW w:w="204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3423DBF">
                  <w:pPr>
                    <w:keepNext w:val="0"/>
                    <w:keepLines w:val="0"/>
                    <w:suppressLineNumbers w:val="0"/>
                    <w:tabs>
                      <w:tab w:val="left" w:pos="5205"/>
                    </w:tabs>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总镉</w:t>
                  </w:r>
                </w:p>
              </w:tc>
              <w:tc>
                <w:tcPr>
                  <w:tcW w:w="204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029293B">
                  <w:pPr>
                    <w:keepNext w:val="0"/>
                    <w:keepLines w:val="0"/>
                    <w:suppressLineNumbers w:val="0"/>
                    <w:tabs>
                      <w:tab w:val="left" w:pos="5205"/>
                    </w:tabs>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≤0.005</w:t>
                  </w:r>
                </w:p>
              </w:tc>
              <w:tc>
                <w:tcPr>
                  <w:tcW w:w="20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88F80D4">
                  <w:pPr>
                    <w:keepNext w:val="0"/>
                    <w:keepLines w:val="0"/>
                    <w:suppressLineNumbers w:val="0"/>
                    <w:tabs>
                      <w:tab w:val="left" w:pos="5205"/>
                    </w:tabs>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六价铬</w:t>
                  </w:r>
                </w:p>
              </w:tc>
              <w:tc>
                <w:tcPr>
                  <w:tcW w:w="20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3325D4D">
                  <w:pPr>
                    <w:keepNext w:val="0"/>
                    <w:keepLines w:val="0"/>
                    <w:suppressLineNumbers w:val="0"/>
                    <w:tabs>
                      <w:tab w:val="left" w:pos="5205"/>
                    </w:tabs>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≤0.05</w:t>
                  </w:r>
                </w:p>
              </w:tc>
            </w:tr>
          </w:tbl>
          <w:p w14:paraId="185B493D">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地下水</w:t>
            </w:r>
          </w:p>
          <w:p w14:paraId="1AF40452">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项目区地下水执行GB/T</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14848-2017《地下水环境质量标准》中的Ⅲ类标准，标准值列于表3</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w:t>
            </w:r>
          </w:p>
          <w:p w14:paraId="21586A54">
            <w:pPr>
              <w:keepNext w:val="0"/>
              <w:keepLines w:val="0"/>
              <w:suppressLineNumbers w:val="0"/>
              <w:autoSpaceDE w:val="0"/>
              <w:spacing w:before="0" w:beforeAutospacing="0" w:after="0" w:afterAutospacing="0"/>
              <w:ind w:left="0" w:right="0" w:firstLine="482" w:firstLineChars="20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表3-</w:t>
            </w:r>
            <w:r>
              <w:rPr>
                <w:rFonts w:hint="eastAsia" w:ascii="Times New Roman" w:hAnsi="Times New Roman" w:cs="Times New Roman"/>
                <w:b/>
                <w:bCs/>
                <w:color w:val="auto"/>
                <w:sz w:val="24"/>
                <w:szCs w:val="24"/>
                <w:lang w:val="en-US" w:eastAsia="zh-CN"/>
              </w:rPr>
              <w:t>9</w:t>
            </w:r>
            <w:r>
              <w:rPr>
                <w:rFonts w:hint="default" w:ascii="Times New Roman" w:hAnsi="Times New Roman" w:cs="Times New Roman"/>
                <w:b/>
                <w:bCs/>
                <w:color w:val="auto"/>
                <w:sz w:val="24"/>
                <w:szCs w:val="24"/>
              </w:rPr>
              <w:t xml:space="preserve"> 地下水环境质量标准（摘录）单位：mg/L，pH为无量纲</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6"/>
              <w:gridCol w:w="3712"/>
            </w:tblGrid>
            <w:tr w14:paraId="186C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755" w:type="pct"/>
                  <w:tcBorders>
                    <w:top w:val="single" w:color="auto" w:sz="4" w:space="0"/>
                    <w:left w:val="single" w:color="auto" w:sz="4" w:space="0"/>
                    <w:bottom w:val="single" w:color="auto" w:sz="4" w:space="0"/>
                    <w:right w:val="single" w:color="auto" w:sz="4" w:space="0"/>
                  </w:tcBorders>
                  <w:noWrap w:val="0"/>
                  <w:vAlign w:val="center"/>
                </w:tcPr>
                <w:p w14:paraId="64A8584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污染物</w:t>
                  </w:r>
                </w:p>
              </w:tc>
              <w:tc>
                <w:tcPr>
                  <w:tcW w:w="2244" w:type="pct"/>
                  <w:tcBorders>
                    <w:top w:val="single" w:color="auto" w:sz="4" w:space="0"/>
                    <w:left w:val="nil"/>
                    <w:bottom w:val="single" w:color="auto" w:sz="4" w:space="0"/>
                    <w:right w:val="single" w:color="auto" w:sz="4" w:space="0"/>
                  </w:tcBorders>
                  <w:noWrap w:val="0"/>
                  <w:vAlign w:val="center"/>
                </w:tcPr>
                <w:p w14:paraId="2E369B5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Ⅲ类</w:t>
                  </w:r>
                </w:p>
              </w:tc>
            </w:tr>
            <w:tr w14:paraId="3CFCF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755" w:type="pct"/>
                  <w:tcBorders>
                    <w:top w:val="single" w:color="auto" w:sz="4" w:space="0"/>
                    <w:left w:val="single" w:color="auto" w:sz="4" w:space="0"/>
                    <w:bottom w:val="single" w:color="auto" w:sz="4" w:space="0"/>
                    <w:right w:val="single" w:color="auto" w:sz="4" w:space="0"/>
                  </w:tcBorders>
                  <w:noWrap w:val="0"/>
                  <w:vAlign w:val="center"/>
                </w:tcPr>
                <w:p w14:paraId="63AA06E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色（度）</w:t>
                  </w:r>
                </w:p>
              </w:tc>
              <w:tc>
                <w:tcPr>
                  <w:tcW w:w="2244" w:type="pct"/>
                  <w:tcBorders>
                    <w:top w:val="single" w:color="auto" w:sz="4" w:space="0"/>
                    <w:left w:val="nil"/>
                    <w:bottom w:val="single" w:color="auto" w:sz="4" w:space="0"/>
                    <w:right w:val="single" w:color="auto" w:sz="4" w:space="0"/>
                  </w:tcBorders>
                  <w:noWrap w:val="0"/>
                  <w:vAlign w:val="center"/>
                </w:tcPr>
                <w:p w14:paraId="61AEBDB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≤15</w:t>
                  </w:r>
                </w:p>
              </w:tc>
            </w:tr>
            <w:tr w14:paraId="75874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5" w:type="pct"/>
                  <w:tcBorders>
                    <w:top w:val="single" w:color="auto" w:sz="4" w:space="0"/>
                    <w:left w:val="single" w:color="auto" w:sz="4" w:space="0"/>
                    <w:bottom w:val="single" w:color="auto" w:sz="4" w:space="0"/>
                    <w:right w:val="single" w:color="auto" w:sz="4" w:space="0"/>
                  </w:tcBorders>
                  <w:noWrap w:val="0"/>
                  <w:vAlign w:val="center"/>
                </w:tcPr>
                <w:p w14:paraId="209F079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pH</w:t>
                  </w:r>
                </w:p>
              </w:tc>
              <w:tc>
                <w:tcPr>
                  <w:tcW w:w="2244" w:type="pct"/>
                  <w:tcBorders>
                    <w:top w:val="single" w:color="auto" w:sz="4" w:space="0"/>
                    <w:left w:val="nil"/>
                    <w:bottom w:val="single" w:color="auto" w:sz="4" w:space="0"/>
                    <w:right w:val="single" w:color="auto" w:sz="4" w:space="0"/>
                  </w:tcBorders>
                  <w:noWrap w:val="0"/>
                  <w:vAlign w:val="center"/>
                </w:tcPr>
                <w:p w14:paraId="7FD0E17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6.5～8.5（无量纲）</w:t>
                  </w:r>
                </w:p>
              </w:tc>
            </w:tr>
            <w:tr w14:paraId="78C7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5" w:type="pct"/>
                  <w:tcBorders>
                    <w:top w:val="single" w:color="auto" w:sz="4" w:space="0"/>
                    <w:left w:val="single" w:color="auto" w:sz="4" w:space="0"/>
                    <w:bottom w:val="single" w:color="auto" w:sz="4" w:space="0"/>
                    <w:right w:val="single" w:color="auto" w:sz="4" w:space="0"/>
                  </w:tcBorders>
                  <w:noWrap w:val="0"/>
                  <w:vAlign w:val="center"/>
                </w:tcPr>
                <w:p w14:paraId="1650706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溶解性总固体</w:t>
                  </w:r>
                </w:p>
              </w:tc>
              <w:tc>
                <w:tcPr>
                  <w:tcW w:w="2244" w:type="pct"/>
                  <w:tcBorders>
                    <w:top w:val="single" w:color="auto" w:sz="4" w:space="0"/>
                    <w:left w:val="nil"/>
                    <w:bottom w:val="single" w:color="auto" w:sz="4" w:space="0"/>
                    <w:right w:val="single" w:color="auto" w:sz="4" w:space="0"/>
                  </w:tcBorders>
                  <w:noWrap w:val="0"/>
                  <w:vAlign w:val="center"/>
                </w:tcPr>
                <w:p w14:paraId="3B191EB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≤1000</w:t>
                  </w:r>
                </w:p>
              </w:tc>
            </w:tr>
            <w:tr w14:paraId="7C10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5" w:type="pct"/>
                  <w:tcBorders>
                    <w:top w:val="single" w:color="auto" w:sz="4" w:space="0"/>
                    <w:left w:val="single" w:color="auto" w:sz="4" w:space="0"/>
                    <w:bottom w:val="single" w:color="auto" w:sz="4" w:space="0"/>
                    <w:right w:val="single" w:color="auto" w:sz="4" w:space="0"/>
                  </w:tcBorders>
                  <w:noWrap w:val="0"/>
                  <w:vAlign w:val="center"/>
                </w:tcPr>
                <w:p w14:paraId="6FD5D0D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氨氮</w:t>
                  </w:r>
                </w:p>
              </w:tc>
              <w:tc>
                <w:tcPr>
                  <w:tcW w:w="2244" w:type="pct"/>
                  <w:tcBorders>
                    <w:top w:val="single" w:color="auto" w:sz="4" w:space="0"/>
                    <w:left w:val="nil"/>
                    <w:bottom w:val="single" w:color="auto" w:sz="4" w:space="0"/>
                    <w:right w:val="single" w:color="auto" w:sz="4" w:space="0"/>
                  </w:tcBorders>
                  <w:noWrap w:val="0"/>
                  <w:vAlign w:val="center"/>
                </w:tcPr>
                <w:p w14:paraId="460181E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≤0.50</w:t>
                  </w:r>
                </w:p>
              </w:tc>
            </w:tr>
            <w:tr w14:paraId="5BD11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5" w:type="pct"/>
                  <w:tcBorders>
                    <w:top w:val="single" w:color="auto" w:sz="4" w:space="0"/>
                    <w:left w:val="single" w:color="auto" w:sz="4" w:space="0"/>
                    <w:bottom w:val="single" w:color="auto" w:sz="4" w:space="0"/>
                    <w:right w:val="single" w:color="auto" w:sz="4" w:space="0"/>
                  </w:tcBorders>
                  <w:noWrap w:val="0"/>
                  <w:vAlign w:val="center"/>
                </w:tcPr>
                <w:p w14:paraId="1C8A9CC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硫酸盐</w:t>
                  </w:r>
                </w:p>
              </w:tc>
              <w:tc>
                <w:tcPr>
                  <w:tcW w:w="2244" w:type="pct"/>
                  <w:tcBorders>
                    <w:top w:val="single" w:color="auto" w:sz="4" w:space="0"/>
                    <w:left w:val="nil"/>
                    <w:bottom w:val="single" w:color="auto" w:sz="4" w:space="0"/>
                    <w:right w:val="single" w:color="auto" w:sz="4" w:space="0"/>
                  </w:tcBorders>
                  <w:noWrap w:val="0"/>
                  <w:vAlign w:val="center"/>
                </w:tcPr>
                <w:p w14:paraId="79B80AE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≤250</w:t>
                  </w:r>
                </w:p>
              </w:tc>
            </w:tr>
            <w:tr w14:paraId="160AA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5" w:type="pct"/>
                  <w:tcBorders>
                    <w:top w:val="single" w:color="auto" w:sz="4" w:space="0"/>
                    <w:left w:val="single" w:color="auto" w:sz="4" w:space="0"/>
                    <w:bottom w:val="single" w:color="auto" w:sz="4" w:space="0"/>
                    <w:right w:val="single" w:color="auto" w:sz="4" w:space="0"/>
                  </w:tcBorders>
                  <w:noWrap w:val="0"/>
                  <w:vAlign w:val="center"/>
                </w:tcPr>
                <w:p w14:paraId="790A386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硝酸盐</w:t>
                  </w:r>
                </w:p>
              </w:tc>
              <w:tc>
                <w:tcPr>
                  <w:tcW w:w="2244" w:type="pct"/>
                  <w:tcBorders>
                    <w:top w:val="single" w:color="auto" w:sz="4" w:space="0"/>
                    <w:left w:val="nil"/>
                    <w:bottom w:val="single" w:color="auto" w:sz="4" w:space="0"/>
                    <w:right w:val="single" w:color="auto" w:sz="4" w:space="0"/>
                  </w:tcBorders>
                  <w:noWrap w:val="0"/>
                  <w:vAlign w:val="center"/>
                </w:tcPr>
                <w:p w14:paraId="6BE6981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≤20.0</w:t>
                  </w:r>
                </w:p>
              </w:tc>
            </w:tr>
            <w:tr w14:paraId="37670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5" w:type="pct"/>
                  <w:tcBorders>
                    <w:top w:val="single" w:color="auto" w:sz="4" w:space="0"/>
                    <w:left w:val="single" w:color="auto" w:sz="4" w:space="0"/>
                    <w:bottom w:val="single" w:color="auto" w:sz="4" w:space="0"/>
                    <w:right w:val="single" w:color="auto" w:sz="4" w:space="0"/>
                  </w:tcBorders>
                  <w:noWrap w:val="0"/>
                  <w:vAlign w:val="center"/>
                </w:tcPr>
                <w:p w14:paraId="135692F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亚硝酸盐</w:t>
                  </w:r>
                </w:p>
              </w:tc>
              <w:tc>
                <w:tcPr>
                  <w:tcW w:w="2244" w:type="pct"/>
                  <w:tcBorders>
                    <w:top w:val="single" w:color="auto" w:sz="4" w:space="0"/>
                    <w:left w:val="nil"/>
                    <w:bottom w:val="single" w:color="auto" w:sz="4" w:space="0"/>
                    <w:right w:val="single" w:color="auto" w:sz="4" w:space="0"/>
                  </w:tcBorders>
                  <w:noWrap w:val="0"/>
                  <w:vAlign w:val="center"/>
                </w:tcPr>
                <w:p w14:paraId="66A3D8D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≤1.00</w:t>
                  </w:r>
                </w:p>
              </w:tc>
            </w:tr>
            <w:tr w14:paraId="10B01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5" w:type="pct"/>
                  <w:tcBorders>
                    <w:top w:val="single" w:color="auto" w:sz="4" w:space="0"/>
                    <w:left w:val="single" w:color="auto" w:sz="4" w:space="0"/>
                    <w:bottom w:val="single" w:color="auto" w:sz="4" w:space="0"/>
                    <w:right w:val="single" w:color="auto" w:sz="4" w:space="0"/>
                  </w:tcBorders>
                  <w:noWrap w:val="0"/>
                  <w:vAlign w:val="center"/>
                </w:tcPr>
                <w:p w14:paraId="1BE885B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氟化物</w:t>
                  </w:r>
                </w:p>
              </w:tc>
              <w:tc>
                <w:tcPr>
                  <w:tcW w:w="2244" w:type="pct"/>
                  <w:tcBorders>
                    <w:top w:val="single" w:color="auto" w:sz="4" w:space="0"/>
                    <w:left w:val="nil"/>
                    <w:bottom w:val="single" w:color="auto" w:sz="4" w:space="0"/>
                    <w:right w:val="single" w:color="auto" w:sz="4" w:space="0"/>
                  </w:tcBorders>
                  <w:noWrap w:val="0"/>
                  <w:vAlign w:val="center"/>
                </w:tcPr>
                <w:p w14:paraId="6CA5206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≤1.0</w:t>
                  </w:r>
                </w:p>
              </w:tc>
            </w:tr>
            <w:tr w14:paraId="06956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5" w:type="pct"/>
                  <w:tcBorders>
                    <w:top w:val="single" w:color="auto" w:sz="4" w:space="0"/>
                    <w:left w:val="single" w:color="auto" w:sz="4" w:space="0"/>
                    <w:bottom w:val="single" w:color="auto" w:sz="4" w:space="0"/>
                    <w:right w:val="single" w:color="auto" w:sz="4" w:space="0"/>
                  </w:tcBorders>
                  <w:noWrap w:val="0"/>
                  <w:vAlign w:val="center"/>
                </w:tcPr>
                <w:p w14:paraId="5E52B8E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挥发性酚类</w:t>
                  </w:r>
                </w:p>
              </w:tc>
              <w:tc>
                <w:tcPr>
                  <w:tcW w:w="2244" w:type="pct"/>
                  <w:tcBorders>
                    <w:top w:val="single" w:color="auto" w:sz="4" w:space="0"/>
                    <w:left w:val="nil"/>
                    <w:bottom w:val="single" w:color="auto" w:sz="4" w:space="0"/>
                    <w:right w:val="single" w:color="auto" w:sz="4" w:space="0"/>
                  </w:tcBorders>
                  <w:noWrap w:val="0"/>
                  <w:vAlign w:val="center"/>
                </w:tcPr>
                <w:p w14:paraId="42EF05F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≤0.002</w:t>
                  </w:r>
                </w:p>
              </w:tc>
            </w:tr>
            <w:tr w14:paraId="30B40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5" w:type="pct"/>
                  <w:tcBorders>
                    <w:top w:val="single" w:color="auto" w:sz="4" w:space="0"/>
                    <w:left w:val="single" w:color="auto" w:sz="4" w:space="0"/>
                    <w:bottom w:val="single" w:color="auto" w:sz="4" w:space="0"/>
                    <w:right w:val="single" w:color="auto" w:sz="4" w:space="0"/>
                  </w:tcBorders>
                  <w:noWrap w:val="0"/>
                  <w:vAlign w:val="center"/>
                </w:tcPr>
                <w:p w14:paraId="08CD32F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总大肠菌群（个/L）</w:t>
                  </w:r>
                </w:p>
              </w:tc>
              <w:tc>
                <w:tcPr>
                  <w:tcW w:w="2244" w:type="pct"/>
                  <w:tcBorders>
                    <w:top w:val="single" w:color="auto" w:sz="4" w:space="0"/>
                    <w:left w:val="nil"/>
                    <w:bottom w:val="single" w:color="auto" w:sz="4" w:space="0"/>
                    <w:right w:val="single" w:color="auto" w:sz="4" w:space="0"/>
                  </w:tcBorders>
                  <w:noWrap w:val="0"/>
                  <w:vAlign w:val="center"/>
                </w:tcPr>
                <w:p w14:paraId="17412CA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≤3.0</w:t>
                  </w:r>
                </w:p>
              </w:tc>
            </w:tr>
            <w:tr w14:paraId="5FC99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5" w:type="pct"/>
                  <w:tcBorders>
                    <w:top w:val="single" w:color="auto" w:sz="4" w:space="0"/>
                    <w:left w:val="single" w:color="auto" w:sz="4" w:space="0"/>
                    <w:bottom w:val="single" w:color="auto" w:sz="4" w:space="0"/>
                    <w:right w:val="single" w:color="auto" w:sz="4" w:space="0"/>
                  </w:tcBorders>
                  <w:noWrap w:val="0"/>
                  <w:vAlign w:val="center"/>
                </w:tcPr>
                <w:p w14:paraId="51534FA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细菌总数（个/L）</w:t>
                  </w:r>
                </w:p>
              </w:tc>
              <w:tc>
                <w:tcPr>
                  <w:tcW w:w="2244" w:type="pct"/>
                  <w:tcBorders>
                    <w:top w:val="single" w:color="auto" w:sz="4" w:space="0"/>
                    <w:left w:val="nil"/>
                    <w:bottom w:val="single" w:color="auto" w:sz="4" w:space="0"/>
                    <w:right w:val="single" w:color="auto" w:sz="4" w:space="0"/>
                  </w:tcBorders>
                  <w:noWrap w:val="0"/>
                  <w:vAlign w:val="center"/>
                </w:tcPr>
                <w:p w14:paraId="78E2638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≤100</w:t>
                  </w:r>
                </w:p>
              </w:tc>
            </w:tr>
            <w:tr w14:paraId="5D97F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5" w:type="pct"/>
                  <w:tcBorders>
                    <w:top w:val="single" w:color="auto" w:sz="4" w:space="0"/>
                    <w:left w:val="single" w:color="auto" w:sz="4" w:space="0"/>
                    <w:bottom w:val="single" w:color="auto" w:sz="4" w:space="0"/>
                    <w:right w:val="single" w:color="auto" w:sz="4" w:space="0"/>
                  </w:tcBorders>
                  <w:noWrap w:val="0"/>
                  <w:vAlign w:val="center"/>
                </w:tcPr>
                <w:p w14:paraId="53142FE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总硬度</w:t>
                  </w:r>
                </w:p>
              </w:tc>
              <w:tc>
                <w:tcPr>
                  <w:tcW w:w="2244" w:type="pct"/>
                  <w:tcBorders>
                    <w:top w:val="single" w:color="auto" w:sz="4" w:space="0"/>
                    <w:left w:val="nil"/>
                    <w:bottom w:val="single" w:color="auto" w:sz="4" w:space="0"/>
                    <w:right w:val="single" w:color="auto" w:sz="4" w:space="0"/>
                  </w:tcBorders>
                  <w:noWrap w:val="0"/>
                  <w:vAlign w:val="center"/>
                </w:tcPr>
                <w:p w14:paraId="28FC472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≤450</w:t>
                  </w:r>
                </w:p>
              </w:tc>
            </w:tr>
          </w:tbl>
          <w:p w14:paraId="1A9F1703">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声环境</w:t>
            </w:r>
          </w:p>
          <w:p w14:paraId="714D468E">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声环境执行《声环境质量标准》（GB3096-2008）</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类标准。限值见 表标准限值见表3</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w:t>
            </w:r>
          </w:p>
          <w:p w14:paraId="30D7A439">
            <w:pPr>
              <w:keepNext w:val="0"/>
              <w:keepLines w:val="0"/>
              <w:suppressLineNumbers w:val="0"/>
              <w:autoSpaceDE w:val="0"/>
              <w:spacing w:before="0" w:beforeAutospacing="0" w:after="0" w:afterAutospacing="0"/>
              <w:ind w:left="0" w:right="0" w:firstLine="482" w:firstLineChars="20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表3-</w:t>
            </w:r>
            <w:r>
              <w:rPr>
                <w:rFonts w:hint="eastAsia" w:ascii="Times New Roman" w:hAnsi="Times New Roman" w:cs="Times New Roman"/>
                <w:b/>
                <w:bCs/>
                <w:color w:val="auto"/>
                <w:sz w:val="24"/>
                <w:szCs w:val="24"/>
                <w:lang w:val="en-US" w:eastAsia="zh-CN"/>
              </w:rPr>
              <w:t>10</w:t>
            </w:r>
            <w:r>
              <w:rPr>
                <w:rFonts w:hint="default" w:ascii="Times New Roman" w:hAnsi="Times New Roman" w:cs="Times New Roman"/>
                <w:b/>
                <w:bCs/>
                <w:color w:val="auto"/>
                <w:sz w:val="24"/>
                <w:szCs w:val="24"/>
              </w:rPr>
              <w:t xml:space="preserve"> 声环境质量标准</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47"/>
              <w:gridCol w:w="3206"/>
              <w:gridCol w:w="3206"/>
            </w:tblGrid>
            <w:tr w14:paraId="494181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1847" w:type="dxa"/>
                  <w:vMerge w:val="restart"/>
                  <w:tcBorders>
                    <w:top w:val="single" w:color="auto" w:sz="4" w:space="0"/>
                    <w:left w:val="single" w:color="auto" w:sz="4" w:space="0"/>
                    <w:bottom w:val="single" w:color="auto" w:sz="6" w:space="0"/>
                    <w:right w:val="single" w:color="auto" w:sz="6" w:space="0"/>
                  </w:tcBorders>
                  <w:noWrap w:val="0"/>
                  <w:vAlign w:val="center"/>
                </w:tcPr>
                <w:p w14:paraId="68ED9C1A">
                  <w:pPr>
                    <w:keepNext w:val="0"/>
                    <w:keepLines w:val="0"/>
                    <w:widowControl/>
                    <w:suppressLineNumbers w:val="0"/>
                    <w:spacing w:before="100" w:beforeAutospacing="1" w:after="100" w:afterAutospacing="1"/>
                    <w:ind w:left="0" w:right="0"/>
                    <w:jc w:val="center"/>
                    <w:rPr>
                      <w:rFonts w:hint="default" w:ascii="Times New Roman" w:hAnsi="Times New Roman" w:cs="Times New Roman"/>
                      <w:color w:val="auto"/>
                    </w:rPr>
                  </w:pPr>
                  <w:r>
                    <w:rPr>
                      <w:rFonts w:hint="default" w:ascii="Times New Roman" w:hAnsi="Times New Roman" w:cs="Times New Roman"/>
                      <w:color w:val="auto"/>
                    </w:rPr>
                    <w:t>类别</w:t>
                  </w:r>
                </w:p>
              </w:tc>
              <w:tc>
                <w:tcPr>
                  <w:tcW w:w="6412" w:type="dxa"/>
                  <w:gridSpan w:val="2"/>
                  <w:tcBorders>
                    <w:top w:val="single" w:color="auto" w:sz="4" w:space="0"/>
                    <w:left w:val="nil"/>
                    <w:bottom w:val="single" w:color="auto" w:sz="6" w:space="0"/>
                    <w:right w:val="single" w:color="auto" w:sz="4" w:space="0"/>
                  </w:tcBorders>
                  <w:noWrap w:val="0"/>
                  <w:vAlign w:val="center"/>
                </w:tcPr>
                <w:p w14:paraId="5AA01B8B">
                  <w:pPr>
                    <w:keepNext w:val="0"/>
                    <w:keepLines w:val="0"/>
                    <w:widowControl/>
                    <w:suppressLineNumbers w:val="0"/>
                    <w:spacing w:before="100" w:beforeAutospacing="1" w:after="100" w:afterAutospacing="1"/>
                    <w:ind w:left="0" w:right="0"/>
                    <w:jc w:val="center"/>
                    <w:rPr>
                      <w:rFonts w:hint="default" w:ascii="Times New Roman" w:hAnsi="Times New Roman" w:cs="Times New Roman"/>
                      <w:color w:val="auto"/>
                    </w:rPr>
                  </w:pPr>
                  <w:r>
                    <w:rPr>
                      <w:rFonts w:hint="default" w:ascii="Times New Roman" w:hAnsi="Times New Roman" w:cs="Times New Roman"/>
                      <w:color w:val="auto"/>
                    </w:rPr>
                    <w:t>噪声限值（dB（A））</w:t>
                  </w:r>
                </w:p>
              </w:tc>
            </w:tr>
            <w:tr w14:paraId="3A8684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847" w:type="dxa"/>
                  <w:vMerge w:val="continue"/>
                  <w:tcBorders>
                    <w:top w:val="single" w:color="auto" w:sz="4" w:space="0"/>
                    <w:left w:val="single" w:color="auto" w:sz="4" w:space="0"/>
                    <w:bottom w:val="single" w:color="auto" w:sz="6" w:space="0"/>
                    <w:right w:val="single" w:color="auto" w:sz="6" w:space="0"/>
                  </w:tcBorders>
                  <w:noWrap w:val="0"/>
                  <w:vAlign w:val="center"/>
                </w:tcPr>
                <w:p w14:paraId="2D9B9265">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tc>
              <w:tc>
                <w:tcPr>
                  <w:tcW w:w="3206" w:type="dxa"/>
                  <w:tcBorders>
                    <w:top w:val="single" w:color="auto" w:sz="6" w:space="0"/>
                    <w:left w:val="nil"/>
                    <w:bottom w:val="single" w:color="auto" w:sz="6" w:space="0"/>
                    <w:right w:val="single" w:color="auto" w:sz="6" w:space="0"/>
                  </w:tcBorders>
                  <w:noWrap w:val="0"/>
                  <w:vAlign w:val="center"/>
                </w:tcPr>
                <w:p w14:paraId="38A79F5F">
                  <w:pPr>
                    <w:keepNext w:val="0"/>
                    <w:keepLines w:val="0"/>
                    <w:widowControl/>
                    <w:suppressLineNumbers w:val="0"/>
                    <w:spacing w:before="100" w:beforeAutospacing="1" w:after="100" w:afterAutospacing="1"/>
                    <w:ind w:left="0" w:right="0"/>
                    <w:jc w:val="center"/>
                    <w:rPr>
                      <w:rFonts w:hint="default" w:ascii="Times New Roman" w:hAnsi="Times New Roman" w:cs="Times New Roman"/>
                      <w:color w:val="auto"/>
                    </w:rPr>
                  </w:pPr>
                  <w:r>
                    <w:rPr>
                      <w:rFonts w:hint="default" w:ascii="Times New Roman" w:hAnsi="Times New Roman" w:cs="Times New Roman"/>
                      <w:color w:val="auto"/>
                    </w:rPr>
                    <w:t>昼间</w:t>
                  </w:r>
                </w:p>
              </w:tc>
              <w:tc>
                <w:tcPr>
                  <w:tcW w:w="3206" w:type="dxa"/>
                  <w:tcBorders>
                    <w:top w:val="single" w:color="auto" w:sz="6" w:space="0"/>
                    <w:left w:val="nil"/>
                    <w:bottom w:val="single" w:color="auto" w:sz="6" w:space="0"/>
                    <w:right w:val="single" w:color="auto" w:sz="4" w:space="0"/>
                  </w:tcBorders>
                  <w:noWrap w:val="0"/>
                  <w:vAlign w:val="center"/>
                </w:tcPr>
                <w:p w14:paraId="2BE1D832">
                  <w:pPr>
                    <w:keepNext w:val="0"/>
                    <w:keepLines w:val="0"/>
                    <w:widowControl/>
                    <w:suppressLineNumbers w:val="0"/>
                    <w:spacing w:before="100" w:beforeAutospacing="1" w:after="100" w:afterAutospacing="1"/>
                    <w:ind w:left="0" w:right="0"/>
                    <w:jc w:val="center"/>
                    <w:rPr>
                      <w:rFonts w:hint="default" w:ascii="Times New Roman" w:hAnsi="Times New Roman" w:cs="Times New Roman"/>
                      <w:color w:val="auto"/>
                    </w:rPr>
                  </w:pPr>
                  <w:r>
                    <w:rPr>
                      <w:rFonts w:hint="default" w:ascii="Times New Roman" w:hAnsi="Times New Roman" w:cs="Times New Roman"/>
                      <w:color w:val="auto"/>
                    </w:rPr>
                    <w:t>夜间</w:t>
                  </w:r>
                </w:p>
              </w:tc>
            </w:tr>
            <w:tr w14:paraId="71DFEA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1847" w:type="dxa"/>
                  <w:tcBorders>
                    <w:top w:val="single" w:color="auto" w:sz="6" w:space="0"/>
                    <w:left w:val="single" w:color="auto" w:sz="4" w:space="0"/>
                    <w:bottom w:val="single" w:color="auto" w:sz="4" w:space="0"/>
                    <w:right w:val="single" w:color="auto" w:sz="6" w:space="0"/>
                  </w:tcBorders>
                  <w:noWrap w:val="0"/>
                  <w:vAlign w:val="center"/>
                </w:tcPr>
                <w:p w14:paraId="49D26A75">
                  <w:pPr>
                    <w:keepNext w:val="0"/>
                    <w:keepLines w:val="0"/>
                    <w:widowControl/>
                    <w:suppressLineNumbers w:val="0"/>
                    <w:spacing w:before="100" w:beforeAutospacing="1" w:after="100" w:afterAutospacing="1"/>
                    <w:ind w:left="0" w:right="0"/>
                    <w:jc w:val="center"/>
                    <w:rPr>
                      <w:rFonts w:hint="default" w:ascii="Times New Roman" w:hAnsi="Times New Roman" w:cs="Times New Roman"/>
                      <w:color w:val="auto"/>
                    </w:rPr>
                  </w:pPr>
                  <w:r>
                    <w:rPr>
                      <w:rFonts w:hint="eastAsia" w:ascii="Times New Roman" w:hAnsi="Times New Roman" w:cs="Times New Roman"/>
                      <w:color w:val="auto"/>
                      <w:lang w:val="en-US" w:eastAsia="zh-CN"/>
                    </w:rPr>
                    <w:t>2</w:t>
                  </w:r>
                  <w:r>
                    <w:rPr>
                      <w:rFonts w:hint="default" w:ascii="Times New Roman" w:hAnsi="Times New Roman" w:cs="Times New Roman"/>
                      <w:color w:val="auto"/>
                    </w:rPr>
                    <w:t>类</w:t>
                  </w:r>
                </w:p>
              </w:tc>
              <w:tc>
                <w:tcPr>
                  <w:tcW w:w="3206" w:type="dxa"/>
                  <w:tcBorders>
                    <w:top w:val="single" w:color="auto" w:sz="6" w:space="0"/>
                    <w:left w:val="nil"/>
                    <w:bottom w:val="single" w:color="auto" w:sz="4" w:space="0"/>
                    <w:right w:val="single" w:color="auto" w:sz="6" w:space="0"/>
                  </w:tcBorders>
                  <w:noWrap w:val="0"/>
                  <w:vAlign w:val="center"/>
                </w:tcPr>
                <w:p w14:paraId="557C6F0C">
                  <w:pPr>
                    <w:keepNext w:val="0"/>
                    <w:keepLines w:val="0"/>
                    <w:widowControl/>
                    <w:suppressLineNumbers w:val="0"/>
                    <w:spacing w:before="100" w:beforeAutospacing="1" w:after="100" w:afterAutospacing="1"/>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60</w:t>
                  </w:r>
                </w:p>
              </w:tc>
              <w:tc>
                <w:tcPr>
                  <w:tcW w:w="3206" w:type="dxa"/>
                  <w:tcBorders>
                    <w:top w:val="single" w:color="auto" w:sz="6" w:space="0"/>
                    <w:left w:val="nil"/>
                    <w:bottom w:val="single" w:color="auto" w:sz="4" w:space="0"/>
                    <w:right w:val="single" w:color="auto" w:sz="4" w:space="0"/>
                  </w:tcBorders>
                  <w:noWrap w:val="0"/>
                  <w:vAlign w:val="center"/>
                </w:tcPr>
                <w:p w14:paraId="0B37132F">
                  <w:pPr>
                    <w:keepNext w:val="0"/>
                    <w:keepLines w:val="0"/>
                    <w:widowControl/>
                    <w:suppressLineNumbers w:val="0"/>
                    <w:spacing w:before="100" w:beforeAutospacing="1" w:after="100" w:afterAutospacing="1"/>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50</w:t>
                  </w:r>
                </w:p>
              </w:tc>
            </w:tr>
          </w:tbl>
          <w:p w14:paraId="3C12866D">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2"/>
              <w:rPr>
                <w:rFonts w:hint="default" w:cs="Times New Roman"/>
                <w:b/>
                <w:bCs/>
                <w:color w:val="auto"/>
              </w:rPr>
            </w:pPr>
            <w:r>
              <w:rPr>
                <w:rFonts w:hint="eastAsia" w:cs="Times New Roman"/>
                <w:b/>
                <w:bCs/>
                <w:color w:val="auto"/>
                <w:lang w:val="en-US" w:eastAsia="zh-CN"/>
              </w:rPr>
              <w:t>2、</w:t>
            </w:r>
            <w:r>
              <w:rPr>
                <w:rFonts w:hint="default" w:cs="Times New Roman"/>
                <w:b/>
                <w:bCs/>
                <w:color w:val="auto"/>
              </w:rPr>
              <w:t>污染物排放标准</w:t>
            </w:r>
          </w:p>
          <w:p w14:paraId="2138F2E4">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（1）废气</w:t>
            </w:r>
          </w:p>
          <w:p w14:paraId="756CBBCC">
            <w:pPr>
              <w:pStyle w:val="110"/>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项目</w:t>
            </w:r>
            <w:r>
              <w:rPr>
                <w:rFonts w:hint="eastAsia" w:ascii="Times New Roman" w:hAnsi="Times New Roman" w:cs="Times New Roman"/>
                <w:color w:val="auto"/>
                <w:sz w:val="24"/>
                <w:szCs w:val="24"/>
                <w:lang w:val="en-US" w:eastAsia="zh-CN"/>
              </w:rPr>
              <w:t>勘探</w:t>
            </w:r>
            <w:r>
              <w:rPr>
                <w:rFonts w:hint="eastAsia" w:ascii="Times New Roman" w:hAnsi="Times New Roman" w:cs="Times New Roman"/>
                <w:color w:val="auto"/>
                <w:sz w:val="24"/>
                <w:szCs w:val="24"/>
              </w:rPr>
              <w:t>过程中粉尘</w:t>
            </w:r>
            <w:r>
              <w:rPr>
                <w:rFonts w:hint="eastAsia" w:ascii="Times New Roman" w:hAnsi="Times New Roman" w:cs="Times New Roman"/>
                <w:color w:val="auto"/>
                <w:sz w:val="24"/>
                <w:szCs w:val="24"/>
                <w:lang w:val="en-US" w:eastAsia="zh-CN"/>
              </w:rPr>
              <w:t>排放</w:t>
            </w:r>
            <w:r>
              <w:rPr>
                <w:rFonts w:hint="eastAsia" w:ascii="Times New Roman" w:hAnsi="Times New Roman" w:cs="Times New Roman"/>
                <w:color w:val="auto"/>
                <w:sz w:val="24"/>
                <w:szCs w:val="24"/>
              </w:rPr>
              <w:t>执行《大气污染物综合排放标准》（GB16297-1996）中的二级标准，具体标准值见表</w:t>
            </w:r>
            <w:r>
              <w:rPr>
                <w:rFonts w:hint="eastAsia"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11</w:t>
            </w:r>
            <w:r>
              <w:rPr>
                <w:rFonts w:hint="eastAsia" w:ascii="Times New Roman" w:hAnsi="Times New Roman" w:cs="Times New Roman"/>
                <w:color w:val="auto"/>
                <w:sz w:val="24"/>
                <w:szCs w:val="24"/>
              </w:rPr>
              <w:t>。</w:t>
            </w:r>
          </w:p>
          <w:p w14:paraId="3B2BFE53">
            <w:pPr>
              <w:pStyle w:val="104"/>
              <w:keepNext w:val="0"/>
              <w:keepLines w:val="0"/>
              <w:suppressLineNumbers w:val="0"/>
              <w:spacing w:before="0" w:beforeAutospacing="0" w:after="0" w:afterAutospacing="0"/>
              <w:ind w:left="0" w:right="0"/>
              <w:jc w:val="center"/>
              <w:rPr>
                <w:rFonts w:hint="default" w:cs="Times New Roman"/>
                <w:color w:val="auto"/>
              </w:rPr>
            </w:pPr>
            <w:r>
              <w:rPr>
                <w:rFonts w:hint="default" w:cs="Times New Roman"/>
                <w:color w:val="auto"/>
              </w:rPr>
              <w:t>表</w:t>
            </w:r>
            <w:r>
              <w:rPr>
                <w:rFonts w:hint="eastAsia" w:cs="Times New Roman"/>
                <w:color w:val="auto"/>
                <w:lang w:val="en-US" w:eastAsia="zh-CN"/>
              </w:rPr>
              <w:t>3</w:t>
            </w:r>
            <w:r>
              <w:rPr>
                <w:rFonts w:hint="default" w:cs="Times New Roman"/>
                <w:color w:val="auto"/>
              </w:rPr>
              <w:t>-</w:t>
            </w:r>
            <w:r>
              <w:rPr>
                <w:rFonts w:hint="eastAsia" w:cs="Times New Roman"/>
                <w:color w:val="auto"/>
                <w:lang w:val="en-US" w:eastAsia="zh-CN"/>
              </w:rPr>
              <w:t>11</w:t>
            </w:r>
            <w:r>
              <w:rPr>
                <w:rFonts w:hint="default" w:cs="Times New Roman"/>
                <w:color w:val="auto"/>
              </w:rPr>
              <w:t xml:space="preserve">  大气污染物综合排放标准</w:t>
            </w:r>
          </w:p>
          <w:tbl>
            <w:tblPr>
              <w:tblStyle w:val="3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2754"/>
              <w:gridCol w:w="1318"/>
              <w:gridCol w:w="2085"/>
              <w:gridCol w:w="1703"/>
            </w:tblGrid>
            <w:tr w14:paraId="39CFDA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7" w:hRule="atLeast"/>
                <w:jc w:val="center"/>
              </w:trPr>
              <w:tc>
                <w:tcPr>
                  <w:tcW w:w="2754" w:type="dxa"/>
                  <w:vMerge w:val="restart"/>
                  <w:noWrap w:val="0"/>
                  <w:vAlign w:val="center"/>
                </w:tcPr>
                <w:p w14:paraId="5996E01E">
                  <w:pPr>
                    <w:keepNext w:val="0"/>
                    <w:keepLines w:val="0"/>
                    <w:suppressLineNumbers w:val="0"/>
                    <w:autoSpaceDE w:val="0"/>
                    <w:autoSpaceDN w:val="0"/>
                    <w:adjustRightInd w:val="0"/>
                    <w:spacing w:before="0" w:beforeAutospacing="0" w:after="0" w:afterAutospacing="0" w:line="236" w:lineRule="exact"/>
                    <w:ind w:left="120" w:right="0"/>
                    <w:jc w:val="center"/>
                    <w:rPr>
                      <w:rFonts w:hint="default" w:ascii="Times New Roman" w:hAnsi="Times New Roman" w:cs="Times New Roman"/>
                      <w:color w:val="auto"/>
                    </w:rPr>
                  </w:pPr>
                  <w:r>
                    <w:rPr>
                      <w:rFonts w:hint="default" w:ascii="Times New Roman" w:hAnsi="Times New Roman" w:cs="Times New Roman"/>
                      <w:color w:val="auto"/>
                    </w:rPr>
                    <w:t>项目排放标准</w:t>
                  </w:r>
                </w:p>
              </w:tc>
              <w:tc>
                <w:tcPr>
                  <w:tcW w:w="1318" w:type="dxa"/>
                  <w:vMerge w:val="restart"/>
                  <w:noWrap w:val="0"/>
                  <w:vAlign w:val="center"/>
                </w:tcPr>
                <w:p w14:paraId="258AD8B3">
                  <w:pPr>
                    <w:keepNext w:val="0"/>
                    <w:keepLines w:val="0"/>
                    <w:suppressLineNumbers w:val="0"/>
                    <w:autoSpaceDE w:val="0"/>
                    <w:autoSpaceDN w:val="0"/>
                    <w:adjustRightInd w:val="0"/>
                    <w:spacing w:before="0" w:beforeAutospacing="0" w:after="0" w:afterAutospacing="0" w:line="239" w:lineRule="exact"/>
                    <w:ind w:left="400" w:right="0"/>
                    <w:jc w:val="center"/>
                    <w:rPr>
                      <w:rFonts w:hint="default" w:ascii="Times New Roman" w:hAnsi="Times New Roman" w:cs="Times New Roman"/>
                      <w:color w:val="auto"/>
                    </w:rPr>
                  </w:pPr>
                  <w:r>
                    <w:rPr>
                      <w:rFonts w:hint="default" w:ascii="Times New Roman" w:hAnsi="Times New Roman" w:cs="Times New Roman"/>
                      <w:color w:val="auto"/>
                    </w:rPr>
                    <w:t>污染物</w:t>
                  </w:r>
                </w:p>
              </w:tc>
              <w:tc>
                <w:tcPr>
                  <w:tcW w:w="3788" w:type="dxa"/>
                  <w:gridSpan w:val="2"/>
                  <w:noWrap w:val="0"/>
                  <w:vAlign w:val="center"/>
                </w:tcPr>
                <w:p w14:paraId="1A693ED6">
                  <w:pPr>
                    <w:keepNext w:val="0"/>
                    <w:keepLines w:val="0"/>
                    <w:suppressLineNumbers w:val="0"/>
                    <w:autoSpaceDE w:val="0"/>
                    <w:autoSpaceDN w:val="0"/>
                    <w:adjustRightInd w:val="0"/>
                    <w:spacing w:before="0" w:beforeAutospacing="0" w:after="0" w:afterAutospacing="0" w:line="239" w:lineRule="exact"/>
                    <w:ind w:left="1180" w:right="0"/>
                    <w:jc w:val="center"/>
                    <w:rPr>
                      <w:rFonts w:hint="default" w:ascii="Times New Roman" w:hAnsi="Times New Roman" w:cs="Times New Roman"/>
                      <w:color w:val="auto"/>
                    </w:rPr>
                  </w:pPr>
                  <w:r>
                    <w:rPr>
                      <w:rFonts w:hint="default" w:ascii="Times New Roman" w:hAnsi="Times New Roman" w:cs="Times New Roman"/>
                      <w:color w:val="auto"/>
                    </w:rPr>
                    <w:t>无组织排放监控浓度限值</w:t>
                  </w:r>
                </w:p>
              </w:tc>
            </w:tr>
            <w:tr w14:paraId="79128E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11" w:hRule="atLeast"/>
                <w:jc w:val="center"/>
              </w:trPr>
              <w:tc>
                <w:tcPr>
                  <w:tcW w:w="2754" w:type="dxa"/>
                  <w:vMerge w:val="continue"/>
                  <w:noWrap w:val="0"/>
                  <w:vAlign w:val="center"/>
                </w:tcPr>
                <w:p w14:paraId="3CFC14F0">
                  <w:pPr>
                    <w:keepNext w:val="0"/>
                    <w:keepLines w:val="0"/>
                    <w:suppressLineNumbers w:val="0"/>
                    <w:autoSpaceDE w:val="0"/>
                    <w:autoSpaceDN w:val="0"/>
                    <w:adjustRightInd w:val="0"/>
                    <w:spacing w:before="0" w:beforeAutospacing="0" w:after="0" w:afterAutospacing="0" w:line="236" w:lineRule="exact"/>
                    <w:ind w:left="120" w:right="0"/>
                    <w:jc w:val="center"/>
                    <w:rPr>
                      <w:rFonts w:hint="default" w:ascii="Times New Roman" w:hAnsi="Times New Roman" w:cs="Times New Roman"/>
                      <w:color w:val="auto"/>
                    </w:rPr>
                  </w:pPr>
                </w:p>
              </w:tc>
              <w:tc>
                <w:tcPr>
                  <w:tcW w:w="1318" w:type="dxa"/>
                  <w:vMerge w:val="continue"/>
                  <w:noWrap w:val="0"/>
                  <w:vAlign w:val="center"/>
                </w:tcPr>
                <w:p w14:paraId="4288146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rPr>
                  </w:pPr>
                </w:p>
              </w:tc>
              <w:tc>
                <w:tcPr>
                  <w:tcW w:w="2085" w:type="dxa"/>
                  <w:noWrap w:val="0"/>
                  <w:vAlign w:val="center"/>
                </w:tcPr>
                <w:p w14:paraId="5B71CDD0">
                  <w:pPr>
                    <w:keepNext w:val="0"/>
                    <w:keepLines w:val="0"/>
                    <w:suppressLineNumbers w:val="0"/>
                    <w:autoSpaceDE w:val="0"/>
                    <w:autoSpaceDN w:val="0"/>
                    <w:adjustRightInd w:val="0"/>
                    <w:spacing w:before="0" w:beforeAutospacing="0" w:after="0" w:afterAutospacing="0" w:line="239" w:lineRule="exact"/>
                    <w:ind w:left="0" w:right="0"/>
                    <w:jc w:val="center"/>
                    <w:rPr>
                      <w:rFonts w:hint="default" w:ascii="Times New Roman" w:hAnsi="Times New Roman" w:cs="Times New Roman"/>
                      <w:color w:val="auto"/>
                    </w:rPr>
                  </w:pPr>
                  <w:r>
                    <w:rPr>
                      <w:rFonts w:hint="default" w:ascii="Times New Roman" w:hAnsi="Times New Roman" w:cs="Times New Roman"/>
                      <w:color w:val="auto"/>
                    </w:rPr>
                    <w:t>监控点</w:t>
                  </w:r>
                </w:p>
              </w:tc>
              <w:tc>
                <w:tcPr>
                  <w:tcW w:w="1703" w:type="dxa"/>
                  <w:noWrap w:val="0"/>
                  <w:vAlign w:val="center"/>
                </w:tcPr>
                <w:p w14:paraId="1AE2A301">
                  <w:pPr>
                    <w:keepNext w:val="0"/>
                    <w:keepLines w:val="0"/>
                    <w:suppressLineNumbers w:val="0"/>
                    <w:autoSpaceDE w:val="0"/>
                    <w:autoSpaceDN w:val="0"/>
                    <w:adjustRightInd w:val="0"/>
                    <w:spacing w:before="0" w:beforeAutospacing="0" w:after="0" w:afterAutospacing="0" w:line="305" w:lineRule="exact"/>
                    <w:ind w:left="0" w:right="0"/>
                    <w:jc w:val="center"/>
                    <w:rPr>
                      <w:rFonts w:hint="default" w:ascii="Times New Roman" w:hAnsi="Times New Roman" w:cs="Times New Roman"/>
                      <w:color w:val="auto"/>
                    </w:rPr>
                  </w:pPr>
                  <w:r>
                    <w:rPr>
                      <w:rFonts w:hint="default" w:ascii="Times New Roman" w:hAnsi="Times New Roman" w:cs="Times New Roman"/>
                      <w:color w:val="auto"/>
                    </w:rPr>
                    <w:t>浓度（mg/m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r>
            <w:tr w14:paraId="1202CC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82" w:hRule="atLeast"/>
                <w:jc w:val="center"/>
              </w:trPr>
              <w:tc>
                <w:tcPr>
                  <w:tcW w:w="2754" w:type="dxa"/>
                  <w:noWrap w:val="0"/>
                  <w:vAlign w:val="center"/>
                </w:tcPr>
                <w:p w14:paraId="22058FE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大气污染物排放限值</w:t>
                  </w:r>
                </w:p>
              </w:tc>
              <w:tc>
                <w:tcPr>
                  <w:tcW w:w="1318" w:type="dxa"/>
                  <w:noWrap w:val="0"/>
                  <w:vAlign w:val="center"/>
                </w:tcPr>
                <w:p w14:paraId="017377C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颗粒物</w:t>
                  </w:r>
                </w:p>
              </w:tc>
              <w:tc>
                <w:tcPr>
                  <w:tcW w:w="2085" w:type="dxa"/>
                  <w:noWrap w:val="0"/>
                  <w:vAlign w:val="center"/>
                </w:tcPr>
                <w:p w14:paraId="1FC5B2A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周界外浓度最高点</w:t>
                  </w:r>
                </w:p>
              </w:tc>
              <w:tc>
                <w:tcPr>
                  <w:tcW w:w="1703" w:type="dxa"/>
                  <w:noWrap w:val="0"/>
                  <w:vAlign w:val="center"/>
                </w:tcPr>
                <w:p w14:paraId="37483F8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1.0</w:t>
                  </w:r>
                </w:p>
              </w:tc>
            </w:tr>
          </w:tbl>
          <w:p w14:paraId="65BA64B1">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（2）废水</w:t>
            </w:r>
          </w:p>
          <w:p w14:paraId="0B09F7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项目废水主要为生活污水、钻机钻头的清洗、冷却水及泥浆水。</w:t>
            </w:r>
            <w:r>
              <w:rPr>
                <w:rFonts w:hint="default" w:ascii="Times New Roman" w:hAnsi="Times New Roman" w:eastAsia="宋体" w:cs="Times New Roman"/>
                <w:color w:val="auto"/>
                <w:sz w:val="24"/>
                <w:szCs w:val="24"/>
              </w:rPr>
              <w:t>生活污水</w:t>
            </w:r>
            <w:r>
              <w:rPr>
                <w:rFonts w:hint="eastAsia" w:ascii="Times New Roman" w:hAnsi="Times New Roman" w:eastAsia="宋体" w:cs="Times New Roman"/>
                <w:color w:val="auto"/>
                <w:sz w:val="24"/>
                <w:szCs w:val="24"/>
                <w:lang w:val="en-US" w:eastAsia="zh-CN"/>
              </w:rPr>
              <w:t>依托矿山生活区已建的化粪池</w:t>
            </w:r>
            <w:r>
              <w:rPr>
                <w:rFonts w:hint="eastAsia" w:ascii="Times New Roman" w:hAnsi="Times New Roman" w:eastAsia="宋体" w:cs="Times New Roman"/>
                <w:color w:val="auto"/>
                <w:sz w:val="24"/>
                <w:szCs w:val="24"/>
              </w:rPr>
              <w:t>沉淀发酵后清掏</w:t>
            </w:r>
            <w:r>
              <w:rPr>
                <w:rFonts w:hint="default" w:ascii="Times New Roman" w:hAnsi="Times New Roman" w:eastAsia="宋体" w:cs="Times New Roman"/>
                <w:color w:val="auto"/>
                <w:sz w:val="24"/>
                <w:szCs w:val="24"/>
              </w:rPr>
              <w:t>用于周围林地施肥，不外排；</w:t>
            </w:r>
            <w:r>
              <w:rPr>
                <w:rFonts w:hint="eastAsia" w:ascii="Times New Roman" w:hAnsi="Times New Roman" w:eastAsia="宋体" w:cs="Times New Roman"/>
                <w:color w:val="auto"/>
                <w:sz w:val="24"/>
                <w:szCs w:val="24"/>
              </w:rPr>
              <w:t>钻机钻头的清洗、冷却水及泥浆水</w:t>
            </w:r>
            <w:r>
              <w:rPr>
                <w:rFonts w:hint="default" w:ascii="Times New Roman" w:hAnsi="Times New Roman" w:eastAsia="宋体" w:cs="Times New Roman"/>
                <w:color w:val="auto"/>
                <w:sz w:val="24"/>
                <w:szCs w:val="24"/>
              </w:rPr>
              <w:t>经沉淀处理后</w:t>
            </w:r>
            <w:r>
              <w:rPr>
                <w:rFonts w:hint="eastAsia" w:ascii="Times New Roman" w:hAnsi="Times New Roman" w:eastAsia="宋体" w:cs="Times New Roman"/>
                <w:color w:val="auto"/>
                <w:sz w:val="24"/>
                <w:szCs w:val="24"/>
                <w:lang w:val="en-US" w:eastAsia="zh-CN"/>
              </w:rPr>
              <w:t>综合利用</w:t>
            </w:r>
            <w:r>
              <w:rPr>
                <w:rFonts w:hint="eastAsia" w:ascii="Times New Roman" w:hAnsi="Times New Roman" w:eastAsia="宋体" w:cs="Times New Roman"/>
                <w:color w:val="auto"/>
                <w:sz w:val="24"/>
                <w:szCs w:val="24"/>
              </w:rPr>
              <w:t>，不外排</w:t>
            </w:r>
            <w:r>
              <w:rPr>
                <w:rFonts w:hint="eastAsia" w:ascii="Times New Roman" w:hAnsi="Times New Roman" w:eastAsia="宋体" w:cs="Times New Roman"/>
                <w:color w:val="auto"/>
                <w:sz w:val="24"/>
                <w:szCs w:val="24"/>
                <w:lang w:eastAsia="zh-CN"/>
              </w:rPr>
              <w:t>。</w:t>
            </w:r>
          </w:p>
          <w:p w14:paraId="6CE507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因此，本项目不设废水排放标准。</w:t>
            </w:r>
          </w:p>
          <w:p w14:paraId="596DFCD9">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（3）噪声</w:t>
            </w:r>
          </w:p>
          <w:p w14:paraId="4737A1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本项目厂界</w:t>
            </w:r>
            <w:r>
              <w:rPr>
                <w:rFonts w:hint="default" w:ascii="Times New Roman" w:hAnsi="Times New Roman" w:cs="Times New Roman"/>
                <w:color w:val="auto"/>
                <w:sz w:val="24"/>
                <w:szCs w:val="24"/>
              </w:rPr>
              <w:t>噪声排放执行《工业企业厂界环境噪声排放标准》（GB12348-2008）中</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类，标准限值见表</w:t>
            </w:r>
            <w:r>
              <w:rPr>
                <w:rFonts w:hint="default"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rPr>
              <w:t>。</w:t>
            </w:r>
          </w:p>
          <w:p w14:paraId="10E866C4">
            <w:pPr>
              <w:keepNext w:val="0"/>
              <w:keepLines w:val="0"/>
              <w:suppressLineNumbers w:val="0"/>
              <w:spacing w:before="0" w:beforeAutospacing="0" w:after="0" w:afterAutospacing="0"/>
              <w:ind w:left="0" w:right="0" w:firstLine="482"/>
              <w:jc w:val="center"/>
              <w:rPr>
                <w:rFonts w:hint="eastAsia" w:ascii="Times New Roman" w:hAnsi="Times New Roman" w:cs="Times New Roman"/>
                <w:b/>
                <w:bCs/>
                <w:color w:val="auto"/>
                <w:sz w:val="24"/>
                <w:szCs w:val="24"/>
              </w:rPr>
            </w:pPr>
            <w:r>
              <w:rPr>
                <w:rFonts w:hint="eastAsia" w:ascii="Times New Roman" w:hAnsi="Times New Roman" w:cs="Times New Roman"/>
                <w:b/>
                <w:bCs/>
                <w:color w:val="auto"/>
                <w:sz w:val="24"/>
                <w:szCs w:val="24"/>
              </w:rPr>
              <w:t>表</w:t>
            </w:r>
            <w:r>
              <w:rPr>
                <w:rFonts w:hint="eastAsia" w:ascii="Times New Roman" w:hAnsi="Times New Roman" w:cs="Times New Roman"/>
                <w:b/>
                <w:bCs/>
                <w:color w:val="auto"/>
                <w:sz w:val="24"/>
                <w:szCs w:val="24"/>
                <w:lang w:val="en-US" w:eastAsia="zh-CN"/>
              </w:rPr>
              <w:t>3</w:t>
            </w:r>
            <w:r>
              <w:rPr>
                <w:rFonts w:hint="eastAsia"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12</w:t>
            </w:r>
            <w:r>
              <w:rPr>
                <w:rFonts w:hint="eastAsia" w:ascii="Times New Roman" w:hAnsi="Times New Roman" w:cs="Times New Roman"/>
                <w:b/>
                <w:bCs/>
                <w:color w:val="auto"/>
                <w:sz w:val="24"/>
                <w:szCs w:val="24"/>
              </w:rPr>
              <w:t>《工业企业厂界环境噪声排放标准》标准限值 （dB（A））</w:t>
            </w:r>
          </w:p>
          <w:tbl>
            <w:tblPr>
              <w:tblStyle w:val="31"/>
              <w:tblW w:w="8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2898"/>
              <w:gridCol w:w="1570"/>
              <w:gridCol w:w="1574"/>
            </w:tblGrid>
            <w:tr w14:paraId="18F7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93" w:type="dxa"/>
                  <w:vMerge w:val="restart"/>
                  <w:noWrap w:val="0"/>
                  <w:vAlign w:val="center"/>
                </w:tcPr>
                <w:p w14:paraId="0771209B">
                  <w:pPr>
                    <w:keepNext w:val="0"/>
                    <w:keepLines w:val="0"/>
                    <w:suppressLineNumbers w:val="0"/>
                    <w:snapToGrid w:val="0"/>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声环境功能区类别</w:t>
                  </w:r>
                </w:p>
              </w:tc>
              <w:tc>
                <w:tcPr>
                  <w:tcW w:w="2898" w:type="dxa"/>
                  <w:vMerge w:val="restart"/>
                  <w:noWrap w:val="0"/>
                  <w:vAlign w:val="center"/>
                </w:tcPr>
                <w:p w14:paraId="708843F5">
                  <w:pPr>
                    <w:keepNext w:val="0"/>
                    <w:keepLines w:val="0"/>
                    <w:suppressLineNumbers w:val="0"/>
                    <w:snapToGrid w:val="0"/>
                    <w:spacing w:before="0" w:beforeAutospacing="0" w:after="0" w:afterAutospacing="0" w:line="360" w:lineRule="auto"/>
                    <w:ind w:left="0" w:right="0" w:firstLine="525" w:firstLineChars="250"/>
                    <w:jc w:val="center"/>
                    <w:rPr>
                      <w:rFonts w:hint="default" w:ascii="Times New Roman" w:hAnsi="Times New Roman" w:cs="Times New Roman"/>
                      <w:color w:val="auto"/>
                    </w:rPr>
                  </w:pPr>
                  <w:r>
                    <w:rPr>
                      <w:rFonts w:hint="default" w:ascii="Times New Roman" w:hAnsi="Times New Roman" w:cs="Times New Roman"/>
                      <w:color w:val="auto"/>
                    </w:rPr>
                    <w:t>执行区域</w:t>
                  </w:r>
                </w:p>
              </w:tc>
              <w:tc>
                <w:tcPr>
                  <w:tcW w:w="3144" w:type="dxa"/>
                  <w:gridSpan w:val="2"/>
                  <w:noWrap w:val="0"/>
                  <w:vAlign w:val="center"/>
                </w:tcPr>
                <w:p w14:paraId="5FBCFFEB">
                  <w:pPr>
                    <w:keepNext w:val="0"/>
                    <w:keepLines w:val="0"/>
                    <w:suppressLineNumbers w:val="0"/>
                    <w:snapToGrid w:val="0"/>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执行时段</w:t>
                  </w:r>
                </w:p>
              </w:tc>
            </w:tr>
            <w:tr w14:paraId="48D0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3" w:type="dxa"/>
                  <w:vMerge w:val="continue"/>
                  <w:noWrap w:val="0"/>
                  <w:vAlign w:val="center"/>
                </w:tcPr>
                <w:p w14:paraId="519C560E">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auto"/>
                    </w:rPr>
                  </w:pPr>
                </w:p>
              </w:tc>
              <w:tc>
                <w:tcPr>
                  <w:tcW w:w="2898" w:type="dxa"/>
                  <w:vMerge w:val="continue"/>
                  <w:noWrap w:val="0"/>
                  <w:vAlign w:val="center"/>
                </w:tcPr>
                <w:p w14:paraId="1E0421C6">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auto"/>
                    </w:rPr>
                  </w:pPr>
                </w:p>
              </w:tc>
              <w:tc>
                <w:tcPr>
                  <w:tcW w:w="1570" w:type="dxa"/>
                  <w:noWrap w:val="0"/>
                  <w:vAlign w:val="center"/>
                </w:tcPr>
                <w:p w14:paraId="10095E79">
                  <w:pPr>
                    <w:keepNext w:val="0"/>
                    <w:keepLines w:val="0"/>
                    <w:suppressLineNumbers w:val="0"/>
                    <w:snapToGrid w:val="0"/>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昼间</w:t>
                  </w:r>
                </w:p>
              </w:tc>
              <w:tc>
                <w:tcPr>
                  <w:tcW w:w="1574" w:type="dxa"/>
                  <w:noWrap w:val="0"/>
                  <w:vAlign w:val="center"/>
                </w:tcPr>
                <w:p w14:paraId="3B8C3E6A">
                  <w:pPr>
                    <w:keepNext w:val="0"/>
                    <w:keepLines w:val="0"/>
                    <w:suppressLineNumbers w:val="0"/>
                    <w:snapToGrid w:val="0"/>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夜间</w:t>
                  </w:r>
                </w:p>
              </w:tc>
            </w:tr>
            <w:tr w14:paraId="1F08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093" w:type="dxa"/>
                  <w:noWrap w:val="0"/>
                  <w:vAlign w:val="center"/>
                </w:tcPr>
                <w:p w14:paraId="4D83D6E6">
                  <w:pPr>
                    <w:keepNext w:val="0"/>
                    <w:keepLines w:val="0"/>
                    <w:suppressLineNumbers w:val="0"/>
                    <w:snapToGrid w:val="0"/>
                    <w:spacing w:before="0" w:beforeAutospacing="0" w:after="0" w:afterAutospacing="0" w:line="360" w:lineRule="auto"/>
                    <w:ind w:left="0" w:right="0" w:firstLine="420" w:firstLineChars="200"/>
                    <w:rPr>
                      <w:rFonts w:hint="default" w:ascii="Times New Roman" w:hAnsi="Times New Roman" w:cs="Times New Roman"/>
                      <w:color w:val="auto"/>
                    </w:rPr>
                  </w:pPr>
                  <w:r>
                    <w:rPr>
                      <w:rFonts w:hint="eastAsia" w:ascii="Times New Roman" w:hAnsi="Times New Roman" w:cs="Times New Roman"/>
                      <w:color w:val="auto"/>
                    </w:rPr>
                    <w:t xml:space="preserve">  </w:t>
                  </w:r>
                  <w:r>
                    <w:rPr>
                      <w:rFonts w:hint="eastAsia" w:ascii="Times New Roman" w:hAnsi="Times New Roman" w:cs="Times New Roman"/>
                      <w:color w:val="auto"/>
                      <w:lang w:val="en-US" w:eastAsia="zh-CN"/>
                    </w:rPr>
                    <w:t>2</w:t>
                  </w:r>
                  <w:r>
                    <w:rPr>
                      <w:rFonts w:hint="default" w:ascii="Times New Roman" w:hAnsi="Times New Roman" w:cs="Times New Roman"/>
                      <w:color w:val="auto"/>
                    </w:rPr>
                    <w:t>类</w:t>
                  </w:r>
                </w:p>
              </w:tc>
              <w:tc>
                <w:tcPr>
                  <w:tcW w:w="2898" w:type="dxa"/>
                  <w:noWrap w:val="0"/>
                  <w:vAlign w:val="center"/>
                </w:tcPr>
                <w:p w14:paraId="6737D564">
                  <w:pPr>
                    <w:keepNext w:val="0"/>
                    <w:keepLines w:val="0"/>
                    <w:suppressLineNumbers w:val="0"/>
                    <w:snapToGrid w:val="0"/>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厂界四周</w:t>
                  </w:r>
                </w:p>
              </w:tc>
              <w:tc>
                <w:tcPr>
                  <w:tcW w:w="1570" w:type="dxa"/>
                  <w:noWrap w:val="0"/>
                  <w:vAlign w:val="center"/>
                </w:tcPr>
                <w:p w14:paraId="64030260">
                  <w:pPr>
                    <w:keepNext w:val="0"/>
                    <w:keepLines w:val="0"/>
                    <w:suppressLineNumbers w:val="0"/>
                    <w:snapToGrid w:val="0"/>
                    <w:spacing w:before="0" w:beforeAutospacing="0" w:after="0" w:afterAutospacing="0" w:line="360" w:lineRule="auto"/>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60</w:t>
                  </w:r>
                </w:p>
              </w:tc>
              <w:tc>
                <w:tcPr>
                  <w:tcW w:w="1574" w:type="dxa"/>
                  <w:noWrap w:val="0"/>
                  <w:vAlign w:val="center"/>
                </w:tcPr>
                <w:p w14:paraId="042370AB">
                  <w:pPr>
                    <w:keepNext w:val="0"/>
                    <w:keepLines w:val="0"/>
                    <w:suppressLineNumbers w:val="0"/>
                    <w:snapToGrid w:val="0"/>
                    <w:spacing w:before="0" w:beforeAutospacing="0" w:after="0" w:afterAutospacing="0" w:line="360" w:lineRule="auto"/>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50</w:t>
                  </w:r>
                </w:p>
              </w:tc>
            </w:tr>
          </w:tbl>
          <w:p w14:paraId="458F7B3F">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（4）固废</w:t>
            </w:r>
          </w:p>
          <w:p w14:paraId="6F8909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一般工业固废执行《一般工业固体废物贮存</w:t>
            </w:r>
            <w:r>
              <w:rPr>
                <w:rFonts w:hint="eastAsia" w:ascii="Times New Roman" w:hAnsi="Times New Roman" w:cs="Times New Roman"/>
                <w:color w:val="auto"/>
                <w:sz w:val="24"/>
                <w:szCs w:val="24"/>
                <w:lang w:val="en-US" w:eastAsia="zh-CN"/>
              </w:rPr>
              <w:t>和填埋污染</w:t>
            </w:r>
            <w:r>
              <w:rPr>
                <w:rFonts w:hint="default" w:ascii="Times New Roman" w:hAnsi="Times New Roman" w:cs="Times New Roman"/>
                <w:color w:val="auto"/>
                <w:sz w:val="24"/>
                <w:szCs w:val="24"/>
              </w:rPr>
              <w:t>控制标准》（GB 18599-20</w:t>
            </w:r>
            <w:r>
              <w:rPr>
                <w:rFonts w:hint="eastAsia"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w:t>
            </w:r>
          </w:p>
          <w:p w14:paraId="424520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项目产生的废机油按照《危险废物储存污染控制标准》（GB 18597-2001）及《2013 年修改单（环境保护部公告 2013 年第 36 号）》相关规定储存处置。</w:t>
            </w:r>
          </w:p>
          <w:p w14:paraId="32DE747D">
            <w:pPr>
              <w:pStyle w:val="2"/>
              <w:keepNext w:val="0"/>
              <w:keepLines w:val="0"/>
              <w:suppressLineNumbers w:val="0"/>
              <w:spacing w:before="0" w:beforeAutospacing="0" w:after="0" w:afterAutospacing="0"/>
              <w:ind w:left="0" w:right="0"/>
              <w:rPr>
                <w:rFonts w:hint="default" w:eastAsia="宋体" w:cs="Times New Roman"/>
                <w:color w:val="auto"/>
                <w:lang w:val="en-US" w:eastAsia="zh-CN"/>
              </w:rPr>
            </w:pPr>
          </w:p>
        </w:tc>
      </w:tr>
      <w:tr w14:paraId="0C1B84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89" w:hRule="atLeast"/>
        </w:trPr>
        <w:tc>
          <w:tcPr>
            <w:tcW w:w="437" w:type="dxa"/>
            <w:tcBorders>
              <w:top w:val="single" w:color="auto" w:sz="4" w:space="0"/>
              <w:left w:val="single" w:color="auto" w:sz="8" w:space="0"/>
              <w:bottom w:val="single" w:color="auto" w:sz="8" w:space="0"/>
              <w:right w:val="single" w:color="auto" w:sz="4" w:space="0"/>
            </w:tcBorders>
            <w:noWrap w:val="0"/>
            <w:vAlign w:val="center"/>
          </w:tcPr>
          <w:p w14:paraId="3B43680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其他</w:t>
            </w:r>
          </w:p>
        </w:tc>
        <w:tc>
          <w:tcPr>
            <w:tcW w:w="8497" w:type="dxa"/>
            <w:tcBorders>
              <w:top w:val="single" w:color="auto" w:sz="4" w:space="0"/>
              <w:left w:val="single" w:color="auto" w:sz="4" w:space="0"/>
              <w:bottom w:val="single" w:color="auto" w:sz="8" w:space="0"/>
              <w:right w:val="single" w:color="auto" w:sz="8" w:space="0"/>
            </w:tcBorders>
            <w:noWrap w:val="0"/>
            <w:vAlign w:val="top"/>
          </w:tcPr>
          <w:p w14:paraId="71FE73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根据本项目的排污特征，结合国家污染物排放总量控制原则，本项目不涉及总量控制指标。</w:t>
            </w:r>
          </w:p>
          <w:p w14:paraId="17E38D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 w:val="24"/>
                <w:szCs w:val="24"/>
                <w:highlight w:val="none"/>
                <w:lang w:val="en-US" w:eastAsia="zh-CN" w:bidi="ar-SA"/>
              </w:rPr>
              <w:t xml:space="preserve">  </w:t>
            </w:r>
          </w:p>
        </w:tc>
      </w:tr>
    </w:tbl>
    <w:p w14:paraId="5AD35066">
      <w:pPr>
        <w:pStyle w:val="26"/>
        <w:keepNext w:val="0"/>
        <w:keepLines w:val="0"/>
        <w:pageBreakBefore w:val="0"/>
        <w:widowControl/>
        <w:kinsoku/>
        <w:wordWrap/>
        <w:overflowPunct/>
        <w:topLinePunct w:val="0"/>
        <w:autoSpaceDE/>
        <w:autoSpaceDN/>
        <w:bidi w:val="0"/>
        <w:adjustRightInd/>
        <w:snapToGrid/>
        <w:jc w:val="center"/>
        <w:textAlignment w:val="auto"/>
        <w:outlineLvl w:val="0"/>
        <w:rPr>
          <w:rFonts w:hint="eastAsia" w:ascii="黑体" w:hAnsi="黑体" w:eastAsia="黑体"/>
          <w:color w:val="auto"/>
          <w:sz w:val="30"/>
          <w:szCs w:val="30"/>
          <w:highlight w:val="none"/>
        </w:rPr>
      </w:pPr>
      <w:bookmarkStart w:id="39" w:name="_Toc2679"/>
      <w:r>
        <w:rPr>
          <w:rFonts w:hint="eastAsia" w:ascii="黑体" w:hAnsi="黑体" w:eastAsia="黑体"/>
          <w:snapToGrid w:val="0"/>
          <w:color w:val="auto"/>
          <w:sz w:val="30"/>
          <w:szCs w:val="30"/>
          <w:highlight w:val="none"/>
        </w:rPr>
        <w:t>四、</w:t>
      </w:r>
      <w:r>
        <w:rPr>
          <w:rFonts w:hint="eastAsia" w:ascii="黑体" w:hAnsi="黑体" w:eastAsia="黑体"/>
          <w:color w:val="auto"/>
          <w:sz w:val="30"/>
          <w:szCs w:val="30"/>
          <w:highlight w:val="none"/>
        </w:rPr>
        <w:t>生态环境影响分析</w:t>
      </w:r>
      <w:bookmarkEnd w:id="39"/>
    </w:p>
    <w:tbl>
      <w:tblPr>
        <w:tblStyle w:val="31"/>
        <w:tblW w:w="8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213"/>
      </w:tblGrid>
      <w:tr w14:paraId="5DCE63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161" w:hRule="atLeast"/>
          <w:jc w:val="center"/>
        </w:trPr>
        <w:tc>
          <w:tcPr>
            <w:tcW w:w="426" w:type="dxa"/>
            <w:tcBorders>
              <w:top w:val="single" w:color="auto" w:sz="8" w:space="0"/>
              <w:left w:val="single" w:color="auto" w:sz="8" w:space="0"/>
              <w:bottom w:val="single" w:color="auto" w:sz="4" w:space="0"/>
              <w:right w:val="single" w:color="auto" w:sz="4" w:space="0"/>
            </w:tcBorders>
            <w:noWrap w:val="0"/>
            <w:tcMar>
              <w:top w:w="0" w:type="dxa"/>
              <w:left w:w="28" w:type="dxa"/>
              <w:bottom w:w="0" w:type="dxa"/>
              <w:right w:w="28" w:type="dxa"/>
            </w:tcMar>
            <w:vAlign w:val="center"/>
          </w:tcPr>
          <w:p w14:paraId="0220C891">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2"/>
                <w:sz w:val="21"/>
                <w:szCs w:val="21"/>
                <w:highlight w:val="none"/>
              </w:rPr>
            </w:pPr>
            <w:bookmarkStart w:id="40" w:name="_Hlk49796138"/>
            <w:r>
              <w:rPr>
                <w:rFonts w:hint="eastAsia" w:ascii="Times New Roman" w:hAnsi="Times New Roman" w:eastAsia="宋体" w:cs="Times New Roman"/>
                <w:b/>
                <w:color w:val="auto"/>
                <w:spacing w:val="10"/>
                <w:kern w:val="2"/>
                <w:sz w:val="21"/>
                <w:szCs w:val="21"/>
                <w:highlight w:val="none"/>
              </w:rPr>
              <w:t>施工期生态环境影响分析</w:t>
            </w:r>
            <w:bookmarkEnd w:id="40"/>
          </w:p>
        </w:tc>
        <w:tc>
          <w:tcPr>
            <w:tcW w:w="8213" w:type="dxa"/>
            <w:tcBorders>
              <w:top w:val="single" w:color="auto" w:sz="8" w:space="0"/>
              <w:left w:val="single" w:color="auto" w:sz="4" w:space="0"/>
              <w:bottom w:val="single" w:color="auto" w:sz="4" w:space="0"/>
              <w:right w:val="single" w:color="auto" w:sz="8" w:space="0"/>
            </w:tcBorders>
            <w:noWrap w:val="0"/>
            <w:vAlign w:val="center"/>
          </w:tcPr>
          <w:p w14:paraId="619B70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本项目为探矿工程，其施工期与运营期几乎同步进行，故生态环境影响基本一致，本次评价重点对运营期生态环境影响进行分析。</w:t>
            </w:r>
          </w:p>
          <w:p w14:paraId="02B3E9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rFonts w:hint="default" w:ascii="Times New Roman" w:hAnsi="Times New Roman" w:eastAsia="宋体" w:cs="Times New Roman"/>
                <w:color w:val="auto"/>
                <w:highlight w:val="none"/>
                <w:lang w:val="en-US"/>
              </w:rPr>
            </w:pPr>
          </w:p>
        </w:tc>
      </w:tr>
      <w:tr w14:paraId="0F760D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tcBorders>
              <w:top w:val="single" w:color="auto" w:sz="4" w:space="0"/>
              <w:left w:val="single" w:color="auto" w:sz="8" w:space="0"/>
              <w:bottom w:val="single" w:color="auto" w:sz="4" w:space="0"/>
              <w:right w:val="single" w:color="auto" w:sz="4" w:space="0"/>
            </w:tcBorders>
            <w:noWrap w:val="0"/>
            <w:tcMar>
              <w:top w:w="0" w:type="dxa"/>
              <w:left w:w="28" w:type="dxa"/>
              <w:bottom w:w="0" w:type="dxa"/>
              <w:right w:w="28" w:type="dxa"/>
            </w:tcMar>
            <w:vAlign w:val="center"/>
          </w:tcPr>
          <w:p w14:paraId="50DADBF1">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2"/>
                <w:sz w:val="21"/>
                <w:szCs w:val="21"/>
                <w:highlight w:val="none"/>
              </w:rPr>
            </w:pPr>
            <w:r>
              <w:rPr>
                <w:rFonts w:hint="eastAsia" w:ascii="Times New Roman" w:hAnsi="Times New Roman" w:eastAsia="宋体" w:cs="Times New Roman"/>
                <w:b/>
                <w:color w:val="auto"/>
                <w:spacing w:val="10"/>
                <w:kern w:val="2"/>
                <w:sz w:val="21"/>
                <w:szCs w:val="21"/>
                <w:highlight w:val="none"/>
              </w:rPr>
              <w:t>运营期生态环境影响分析</w:t>
            </w:r>
          </w:p>
        </w:tc>
        <w:tc>
          <w:tcPr>
            <w:tcW w:w="8213" w:type="dxa"/>
            <w:tcBorders>
              <w:top w:val="single" w:color="auto" w:sz="4" w:space="0"/>
              <w:left w:val="single" w:color="auto" w:sz="4" w:space="0"/>
              <w:bottom w:val="single" w:color="auto" w:sz="4" w:space="0"/>
              <w:right w:val="single" w:color="auto" w:sz="8" w:space="0"/>
            </w:tcBorders>
            <w:noWrap w:val="0"/>
            <w:vAlign w:val="top"/>
          </w:tcPr>
          <w:p w14:paraId="79992687">
            <w:pPr>
              <w:pStyle w:val="2"/>
              <w:keepNext w:val="0"/>
              <w:keepLines w:val="0"/>
              <w:suppressLineNumbers w:val="0"/>
              <w:autoSpaceDE w:val="0"/>
              <w:spacing w:before="0" w:beforeAutospacing="0" w:after="0" w:afterAutospacing="0"/>
              <w:ind w:left="0" w:right="0"/>
              <w:outlineLvl w:val="2"/>
              <w:rPr>
                <w:rFonts w:hint="eastAsia" w:ascii="Times New Roman" w:hAnsi="Times New Roman" w:eastAsia="宋体" w:cs="Times New Roman"/>
                <w:b/>
                <w:bCs/>
                <w:color w:val="auto"/>
                <w:sz w:val="24"/>
                <w:szCs w:val="24"/>
                <w:highlight w:val="none"/>
              </w:rPr>
            </w:pPr>
            <w:bookmarkStart w:id="41" w:name="_Toc6928"/>
            <w:r>
              <w:rPr>
                <w:rFonts w:hint="eastAsia" w:ascii="Times New Roman" w:hAnsi="Times New Roman" w:eastAsia="宋体"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rPr>
              <w:t>运营期主要产污环节</w:t>
            </w:r>
          </w:p>
          <w:bookmarkEnd w:id="41"/>
          <w:p w14:paraId="261DBB3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 xml:space="preserve">本次详查计划开展 </w:t>
            </w:r>
            <w:r>
              <w:rPr>
                <w:rFonts w:hint="eastAsia" w:ascii="Times New Roman" w:hAnsi="Times New Roman" w:cs="Times New Roman"/>
                <w:color w:val="auto"/>
                <w:kern w:val="0"/>
                <w:sz w:val="24"/>
                <w:lang w:val="en-US" w:eastAsia="zh-CN" w:bidi="ar"/>
              </w:rPr>
              <w:t>13110</w:t>
            </w:r>
            <w:r>
              <w:rPr>
                <w:rFonts w:hint="default" w:ascii="Times New Roman" w:hAnsi="Times New Roman" w:cs="Times New Roman"/>
                <w:color w:val="auto"/>
                <w:kern w:val="0"/>
                <w:sz w:val="24"/>
                <w:lang w:bidi="ar"/>
              </w:rPr>
              <w:t>m 的钻探工程，</w:t>
            </w:r>
            <w:r>
              <w:rPr>
                <w:rFonts w:hint="eastAsia" w:ascii="Times New Roman" w:hAnsi="Times New Roman" w:cs="Times New Roman"/>
                <w:color w:val="auto"/>
                <w:kern w:val="0"/>
                <w:sz w:val="24"/>
                <w:lang w:val="en-US" w:eastAsia="zh-CN" w:bidi="ar"/>
              </w:rPr>
              <w:t>布设41个钻孔，</w:t>
            </w:r>
            <w:r>
              <w:rPr>
                <w:rFonts w:hint="default" w:ascii="Times New Roman" w:hAnsi="Times New Roman" w:cs="Times New Roman"/>
                <w:color w:val="auto"/>
                <w:sz w:val="24"/>
              </w:rPr>
              <w:t>重点对</w:t>
            </w:r>
            <w:r>
              <w:rPr>
                <w:rFonts w:hint="eastAsia" w:ascii="Times New Roman" w:hAnsi="Times New Roman" w:cs="Times New Roman"/>
                <w:color w:val="auto"/>
                <w:sz w:val="24"/>
              </w:rPr>
              <w:t>麦窝坝矿段</w:t>
            </w:r>
            <w:r>
              <w:rPr>
                <w:rFonts w:hint="default" w:ascii="Times New Roman" w:hAnsi="Times New Roman" w:eastAsia="宋体" w:cs="Times New Roman"/>
                <w:color w:val="auto"/>
                <w:sz w:val="24"/>
                <w:lang w:eastAsia="zh-CN"/>
              </w:rPr>
              <w:t>Ⅶ</w:t>
            </w:r>
            <w:r>
              <w:rPr>
                <w:rFonts w:hint="default" w:ascii="Times New Roman" w:hAnsi="Times New Roman" w:eastAsia="宋体" w:cs="Times New Roman"/>
                <w:color w:val="auto"/>
                <w:sz w:val="24"/>
              </w:rPr>
              <w:t>矿</w:t>
            </w:r>
            <w:r>
              <w:rPr>
                <w:rFonts w:hint="eastAsia" w:ascii="Times New Roman" w:hAnsi="Times New Roman" w:cs="Times New Roman"/>
                <w:color w:val="auto"/>
                <w:sz w:val="24"/>
              </w:rPr>
              <w:t>体2</w:t>
            </w:r>
            <w:r>
              <w:rPr>
                <w:rFonts w:hint="default" w:ascii="Times New Roman" w:hAnsi="Times New Roman" w:cs="Times New Roman"/>
                <w:color w:val="auto"/>
                <w:sz w:val="24"/>
              </w:rPr>
              <w:t>2</w:t>
            </w:r>
            <w:r>
              <w:rPr>
                <w:rFonts w:hint="eastAsia" w:ascii="Times New Roman" w:hAnsi="Times New Roman" w:cs="Times New Roman"/>
                <w:color w:val="auto"/>
                <w:sz w:val="24"/>
              </w:rPr>
              <w:t>线以南</w:t>
            </w:r>
            <w:r>
              <w:rPr>
                <w:rFonts w:hint="default" w:ascii="Times New Roman" w:hAnsi="Times New Roman" w:cs="Times New Roman"/>
                <w:color w:val="auto"/>
                <w:sz w:val="24"/>
              </w:rPr>
              <w:t>带布置探矿工程进行揭露，基本查明矿体（层）的赋存部位、矿体规模、形态、产状、品位、厚度变化及与主元素矿产之关系。</w:t>
            </w:r>
            <w:r>
              <w:rPr>
                <w:rFonts w:hint="default" w:ascii="Times New Roman" w:hAnsi="Times New Roman" w:cs="Times New Roman"/>
                <w:color w:val="auto"/>
                <w:kern w:val="0"/>
                <w:sz w:val="24"/>
                <w:lang w:bidi="ar"/>
              </w:rPr>
              <w:t>主要工艺流程及产污情况见图</w:t>
            </w:r>
            <w:r>
              <w:rPr>
                <w:rFonts w:hint="eastAsia" w:ascii="Times New Roman" w:hAnsi="Times New Roman" w:cs="Times New Roman"/>
                <w:color w:val="auto"/>
                <w:kern w:val="0"/>
                <w:sz w:val="24"/>
                <w:lang w:val="en-US" w:eastAsia="zh-CN" w:bidi="ar"/>
              </w:rPr>
              <w:t>4</w:t>
            </w:r>
            <w:r>
              <w:rPr>
                <w:rFonts w:hint="default" w:ascii="Times New Roman" w:hAnsi="Times New Roman" w:cs="Times New Roman"/>
                <w:color w:val="auto"/>
                <w:kern w:val="0"/>
                <w:sz w:val="24"/>
                <w:lang w:bidi="ar"/>
              </w:rPr>
              <w:t>-1。</w:t>
            </w:r>
          </w:p>
          <w:p w14:paraId="767D50F1">
            <w:pPr>
              <w:pStyle w:val="2"/>
              <w:keepNext w:val="0"/>
              <w:keepLines w:val="0"/>
              <w:suppressLineNumbers w:val="0"/>
              <w:spacing w:before="0" w:beforeAutospacing="0" w:after="0" w:afterAutospacing="0"/>
              <w:ind w:left="0" w:right="0"/>
              <w:rPr>
                <w:rFonts w:hint="eastAsia" w:hAnsi="宋体" w:cs="宋体"/>
                <w:color w:val="auto"/>
                <w:kern w:val="0"/>
                <w:sz w:val="24"/>
                <w:szCs w:val="24"/>
                <w:lang w:bidi="ar"/>
              </w:rPr>
            </w:pPr>
            <w:r>
              <w:rPr>
                <w:rFonts w:hint="eastAsia" w:ascii="Times New Roman" w:hAnsi="Times New Roman" w:eastAsia="宋体" w:cs="Times New Roman"/>
                <w:color w:val="auto"/>
                <w:kern w:val="0"/>
                <w:sz w:val="24"/>
                <w:lang w:eastAsia="zh-CN" w:bidi="ar"/>
              </w:rPr>
              <w:drawing>
                <wp:inline distT="0" distB="0" distL="114300" distR="114300">
                  <wp:extent cx="4972050" cy="2172335"/>
                  <wp:effectExtent l="0" t="0" r="0" b="18415"/>
                  <wp:docPr id="38" name="图片 50" descr="1648365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0" descr="1648365502(1)"/>
                          <pic:cNvPicPr>
                            <a:picLocks noChangeAspect="1"/>
                          </pic:cNvPicPr>
                        </pic:nvPicPr>
                        <pic:blipFill>
                          <a:blip r:embed="rId7"/>
                          <a:stretch>
                            <a:fillRect/>
                          </a:stretch>
                        </pic:blipFill>
                        <pic:spPr>
                          <a:xfrm>
                            <a:off x="0" y="0"/>
                            <a:ext cx="4972050" cy="2172335"/>
                          </a:xfrm>
                          <a:prstGeom prst="rect">
                            <a:avLst/>
                          </a:prstGeom>
                          <a:noFill/>
                          <a:ln>
                            <a:noFill/>
                          </a:ln>
                        </pic:spPr>
                      </pic:pic>
                    </a:graphicData>
                  </a:graphic>
                </wp:inline>
              </w:drawing>
            </w:r>
          </w:p>
          <w:p w14:paraId="13CF45C5">
            <w:pPr>
              <w:pStyle w:val="2"/>
              <w:keepNext w:val="0"/>
              <w:keepLines w:val="0"/>
              <w:suppressLineNumbers w:val="0"/>
              <w:spacing w:before="0" w:beforeAutospacing="0" w:after="0" w:afterAutospacing="0"/>
              <w:ind w:left="0" w:right="0"/>
              <w:rPr>
                <w:rFonts w:hint="eastAsia" w:hAnsi="宋体" w:cs="宋体"/>
                <w:color w:val="auto"/>
                <w:kern w:val="0"/>
                <w:sz w:val="24"/>
                <w:szCs w:val="24"/>
                <w:lang w:bidi="ar"/>
              </w:rPr>
            </w:pPr>
          </w:p>
          <w:p w14:paraId="760D45BE">
            <w:pPr>
              <w:pStyle w:val="2"/>
              <w:keepNext w:val="0"/>
              <w:keepLines w:val="0"/>
              <w:suppressLineNumbers w:val="0"/>
              <w:spacing w:before="0" w:beforeAutospacing="0" w:after="0" w:afterAutospacing="0"/>
              <w:ind w:left="0" w:right="0"/>
              <w:jc w:val="center"/>
              <w:rPr>
                <w:rFonts w:hint="eastAsia" w:cs="Times New Roman"/>
                <w:color w:val="auto"/>
              </w:rPr>
            </w:pPr>
            <w:r>
              <w:rPr>
                <w:rFonts w:hint="eastAsia" w:hAnsi="宋体" w:cs="宋体"/>
                <w:b/>
                <w:bCs/>
                <w:color w:val="auto"/>
                <w:kern w:val="0"/>
                <w:sz w:val="24"/>
                <w:szCs w:val="24"/>
                <w:lang w:bidi="ar"/>
              </w:rPr>
              <w:t>图</w:t>
            </w:r>
            <w:r>
              <w:rPr>
                <w:rFonts w:hint="eastAsia" w:hAnsi="宋体" w:cs="宋体"/>
                <w:b/>
                <w:bCs/>
                <w:color w:val="auto"/>
                <w:kern w:val="0"/>
                <w:sz w:val="24"/>
                <w:szCs w:val="24"/>
                <w:lang w:val="en-US" w:eastAsia="zh-CN" w:bidi="ar"/>
              </w:rPr>
              <w:t>4</w:t>
            </w:r>
            <w:r>
              <w:rPr>
                <w:rFonts w:hint="eastAsia" w:hAnsi="宋体" w:cs="宋体"/>
                <w:b/>
                <w:bCs/>
                <w:color w:val="auto"/>
                <w:kern w:val="0"/>
                <w:sz w:val="24"/>
                <w:szCs w:val="24"/>
                <w:lang w:bidi="ar"/>
              </w:rPr>
              <w:t>-</w:t>
            </w:r>
            <w:r>
              <w:rPr>
                <w:rFonts w:hint="eastAsia" w:hAnsi="宋体" w:cs="宋体"/>
                <w:b/>
                <w:bCs/>
                <w:color w:val="auto"/>
                <w:kern w:val="0"/>
                <w:sz w:val="24"/>
                <w:szCs w:val="24"/>
                <w:lang w:val="en-US" w:eastAsia="zh-CN" w:bidi="ar"/>
              </w:rPr>
              <w:t>1</w:t>
            </w:r>
            <w:r>
              <w:rPr>
                <w:rFonts w:hint="eastAsia" w:hAnsi="宋体" w:cs="宋体"/>
                <w:b/>
                <w:bCs/>
                <w:color w:val="auto"/>
                <w:kern w:val="0"/>
                <w:sz w:val="24"/>
                <w:szCs w:val="24"/>
                <w:lang w:bidi="ar"/>
              </w:rPr>
              <w:t xml:space="preserve"> 钻探工程工艺流程和产污节点示意图</w:t>
            </w:r>
          </w:p>
          <w:p w14:paraId="16763F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 xml:space="preserve">工艺流程简述如下： </w:t>
            </w:r>
          </w:p>
          <w:p w14:paraId="131A5C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479" w:leftChars="228" w:right="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（1）工程人员及设备进驻：勘探工程人员及工程设备进入勘探实施区域。（2）确定钻孔：利用定位仪找出设计布置图中的钻孔位置，进行定位。</w:t>
            </w:r>
          </w:p>
          <w:p w14:paraId="165597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 xml:space="preserve">（3）施工便道及钻探设备支护场地平整：采用人工方式修建临时施工便道进入设计钻孔点，对确定钻孔点处进行场地平整及钻探设备支护施工，为钻孔施工做准备。 </w:t>
            </w:r>
          </w:p>
          <w:p w14:paraId="5CD041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钻孔取样：地表钻孔位置确定后，使用钻机等机械设备进行钻孔取样。钻孔时，根据所钻岩的性质和钻头直径、类型的不同，使钻机以不同的转速，切入岩石，形成岩芯，随着钻孔的加采，岩心进入岩芯管；钻头钻进岩石时，产生大量的热量，为了冷却钻头，净化孔底岩粉，并将岩粉排到地表，需要不断冲洗钻孔，岩粉从孔底沿着钻孔送至地表，排入沉淀池中；在钻孔过程会使用专用钻孔材料进行护臂及堵漏，保证钻探工作顺利进行。</w:t>
            </w:r>
          </w:p>
          <w:p w14:paraId="57B505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取样、回收岩芯：钻进过程，当岩芯管充满岩心或着因为某种原因不能继续钻进时，应着手提钻，将钻具提出钻孔。岩心钻具提到地面后，卸下钻头，并小心谨慎地从岩芯管中取出岩心，配好钻具，再下入孔内，继续钻进。以此类推，至钻孔达到设计的孔深，所有的岩心都要劈开，编录过程中矿化蚀变高的地方进行取样化验；</w:t>
            </w:r>
          </w:p>
          <w:p w14:paraId="0B6F18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 xml:space="preserve">（6）标记岩心：探得到的岩芯，用油漆标记好后，顺序放入岩芯栈盘。 </w:t>
            </w:r>
          </w:p>
          <w:p w14:paraId="020A4A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 xml:space="preserve">（7）封孔：项目探矿完成后，对钻孔使用水泥浆进行逐个封堵，并覆土进行植被恢复。 </w:t>
            </w:r>
          </w:p>
          <w:p w14:paraId="1F6851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 xml:space="preserve">封孔要求： </w:t>
            </w:r>
          </w:p>
          <w:p w14:paraId="157F8F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 xml:space="preserve">封孔工作是根据矿床的地质条件及水文地质的复杂程度而定。一般应根据水文地质工作的要求编制封孔设计，并经过矿区水文地质人员和技术负责人同意才能实施。位于当地侵蚀基准面以下钻孔，其钻孔单位涌水量小于 </w:t>
            </w:r>
            <w:r>
              <w:rPr>
                <w:rFonts w:hint="default" w:ascii="Times New Roman" w:hAnsi="Times New Roman" w:eastAsia="宋体" w:cs="Times New Roman"/>
                <w:color w:val="auto"/>
                <w:sz w:val="24"/>
                <w:szCs w:val="24"/>
                <w:highlight w:val="none"/>
                <w:lang w:val="en-US" w:eastAsia="zh-CN"/>
              </w:rPr>
              <w:t xml:space="preserve">0.1 </w:t>
            </w:r>
            <w:r>
              <w:rPr>
                <w:rFonts w:hint="eastAsia" w:ascii="Times New Roman" w:hAnsi="Times New Roman" w:eastAsia="宋体" w:cs="Times New Roman"/>
                <w:color w:val="auto"/>
                <w:sz w:val="24"/>
                <w:szCs w:val="24"/>
                <w:highlight w:val="none"/>
                <w:lang w:val="en-US" w:eastAsia="zh-CN"/>
              </w:rPr>
              <w:t>升</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秒米时，进行简易封孔，即用粘土将矿层上盘（或顶板）</w:t>
            </w:r>
            <w:r>
              <w:rPr>
                <w:rFonts w:hint="default" w:ascii="Times New Roman" w:hAnsi="Times New Roman" w:eastAsia="宋体" w:cs="Times New Roman"/>
                <w:color w:val="auto"/>
                <w:sz w:val="24"/>
                <w:szCs w:val="24"/>
                <w:highlight w:val="none"/>
                <w:lang w:val="en-US" w:eastAsia="zh-CN"/>
              </w:rPr>
              <w:t xml:space="preserve">10 </w:t>
            </w:r>
            <w:r>
              <w:rPr>
                <w:rFonts w:hint="eastAsia" w:ascii="Times New Roman" w:hAnsi="Times New Roman" w:eastAsia="宋体" w:cs="Times New Roman"/>
                <w:color w:val="auto"/>
                <w:sz w:val="24"/>
                <w:szCs w:val="24"/>
                <w:highlight w:val="none"/>
                <w:lang w:val="en-US" w:eastAsia="zh-CN"/>
              </w:rPr>
              <w:t xml:space="preserve">米以内的地段堵塞，并捣实以防止渗水充入未来的生产巷道。 </w:t>
            </w:r>
          </w:p>
          <w:p w14:paraId="4D323A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封孔之后由地质、水文地质人员进行封孔质量检查，合格后填写钻孔封孔报告，予以验收，作为钻孔质量验收依据之一。对矿区水文情况复杂的钻孔，应有实际抽查，抽查孔数不小于封孔数</w:t>
            </w:r>
            <w:r>
              <w:rPr>
                <w:rFonts w:hint="default"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 xml:space="preserve">左右，并作抽查记录。封与不封的钻孔均应作标记。在孔口做水泥平台，孔口位于平台中部，用木桩或铁钉作标记。平台上应写明钻孔编号、开竣工日期、孔深、施工单位等。 </w:t>
            </w:r>
          </w:p>
          <w:p w14:paraId="27C828AC">
            <w:pPr>
              <w:keepNext w:val="0"/>
              <w:keepLines w:val="0"/>
              <w:pageBreakBefore w:val="0"/>
              <w:widowControl w:val="0"/>
              <w:suppressLineNumbers w:val="0"/>
              <w:kinsoku/>
              <w:wordWrap/>
              <w:overflowPunct/>
              <w:topLinePunct w:val="0"/>
              <w:autoSpaceDE w:val="0"/>
              <w:autoSpaceDN/>
              <w:bidi w:val="0"/>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2、运营期</w:t>
            </w:r>
            <w:r>
              <w:rPr>
                <w:rFonts w:hint="eastAsia" w:ascii="Times New Roman" w:hAnsi="Times New Roman" w:eastAsia="宋体" w:cs="Times New Roman"/>
                <w:b/>
                <w:bCs/>
                <w:color w:val="auto"/>
                <w:sz w:val="24"/>
                <w:szCs w:val="24"/>
                <w:highlight w:val="none"/>
              </w:rPr>
              <w:t>项目污染物产</w:t>
            </w:r>
            <w:r>
              <w:rPr>
                <w:rFonts w:hint="eastAsia" w:ascii="Times New Roman" w:hAnsi="Times New Roman" w:eastAsia="宋体" w:cs="Times New Roman"/>
                <w:b/>
                <w:bCs/>
                <w:color w:val="auto"/>
                <w:sz w:val="24"/>
                <w:szCs w:val="24"/>
                <w:highlight w:val="none"/>
                <w:lang w:val="en-US" w:eastAsia="zh-CN"/>
              </w:rPr>
              <w:t>排情况</w:t>
            </w:r>
            <w:r>
              <w:rPr>
                <w:rFonts w:hint="eastAsia" w:ascii="Times New Roman" w:hAnsi="Times New Roman" w:eastAsia="宋体" w:cs="Times New Roman"/>
                <w:b/>
                <w:bCs/>
                <w:color w:val="auto"/>
                <w:sz w:val="24"/>
                <w:szCs w:val="24"/>
                <w:highlight w:val="none"/>
              </w:rPr>
              <w:t>及</w:t>
            </w:r>
            <w:r>
              <w:rPr>
                <w:rFonts w:hint="eastAsia" w:ascii="Times New Roman" w:hAnsi="Times New Roman" w:eastAsia="宋体" w:cs="Times New Roman"/>
                <w:b/>
                <w:bCs/>
                <w:color w:val="auto"/>
                <w:sz w:val="24"/>
                <w:szCs w:val="24"/>
                <w:highlight w:val="none"/>
                <w:lang w:val="en-US" w:eastAsia="zh-CN"/>
              </w:rPr>
              <w:t>影响分析</w:t>
            </w:r>
          </w:p>
          <w:p w14:paraId="207246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eastAsia" w:ascii="Times New Roman" w:hAnsi="Times New Roman" w:eastAsia="宋体" w:cs="Times New Roman"/>
                <w:color w:val="auto"/>
                <w:sz w:val="24"/>
                <w:szCs w:val="24"/>
                <w:highlight w:val="none"/>
              </w:rPr>
              <w:t>项目运营期污染物主要是</w:t>
            </w:r>
            <w:r>
              <w:rPr>
                <w:rFonts w:hint="eastAsia" w:ascii="Times New Roman" w:hAnsi="Times New Roman" w:eastAsia="宋体" w:cs="Times New Roman"/>
                <w:color w:val="auto"/>
                <w:sz w:val="24"/>
                <w:szCs w:val="24"/>
                <w:highlight w:val="none"/>
                <w:lang w:val="en-US" w:eastAsia="zh-CN"/>
              </w:rPr>
              <w:t>开挖扬尘、食堂油烟</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柴油发电机燃油废气、</w:t>
            </w:r>
            <w:r>
              <w:rPr>
                <w:rFonts w:hint="eastAsia" w:ascii="Times New Roman" w:hAnsi="Times New Roman" w:eastAsia="宋体" w:cs="Times New Roman"/>
                <w:color w:val="auto"/>
                <w:sz w:val="24"/>
                <w:szCs w:val="24"/>
                <w:highlight w:val="none"/>
              </w:rPr>
              <w:t>废水、噪声、生活垃圾</w:t>
            </w:r>
            <w:r>
              <w:rPr>
                <w:rFonts w:hint="eastAsia" w:ascii="Times New Roman" w:hAnsi="Times New Roman" w:eastAsia="宋体" w:cs="Times New Roman"/>
                <w:color w:val="auto"/>
                <w:sz w:val="24"/>
                <w:szCs w:val="24"/>
                <w:highlight w:val="none"/>
                <w:lang w:val="en-US" w:eastAsia="zh-CN"/>
              </w:rPr>
              <w:t>和废包装材料</w:t>
            </w:r>
            <w:r>
              <w:rPr>
                <w:rFonts w:hint="eastAsia" w:ascii="Times New Roman" w:hAnsi="Times New Roman" w:eastAsia="宋体" w:cs="Times New Roman"/>
                <w:color w:val="auto"/>
                <w:sz w:val="24"/>
                <w:szCs w:val="24"/>
                <w:highlight w:val="none"/>
              </w:rPr>
              <w:t>等。</w:t>
            </w:r>
          </w:p>
          <w:p w14:paraId="7986D4E6">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val="en-US" w:eastAsia="zh-CN"/>
              </w:rPr>
              <w:t>2.1</w:t>
            </w:r>
            <w:r>
              <w:rPr>
                <w:rFonts w:hint="eastAsia" w:ascii="Times New Roman" w:hAnsi="Times New Roman" w:eastAsia="宋体" w:cs="Times New Roman"/>
                <w:b/>
                <w:bCs/>
                <w:color w:val="auto"/>
                <w:sz w:val="24"/>
                <w:szCs w:val="24"/>
                <w:highlight w:val="none"/>
                <w:lang w:eastAsia="zh-CN"/>
              </w:rPr>
              <w:t>废气</w:t>
            </w:r>
            <w:r>
              <w:rPr>
                <w:rFonts w:hint="eastAsia" w:ascii="Times New Roman" w:hAnsi="Times New Roman" w:eastAsia="宋体" w:cs="Times New Roman"/>
                <w:b/>
                <w:bCs/>
                <w:color w:val="auto"/>
                <w:sz w:val="24"/>
                <w:szCs w:val="24"/>
                <w:highlight w:val="none"/>
                <w:lang w:val="en-US" w:eastAsia="zh-CN"/>
              </w:rPr>
              <w:t>环境影响分析</w:t>
            </w:r>
          </w:p>
          <w:p w14:paraId="4A1D04C2">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（1）项目废气污染物产排情况</w:t>
            </w:r>
          </w:p>
          <w:p w14:paraId="634178CB">
            <w:pPr>
              <w:keepNext w:val="0"/>
              <w:keepLines w:val="0"/>
              <w:suppressLineNumbers w:val="0"/>
              <w:spacing w:before="0" w:beforeAutospacing="0" w:after="0" w:afterAutospacing="0" w:line="360" w:lineRule="auto"/>
              <w:ind w:left="0" w:right="0" w:firstLine="720" w:firstLineChars="300"/>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4"/>
                <w:szCs w:val="24"/>
                <w:lang w:val="en-US" w:eastAsia="zh-CN"/>
              </w:rPr>
              <w:t>项目废气产排情况详见下表</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1"/>
                <w:szCs w:val="21"/>
                <w:lang w:val="en-US" w:eastAsia="zh-CN"/>
              </w:rPr>
              <w:t xml:space="preserve"> </w:t>
            </w:r>
          </w:p>
          <w:p w14:paraId="1696EC08">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w:t>
            </w:r>
            <w:r>
              <w:rPr>
                <w:rFonts w:hint="eastAsia" w:ascii="Times New Roman" w:hAnsi="Times New Roman" w:eastAsia="宋体" w:cs="Times New Roman"/>
                <w:b/>
                <w:bCs/>
                <w:color w:val="auto"/>
                <w:sz w:val="24"/>
                <w:szCs w:val="24"/>
                <w:lang w:val="en-US" w:eastAsia="zh-CN"/>
              </w:rPr>
              <w:t>1项目废气产排情况一览表</w:t>
            </w:r>
          </w:p>
          <w:tbl>
            <w:tblPr>
              <w:tblStyle w:val="31"/>
              <w:tblW w:w="48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2"/>
              <w:gridCol w:w="512"/>
              <w:gridCol w:w="1038"/>
              <w:gridCol w:w="747"/>
              <w:gridCol w:w="590"/>
              <w:gridCol w:w="775"/>
              <w:gridCol w:w="421"/>
              <w:gridCol w:w="989"/>
              <w:gridCol w:w="640"/>
              <w:gridCol w:w="805"/>
              <w:gridCol w:w="840"/>
            </w:tblGrid>
            <w:tr w14:paraId="6E1A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289" w:type="pct"/>
                  <w:vMerge w:val="restart"/>
                  <w:noWrap w:val="0"/>
                  <w:vAlign w:val="center"/>
                </w:tcPr>
                <w:p w14:paraId="0192AA2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产排环节</w:t>
                  </w:r>
                </w:p>
              </w:tc>
              <w:tc>
                <w:tcPr>
                  <w:tcW w:w="327" w:type="pct"/>
                  <w:vMerge w:val="restart"/>
                  <w:noWrap w:val="0"/>
                  <w:vAlign w:val="center"/>
                </w:tcPr>
                <w:p w14:paraId="7650FF1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污染物种类</w:t>
                  </w:r>
                </w:p>
              </w:tc>
              <w:tc>
                <w:tcPr>
                  <w:tcW w:w="664" w:type="pct"/>
                  <w:vMerge w:val="restart"/>
                  <w:tcBorders>
                    <w:right w:val="single" w:color="auto" w:sz="4" w:space="0"/>
                  </w:tcBorders>
                  <w:noWrap w:val="0"/>
                  <w:vAlign w:val="center"/>
                </w:tcPr>
                <w:p w14:paraId="327686DD">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核算方法</w:t>
                  </w:r>
                </w:p>
                <w:p w14:paraId="366C75D3">
                  <w:pPr>
                    <w:pStyle w:val="10"/>
                    <w:keepNext w:val="0"/>
                    <w:keepLines w:val="0"/>
                    <w:suppressLineNumbers w:val="0"/>
                    <w:spacing w:beforeAutospacing="0" w:afterAutospacing="0" w:line="240" w:lineRule="auto"/>
                    <w:ind w:left="0"/>
                    <w:jc w:val="center"/>
                    <w:rPr>
                      <w:rFonts w:hint="default" w:ascii="Times New Roman" w:hAnsi="Times New Roman" w:cs="Times New Roman"/>
                      <w:color w:val="auto"/>
                      <w:sz w:val="21"/>
                      <w:szCs w:val="21"/>
                    </w:rPr>
                  </w:pPr>
                </w:p>
              </w:tc>
              <w:tc>
                <w:tcPr>
                  <w:tcW w:w="478" w:type="pct"/>
                  <w:vMerge w:val="restart"/>
                  <w:tcBorders>
                    <w:top w:val="single" w:color="auto" w:sz="4" w:space="0"/>
                    <w:left w:val="single" w:color="auto" w:sz="4" w:space="0"/>
                    <w:right w:val="single" w:color="auto" w:sz="4" w:space="0"/>
                  </w:tcBorders>
                  <w:noWrap w:val="0"/>
                  <w:vAlign w:val="center"/>
                </w:tcPr>
                <w:p w14:paraId="687FC6D8">
                  <w:pPr>
                    <w:pStyle w:val="10"/>
                    <w:keepNext w:val="0"/>
                    <w:keepLines w:val="0"/>
                    <w:suppressLineNumbers w:val="0"/>
                    <w:spacing w:beforeAutospacing="0" w:afterAutospacing="0" w:line="240" w:lineRule="auto"/>
                    <w:ind w:left="0"/>
                    <w:jc w:val="center"/>
                    <w:rPr>
                      <w:rFonts w:hint="default" w:ascii="Times New Roman" w:hAnsi="Times New Roman" w:cs="Times New Roman"/>
                      <w:color w:val="auto"/>
                      <w:sz w:val="21"/>
                      <w:szCs w:val="21"/>
                    </w:rPr>
                  </w:pPr>
                  <w:r>
                    <w:rPr>
                      <w:rFonts w:hint="eastAsia" w:ascii="Times New Roman" w:hAnsi="Times New Roman" w:eastAsia="宋体" w:cs="Times New Roman"/>
                      <w:b/>
                      <w:bCs/>
                      <w:color w:val="auto"/>
                      <w:sz w:val="21"/>
                      <w:szCs w:val="21"/>
                      <w:shd w:val="clear" w:color="auto" w:fill="auto"/>
                      <w:lang w:val="en-US" w:eastAsia="zh-CN"/>
                    </w:rPr>
                    <w:t>原料、产品产量</w:t>
                  </w:r>
                </w:p>
              </w:tc>
              <w:tc>
                <w:tcPr>
                  <w:tcW w:w="873" w:type="pct"/>
                  <w:gridSpan w:val="2"/>
                  <w:tcBorders>
                    <w:top w:val="single" w:color="auto" w:sz="4" w:space="0"/>
                    <w:left w:val="single" w:color="auto" w:sz="4" w:space="0"/>
                    <w:bottom w:val="single" w:color="auto" w:sz="4" w:space="0"/>
                    <w:right w:val="single" w:color="auto" w:sz="4" w:space="0"/>
                  </w:tcBorders>
                  <w:noWrap w:val="0"/>
                  <w:vAlign w:val="center"/>
                </w:tcPr>
                <w:p w14:paraId="1347478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污染物产生</w:t>
                  </w:r>
                </w:p>
              </w:tc>
              <w:tc>
                <w:tcPr>
                  <w:tcW w:w="269" w:type="pct"/>
                  <w:vMerge w:val="restart"/>
                  <w:tcBorders>
                    <w:top w:val="single" w:color="auto" w:sz="4" w:space="0"/>
                    <w:left w:val="single" w:color="auto" w:sz="4" w:space="0"/>
                    <w:right w:val="single" w:color="auto" w:sz="4" w:space="0"/>
                  </w:tcBorders>
                  <w:noWrap w:val="0"/>
                  <w:vAlign w:val="center"/>
                </w:tcPr>
                <w:p w14:paraId="4E6177A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排放类型</w:t>
                  </w:r>
                </w:p>
              </w:tc>
              <w:tc>
                <w:tcPr>
                  <w:tcW w:w="1043" w:type="pct"/>
                  <w:gridSpan w:val="2"/>
                  <w:tcBorders>
                    <w:left w:val="single" w:color="auto" w:sz="4" w:space="0"/>
                  </w:tcBorders>
                  <w:noWrap w:val="0"/>
                  <w:vAlign w:val="center"/>
                </w:tcPr>
                <w:p w14:paraId="305DC13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治理措施</w:t>
                  </w:r>
                </w:p>
              </w:tc>
              <w:tc>
                <w:tcPr>
                  <w:tcW w:w="1053" w:type="pct"/>
                  <w:gridSpan w:val="2"/>
                  <w:noWrap w:val="0"/>
                  <w:vAlign w:val="center"/>
                </w:tcPr>
                <w:p w14:paraId="45DEE63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w:t>
                  </w:r>
                </w:p>
              </w:tc>
            </w:tr>
            <w:tr w14:paraId="0C70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9" w:type="pct"/>
                  <w:vMerge w:val="continue"/>
                  <w:noWrap w:val="0"/>
                  <w:vAlign w:val="center"/>
                </w:tcPr>
                <w:p w14:paraId="485B531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327" w:type="pct"/>
                  <w:vMerge w:val="continue"/>
                  <w:noWrap w:val="0"/>
                  <w:vAlign w:val="center"/>
                </w:tcPr>
                <w:p w14:paraId="174B9B3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664" w:type="pct"/>
                  <w:vMerge w:val="continue"/>
                  <w:tcBorders>
                    <w:right w:val="single" w:color="auto" w:sz="4" w:space="0"/>
                  </w:tcBorders>
                  <w:noWrap w:val="0"/>
                  <w:vAlign w:val="center"/>
                </w:tcPr>
                <w:p w14:paraId="2D21BAB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478" w:type="pct"/>
                  <w:vMerge w:val="continue"/>
                  <w:tcBorders>
                    <w:left w:val="single" w:color="auto" w:sz="4" w:space="0"/>
                    <w:bottom w:val="single" w:color="auto" w:sz="4" w:space="0"/>
                    <w:right w:val="single" w:color="auto" w:sz="4" w:space="0"/>
                  </w:tcBorders>
                  <w:noWrap w:val="0"/>
                  <w:vAlign w:val="center"/>
                </w:tcPr>
                <w:p w14:paraId="36B3E13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377" w:type="pct"/>
                  <w:tcBorders>
                    <w:top w:val="single" w:color="auto" w:sz="4" w:space="0"/>
                    <w:left w:val="single" w:color="auto" w:sz="4" w:space="0"/>
                    <w:bottom w:val="single" w:color="auto" w:sz="4" w:space="0"/>
                    <w:right w:val="single" w:color="auto" w:sz="4" w:space="0"/>
                  </w:tcBorders>
                  <w:noWrap w:val="0"/>
                  <w:vAlign w:val="center"/>
                </w:tcPr>
                <w:p w14:paraId="732B75D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w:t>
                  </w:r>
                  <w:r>
                    <w:rPr>
                      <w:rFonts w:hint="default" w:ascii="Times New Roman" w:hAnsi="Times New Roman" w:eastAsia="宋体" w:cs="Times New Roman"/>
                      <w:b/>
                      <w:bCs/>
                      <w:color w:val="auto"/>
                      <w:sz w:val="21"/>
                      <w:szCs w:val="21"/>
                      <w:highlight w:val="none"/>
                    </w:rPr>
                    <w:t>m</w:t>
                  </w:r>
                  <w:r>
                    <w:rPr>
                      <w:rFonts w:hint="default" w:ascii="Times New Roman" w:hAnsi="Times New Roman" w:eastAsia="宋体" w:cs="Times New Roman"/>
                      <w:b/>
                      <w:bCs/>
                      <w:color w:val="auto"/>
                      <w:sz w:val="21"/>
                      <w:szCs w:val="21"/>
                      <w:highlight w:val="none"/>
                      <w:vertAlign w:val="superscript"/>
                    </w:rPr>
                    <w:t>3</w:t>
                  </w:r>
                </w:p>
              </w:tc>
              <w:tc>
                <w:tcPr>
                  <w:tcW w:w="496" w:type="pct"/>
                  <w:tcBorders>
                    <w:top w:val="single" w:color="auto" w:sz="4" w:space="0"/>
                    <w:left w:val="single" w:color="auto" w:sz="4" w:space="0"/>
                    <w:bottom w:val="single" w:color="auto" w:sz="4" w:space="0"/>
                    <w:right w:val="single" w:color="auto" w:sz="4" w:space="0"/>
                  </w:tcBorders>
                  <w:noWrap w:val="0"/>
                  <w:vAlign w:val="center"/>
                </w:tcPr>
                <w:p w14:paraId="0A5A39B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量（</w:t>
                  </w:r>
                  <w:r>
                    <w:rPr>
                      <w:rFonts w:hint="eastAsia" w:ascii="Times New Roman" w:hAnsi="Times New Roman" w:eastAsia="宋体" w:cs="Times New Roman"/>
                      <w:b/>
                      <w:bCs/>
                      <w:color w:val="auto"/>
                      <w:sz w:val="21"/>
                      <w:szCs w:val="21"/>
                      <w:lang w:val="en-US" w:eastAsia="zh-CN"/>
                    </w:rPr>
                    <w:t>t</w:t>
                  </w:r>
                  <w:r>
                    <w:rPr>
                      <w:rFonts w:hint="default" w:ascii="Times New Roman" w:hAnsi="Times New Roman" w:eastAsia="宋体" w:cs="Times New Roman"/>
                      <w:b/>
                      <w:bCs/>
                      <w:color w:val="auto"/>
                      <w:sz w:val="21"/>
                      <w:szCs w:val="21"/>
                    </w:rPr>
                    <w:t>）</w:t>
                  </w:r>
                </w:p>
              </w:tc>
              <w:tc>
                <w:tcPr>
                  <w:tcW w:w="269" w:type="pct"/>
                  <w:vMerge w:val="continue"/>
                  <w:tcBorders>
                    <w:left w:val="single" w:color="auto" w:sz="4" w:space="0"/>
                    <w:bottom w:val="single" w:color="auto" w:sz="4" w:space="0"/>
                    <w:right w:val="single" w:color="auto" w:sz="4" w:space="0"/>
                  </w:tcBorders>
                  <w:noWrap w:val="0"/>
                  <w:vAlign w:val="center"/>
                </w:tcPr>
                <w:p w14:paraId="7989D37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p>
              </w:tc>
              <w:tc>
                <w:tcPr>
                  <w:tcW w:w="633" w:type="pct"/>
                  <w:tcBorders>
                    <w:left w:val="single" w:color="auto" w:sz="4" w:space="0"/>
                  </w:tcBorders>
                  <w:noWrap w:val="0"/>
                  <w:vAlign w:val="center"/>
                </w:tcPr>
                <w:p w14:paraId="568892A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工艺</w:t>
                  </w:r>
                </w:p>
              </w:tc>
              <w:tc>
                <w:tcPr>
                  <w:tcW w:w="409" w:type="pct"/>
                  <w:noWrap w:val="0"/>
                  <w:vAlign w:val="center"/>
                </w:tcPr>
                <w:p w14:paraId="379C98A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效率（%）</w:t>
                  </w:r>
                </w:p>
              </w:tc>
              <w:tc>
                <w:tcPr>
                  <w:tcW w:w="515" w:type="pct"/>
                  <w:noWrap w:val="0"/>
                  <w:vAlign w:val="center"/>
                </w:tcPr>
                <w:p w14:paraId="67210C8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w:t>
                  </w:r>
                  <w:r>
                    <w:rPr>
                      <w:rFonts w:hint="default" w:ascii="Times New Roman" w:hAnsi="Times New Roman" w:eastAsia="宋体" w:cs="Times New Roman"/>
                      <w:b/>
                      <w:bCs/>
                      <w:color w:val="auto"/>
                      <w:sz w:val="21"/>
                      <w:szCs w:val="21"/>
                      <w:highlight w:val="none"/>
                    </w:rPr>
                    <w:t>m</w:t>
                  </w:r>
                  <w:r>
                    <w:rPr>
                      <w:rFonts w:hint="default" w:ascii="Times New Roman" w:hAnsi="Times New Roman" w:eastAsia="宋体" w:cs="Times New Roman"/>
                      <w:b/>
                      <w:bCs/>
                      <w:color w:val="auto"/>
                      <w:sz w:val="21"/>
                      <w:szCs w:val="21"/>
                      <w:highlight w:val="none"/>
                      <w:vertAlign w:val="superscript"/>
                    </w:rPr>
                    <w:t>3</w:t>
                  </w:r>
                </w:p>
              </w:tc>
              <w:tc>
                <w:tcPr>
                  <w:tcW w:w="537" w:type="pct"/>
                  <w:noWrap w:val="0"/>
                  <w:vAlign w:val="center"/>
                </w:tcPr>
                <w:p w14:paraId="40916BA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量（</w:t>
                  </w:r>
                  <w:r>
                    <w:rPr>
                      <w:rFonts w:hint="eastAsia" w:ascii="Times New Roman" w:hAnsi="Times New Roman" w:eastAsia="宋体" w:cs="Times New Roman"/>
                      <w:b/>
                      <w:bCs/>
                      <w:color w:val="auto"/>
                      <w:sz w:val="21"/>
                      <w:szCs w:val="21"/>
                      <w:lang w:val="en-US" w:eastAsia="zh-CN"/>
                    </w:rPr>
                    <w:t>t</w:t>
                  </w:r>
                  <w:r>
                    <w:rPr>
                      <w:rFonts w:hint="default" w:ascii="Times New Roman" w:hAnsi="Times New Roman" w:eastAsia="宋体" w:cs="Times New Roman"/>
                      <w:b/>
                      <w:bCs/>
                      <w:color w:val="auto"/>
                      <w:sz w:val="21"/>
                      <w:szCs w:val="21"/>
                    </w:rPr>
                    <w:t>）</w:t>
                  </w:r>
                </w:p>
              </w:tc>
            </w:tr>
            <w:tr w14:paraId="51155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5" w:hRule="atLeast"/>
                <w:jc w:val="center"/>
              </w:trPr>
              <w:tc>
                <w:tcPr>
                  <w:tcW w:w="289" w:type="pct"/>
                  <w:noWrap w:val="0"/>
                  <w:vAlign w:val="center"/>
                </w:tcPr>
                <w:p w14:paraId="53D55915">
                  <w:pPr>
                    <w:pStyle w:val="8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开挖过程</w:t>
                  </w:r>
                </w:p>
              </w:tc>
              <w:tc>
                <w:tcPr>
                  <w:tcW w:w="327" w:type="pct"/>
                  <w:noWrap w:val="0"/>
                  <w:vAlign w:val="center"/>
                </w:tcPr>
                <w:p w14:paraId="1ED48B36">
                  <w:pPr>
                    <w:pStyle w:val="8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扬尘</w:t>
                  </w:r>
                </w:p>
              </w:tc>
              <w:tc>
                <w:tcPr>
                  <w:tcW w:w="664" w:type="pct"/>
                  <w:noWrap w:val="0"/>
                  <w:vAlign w:val="center"/>
                </w:tcPr>
                <w:p w14:paraId="191EBBBB">
                  <w:pPr>
                    <w:pStyle w:val="8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78" w:type="pct"/>
                  <w:noWrap w:val="0"/>
                  <w:vAlign w:val="center"/>
                </w:tcPr>
                <w:p w14:paraId="661235EF">
                  <w:pPr>
                    <w:pStyle w:val="8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377" w:type="pct"/>
                  <w:noWrap w:val="0"/>
                  <w:vAlign w:val="center"/>
                </w:tcPr>
                <w:p w14:paraId="78233B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val="en-US" w:eastAsia="zh-CN"/>
                    </w:rPr>
                    <w:t>/</w:t>
                  </w:r>
                </w:p>
              </w:tc>
              <w:tc>
                <w:tcPr>
                  <w:tcW w:w="496" w:type="pct"/>
                  <w:noWrap w:val="0"/>
                  <w:vAlign w:val="center"/>
                </w:tcPr>
                <w:p w14:paraId="31151B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少量</w:t>
                  </w:r>
                </w:p>
              </w:tc>
              <w:tc>
                <w:tcPr>
                  <w:tcW w:w="269" w:type="pct"/>
                  <w:vMerge w:val="restart"/>
                  <w:noWrap w:val="0"/>
                  <w:vAlign w:val="center"/>
                </w:tcPr>
                <w:p w14:paraId="4E9711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33" w:type="pct"/>
                  <w:noWrap w:val="0"/>
                  <w:vAlign w:val="center"/>
                </w:tcPr>
                <w:p w14:paraId="4381CBE1">
                  <w:pPr>
                    <w:pStyle w:val="8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加强管理</w:t>
                  </w:r>
                </w:p>
                <w:p w14:paraId="2A17F20D">
                  <w:pPr>
                    <w:pStyle w:val="8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，洒水降尘，土工布遮盖废土石方，无组织粉尘</w:t>
                  </w:r>
                  <w:r>
                    <w:rPr>
                      <w:rFonts w:hint="default" w:ascii="Times New Roman" w:hAnsi="Times New Roman" w:eastAsia="宋体" w:cs="Times New Roman"/>
                      <w:color w:val="auto"/>
                      <w:sz w:val="21"/>
                      <w:szCs w:val="21"/>
                      <w:lang w:val="en-US" w:eastAsia="zh-CN"/>
                    </w:rPr>
                    <w:t>自然扩散</w:t>
                  </w:r>
                  <w:r>
                    <w:rPr>
                      <w:rFonts w:hint="eastAsia" w:ascii="Times New Roman" w:hAnsi="Times New Roman" w:eastAsia="宋体" w:cs="Times New Roman"/>
                      <w:color w:val="auto"/>
                      <w:sz w:val="21"/>
                      <w:szCs w:val="21"/>
                      <w:lang w:val="en-US" w:eastAsia="zh-CN"/>
                    </w:rPr>
                    <w:t>、山林树木吸附</w:t>
                  </w:r>
                </w:p>
              </w:tc>
              <w:tc>
                <w:tcPr>
                  <w:tcW w:w="409" w:type="pct"/>
                  <w:noWrap w:val="0"/>
                  <w:vAlign w:val="center"/>
                </w:tcPr>
                <w:p w14:paraId="0E3D4132">
                  <w:pPr>
                    <w:pStyle w:val="8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15" w:type="pct"/>
                  <w:noWrap w:val="0"/>
                  <w:vAlign w:val="center"/>
                </w:tcPr>
                <w:p w14:paraId="17E855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 w:val="0"/>
                      <w:bCs w:val="0"/>
                      <w:color w:val="auto"/>
                      <w:sz w:val="21"/>
                      <w:szCs w:val="21"/>
                      <w:lang w:val="en-US" w:eastAsia="zh-CN"/>
                    </w:rPr>
                    <w:t>/</w:t>
                  </w:r>
                </w:p>
              </w:tc>
              <w:tc>
                <w:tcPr>
                  <w:tcW w:w="537" w:type="pct"/>
                  <w:noWrap w:val="0"/>
                  <w:vAlign w:val="center"/>
                </w:tcPr>
                <w:p w14:paraId="0BC2EE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少量</w:t>
                  </w:r>
                </w:p>
              </w:tc>
            </w:tr>
            <w:tr w14:paraId="525E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289" w:type="pct"/>
                  <w:noWrap w:val="0"/>
                  <w:vAlign w:val="center"/>
                </w:tcPr>
                <w:p w14:paraId="271F23A2">
                  <w:pPr>
                    <w:pStyle w:val="8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柴油发电机</w:t>
                  </w:r>
                </w:p>
              </w:tc>
              <w:tc>
                <w:tcPr>
                  <w:tcW w:w="327" w:type="pct"/>
                  <w:noWrap w:val="0"/>
                  <w:vAlign w:val="center"/>
                </w:tcPr>
                <w:p w14:paraId="4C57FF1D">
                  <w:pPr>
                    <w:keepNext w:val="0"/>
                    <w:keepLines w:val="0"/>
                    <w:suppressLineNumbers w:val="0"/>
                    <w:spacing w:before="0" w:beforeAutospacing="0" w:after="0" w:afterAutospacing="0"/>
                    <w:ind w:left="-53" w:leftChars="-25" w:right="-53" w:rightChars="-25"/>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auto"/>
                      <w:szCs w:val="21"/>
                      <w:highlight w:val="none"/>
                      <w:lang w:val="en-US" w:eastAsia="zh-CN"/>
                    </w:rPr>
                    <w:t>燃油废气</w:t>
                  </w:r>
                </w:p>
              </w:tc>
              <w:tc>
                <w:tcPr>
                  <w:tcW w:w="664" w:type="pct"/>
                  <w:noWrap w:val="0"/>
                  <w:vAlign w:val="center"/>
                </w:tcPr>
                <w:p w14:paraId="11F905F2">
                  <w:pPr>
                    <w:pStyle w:val="89"/>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78" w:type="pct"/>
                  <w:noWrap w:val="0"/>
                  <w:vAlign w:val="center"/>
                </w:tcPr>
                <w:p w14:paraId="453B1C78">
                  <w:pPr>
                    <w:pStyle w:val="89"/>
                    <w:keepNext w:val="0"/>
                    <w:keepLines w:val="0"/>
                    <w:suppressLineNumbers w:val="0"/>
                    <w:spacing w:before="0" w:beforeAutospacing="0" w:after="0" w:afterAutospacing="0"/>
                    <w:ind w:left="0" w:right="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377" w:type="pct"/>
                  <w:noWrap w:val="0"/>
                  <w:vAlign w:val="center"/>
                </w:tcPr>
                <w:p w14:paraId="485F914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496" w:type="pct"/>
                  <w:noWrap w:val="0"/>
                  <w:vAlign w:val="center"/>
                </w:tcPr>
                <w:p w14:paraId="6D089E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少量</w:t>
                  </w:r>
                </w:p>
              </w:tc>
              <w:tc>
                <w:tcPr>
                  <w:tcW w:w="269" w:type="pct"/>
                  <w:vMerge w:val="continue"/>
                  <w:noWrap w:val="0"/>
                  <w:vAlign w:val="center"/>
                </w:tcPr>
                <w:p w14:paraId="00EF4C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33" w:type="pct"/>
                  <w:noWrap w:val="0"/>
                  <w:vAlign w:val="center"/>
                </w:tcPr>
                <w:p w14:paraId="75259BED">
                  <w:pPr>
                    <w:pStyle w:val="8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通过大气扩散</w:t>
                  </w:r>
                  <w:r>
                    <w:rPr>
                      <w:rFonts w:hint="eastAsia" w:ascii="Times New Roman" w:hAnsi="Times New Roman" w:eastAsia="宋体" w:cs="Times New Roman"/>
                      <w:color w:val="auto"/>
                      <w:sz w:val="21"/>
                      <w:szCs w:val="21"/>
                      <w:highlight w:val="none"/>
                      <w:lang w:val="en-US" w:eastAsia="zh-CN"/>
                    </w:rPr>
                    <w:t>，山林树木吸附</w:t>
                  </w:r>
                </w:p>
              </w:tc>
              <w:tc>
                <w:tcPr>
                  <w:tcW w:w="409" w:type="pct"/>
                  <w:noWrap w:val="0"/>
                  <w:vAlign w:val="center"/>
                </w:tcPr>
                <w:p w14:paraId="073A158F">
                  <w:pPr>
                    <w:pStyle w:val="89"/>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15" w:type="pct"/>
                  <w:noWrap w:val="0"/>
                  <w:vAlign w:val="center"/>
                </w:tcPr>
                <w:p w14:paraId="5B94A7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537" w:type="pct"/>
                  <w:noWrap w:val="0"/>
                  <w:vAlign w:val="center"/>
                </w:tcPr>
                <w:p w14:paraId="62001E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少量</w:t>
                  </w:r>
                </w:p>
              </w:tc>
            </w:tr>
            <w:tr w14:paraId="22AF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289" w:type="pct"/>
                  <w:noWrap w:val="0"/>
                  <w:vAlign w:val="center"/>
                </w:tcPr>
                <w:p w14:paraId="6F29F91F">
                  <w:pPr>
                    <w:pStyle w:val="8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食堂</w:t>
                  </w:r>
                </w:p>
              </w:tc>
              <w:tc>
                <w:tcPr>
                  <w:tcW w:w="327" w:type="pct"/>
                  <w:noWrap w:val="0"/>
                  <w:vAlign w:val="center"/>
                </w:tcPr>
                <w:p w14:paraId="73274654">
                  <w:pPr>
                    <w:pStyle w:val="8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油</w:t>
                  </w:r>
                </w:p>
                <w:p w14:paraId="4A918613">
                  <w:pPr>
                    <w:pStyle w:val="8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烟</w:t>
                  </w:r>
                </w:p>
              </w:tc>
              <w:tc>
                <w:tcPr>
                  <w:tcW w:w="664" w:type="pct"/>
                  <w:noWrap w:val="0"/>
                  <w:vAlign w:val="center"/>
                </w:tcPr>
                <w:p w14:paraId="7759C733">
                  <w:pPr>
                    <w:pStyle w:val="8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经验系数2.5%</w:t>
                  </w:r>
                </w:p>
              </w:tc>
              <w:tc>
                <w:tcPr>
                  <w:tcW w:w="478" w:type="pct"/>
                  <w:noWrap w:val="0"/>
                  <w:vAlign w:val="center"/>
                </w:tcPr>
                <w:p w14:paraId="605772AC">
                  <w:pPr>
                    <w:pStyle w:val="8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耗油量2.31kg/d</w:t>
                  </w:r>
                </w:p>
              </w:tc>
              <w:tc>
                <w:tcPr>
                  <w:tcW w:w="377" w:type="pct"/>
                  <w:noWrap w:val="0"/>
                  <w:vAlign w:val="center"/>
                </w:tcPr>
                <w:p w14:paraId="34F71F2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4.83</w:t>
                  </w:r>
                </w:p>
              </w:tc>
              <w:tc>
                <w:tcPr>
                  <w:tcW w:w="496" w:type="pct"/>
                  <w:noWrap w:val="0"/>
                  <w:vAlign w:val="center"/>
                </w:tcPr>
                <w:p w14:paraId="2460B944">
                  <w:pPr>
                    <w:pStyle w:val="8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0.00348</w:t>
                  </w:r>
                </w:p>
              </w:tc>
              <w:tc>
                <w:tcPr>
                  <w:tcW w:w="269" w:type="pct"/>
                  <w:noWrap w:val="0"/>
                  <w:vAlign w:val="center"/>
                </w:tcPr>
                <w:p w14:paraId="12CEB36F">
                  <w:pPr>
                    <w:pStyle w:val="89"/>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有组织</w:t>
                  </w:r>
                </w:p>
              </w:tc>
              <w:tc>
                <w:tcPr>
                  <w:tcW w:w="633" w:type="pct"/>
                  <w:noWrap w:val="0"/>
                  <w:vAlign w:val="center"/>
                </w:tcPr>
                <w:p w14:paraId="72542D51">
                  <w:pPr>
                    <w:pStyle w:val="8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油烟净化器</w:t>
                  </w:r>
                </w:p>
              </w:tc>
              <w:tc>
                <w:tcPr>
                  <w:tcW w:w="409" w:type="pct"/>
                  <w:noWrap w:val="0"/>
                  <w:vAlign w:val="center"/>
                </w:tcPr>
                <w:p w14:paraId="4A8501C3">
                  <w:pPr>
                    <w:pStyle w:val="8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515" w:type="pct"/>
                  <w:noWrap w:val="0"/>
                  <w:vAlign w:val="center"/>
                </w:tcPr>
                <w:p w14:paraId="0F8946A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1.93</w:t>
                  </w:r>
                </w:p>
              </w:tc>
              <w:tc>
                <w:tcPr>
                  <w:tcW w:w="537" w:type="pct"/>
                  <w:noWrap w:val="0"/>
                  <w:vAlign w:val="center"/>
                </w:tcPr>
                <w:p w14:paraId="7AC0B6D7">
                  <w:pPr>
                    <w:pStyle w:val="8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0.001392</w:t>
                  </w:r>
                </w:p>
              </w:tc>
            </w:tr>
          </w:tbl>
          <w:p w14:paraId="3CF0457C">
            <w:pPr>
              <w:pStyle w:val="10"/>
              <w:keepNext w:val="0"/>
              <w:keepLines w:val="0"/>
              <w:numPr>
                <w:ilvl w:val="0"/>
                <w:numId w:val="0"/>
              </w:numPr>
              <w:suppressLineNumbers w:val="0"/>
              <w:spacing w:beforeAutospacing="0" w:afterAutospacing="0"/>
              <w:ind w:left="0" w:right="113" w:rightChars="0" w:firstLine="240" w:firstLineChars="1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（2）废气产排计算过程简述</w:t>
            </w:r>
          </w:p>
          <w:p w14:paraId="551ACF82">
            <w:pPr>
              <w:keepNext w:val="0"/>
              <w:keepLines w:val="0"/>
              <w:suppressLineNumbers w:val="0"/>
              <w:tabs>
                <w:tab w:val="left" w:pos="920"/>
              </w:tabs>
              <w:adjustRightInd w:val="0"/>
              <w:snapToGrid w:val="0"/>
              <w:spacing w:before="0" w:beforeAutospacing="0" w:after="0" w:afterAutospacing="0" w:line="360" w:lineRule="auto"/>
              <w:ind w:left="552" w:right="0"/>
              <w:rPr>
                <w:rFonts w:hint="default" w:ascii="Times New Roman" w:hAnsi="Times New Roman" w:eastAsia="Times New Roman" w:cs="Times New Roman"/>
                <w:color w:val="auto"/>
                <w:sz w:val="24"/>
              </w:rPr>
            </w:pPr>
            <w:r>
              <w:rPr>
                <w:rFonts w:hint="eastAsia" w:ascii="仿宋" w:hAnsi="仿宋" w:eastAsia="仿宋" w:cs="仿宋"/>
                <w:color w:val="auto"/>
                <w:sz w:val="24"/>
              </w:rPr>
              <w:t>①</w:t>
            </w:r>
            <w:r>
              <w:rPr>
                <w:rFonts w:hint="default" w:ascii="宋体" w:hAnsi="宋体" w:cs="Times New Roman"/>
                <w:color w:val="auto"/>
                <w:sz w:val="24"/>
              </w:rPr>
              <w:t>开挖粉尘</w:t>
            </w:r>
          </w:p>
          <w:p w14:paraId="6007B2E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cs="Times New Roman"/>
                <w:color w:val="auto"/>
                <w:sz w:val="24"/>
                <w:lang w:val="en-US" w:eastAsia="zh-CN"/>
              </w:rPr>
            </w:pPr>
            <w:r>
              <w:rPr>
                <w:rFonts w:hint="default" w:ascii="宋体" w:hAnsi="宋体" w:cs="Times New Roman"/>
                <w:color w:val="auto"/>
                <w:sz w:val="24"/>
              </w:rPr>
              <w:t>项目</w:t>
            </w:r>
            <w:r>
              <w:rPr>
                <w:rFonts w:hint="eastAsia" w:ascii="宋体" w:hAnsi="宋体" w:cs="Times New Roman"/>
                <w:color w:val="auto"/>
                <w:sz w:val="24"/>
                <w:lang w:val="en-US" w:eastAsia="zh-CN"/>
              </w:rPr>
              <w:t>工程人员及</w:t>
            </w:r>
            <w:r>
              <w:rPr>
                <w:rFonts w:hint="default" w:ascii="宋体" w:hAnsi="宋体" w:cs="Times New Roman"/>
                <w:color w:val="auto"/>
                <w:sz w:val="24"/>
              </w:rPr>
              <w:t>钻探</w:t>
            </w:r>
            <w:r>
              <w:rPr>
                <w:rFonts w:hint="eastAsia" w:ascii="宋体" w:hAnsi="宋体" w:cs="Times New Roman"/>
                <w:color w:val="auto"/>
                <w:sz w:val="24"/>
                <w:lang w:val="en-US" w:eastAsia="zh-CN"/>
              </w:rPr>
              <w:t>设备进驻场地后，需对钻孔之间修建临时施工便道及钻探平台的平整，在施工</w:t>
            </w:r>
            <w:r>
              <w:rPr>
                <w:rFonts w:hint="default" w:ascii="宋体" w:hAnsi="宋体" w:cs="Times New Roman"/>
                <w:color w:val="auto"/>
                <w:sz w:val="24"/>
              </w:rPr>
              <w:t>开挖</w:t>
            </w:r>
            <w:r>
              <w:rPr>
                <w:rFonts w:hint="eastAsia" w:ascii="宋体" w:hAnsi="宋体" w:cs="Times New Roman"/>
                <w:color w:val="auto"/>
                <w:sz w:val="24"/>
                <w:lang w:val="en-US" w:eastAsia="zh-CN"/>
              </w:rPr>
              <w:t>过程中会产生少量的扬尘，主要污染物为</w:t>
            </w:r>
            <w:r>
              <w:rPr>
                <w:rFonts w:hint="default" w:ascii="Times New Roman" w:hAnsi="Times New Roman" w:cs="Times New Roman"/>
                <w:color w:val="auto"/>
                <w:sz w:val="24"/>
                <w:lang w:val="en-US" w:eastAsia="zh-CN"/>
              </w:rPr>
              <w:t>TSP，</w:t>
            </w:r>
            <w:r>
              <w:rPr>
                <w:rFonts w:hint="eastAsia" w:ascii="宋体" w:hAnsi="宋体" w:cs="Times New Roman"/>
                <w:color w:val="auto"/>
                <w:sz w:val="24"/>
                <w:lang w:val="en-US" w:eastAsia="zh-CN"/>
              </w:rPr>
              <w:t>呈无组织排放，其产生强度与施工方式、气象条件有关，一般基本上自然降落在项目区内，有少量的扬尘随风飘落项目区外，扬尘中不含有毒有害的特殊污染物，只是对施工环境有一定的污染。采取洒水降尘，钻孔区的弃土石方采用土工布遮盖等措施后可有效减少扬尘的排放，对周围环境影响较小。在项目钻探过程，采用湿法作业，因此探矿过程中粉尘量不大，对周围环境影响不大。</w:t>
            </w:r>
          </w:p>
          <w:p w14:paraId="2CB1022D">
            <w:pPr>
              <w:keepNext w:val="0"/>
              <w:keepLines w:val="0"/>
              <w:suppressLineNumbers w:val="0"/>
              <w:adjustRightInd w:val="0"/>
              <w:snapToGrid w:val="0"/>
              <w:spacing w:before="0" w:beforeAutospacing="0" w:after="0" w:afterAutospacing="0" w:line="360" w:lineRule="auto"/>
              <w:ind w:left="560" w:right="0"/>
              <w:rPr>
                <w:rFonts w:hint="default" w:ascii="Times New Roman" w:hAnsi="Times New Roman" w:eastAsia="Times New Roman" w:cs="Times New Roman"/>
                <w:color w:val="auto"/>
                <w:sz w:val="24"/>
              </w:rPr>
            </w:pPr>
            <w:r>
              <w:rPr>
                <w:rFonts w:hint="eastAsia" w:ascii="仿宋" w:hAnsi="仿宋" w:eastAsia="仿宋" w:cs="仿宋"/>
                <w:color w:val="auto"/>
                <w:sz w:val="24"/>
              </w:rPr>
              <w:t>②</w:t>
            </w:r>
            <w:r>
              <w:rPr>
                <w:rFonts w:hint="default" w:ascii="宋体" w:hAnsi="宋体" w:cs="Times New Roman"/>
                <w:color w:val="auto"/>
                <w:sz w:val="24"/>
              </w:rPr>
              <w:t>燃油废气</w:t>
            </w:r>
          </w:p>
          <w:p w14:paraId="35A8958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eastAsia="宋体" w:cs="Times New Roman"/>
                <w:color w:val="auto"/>
                <w:sz w:val="24"/>
                <w:lang w:val="en-US" w:eastAsia="zh-CN"/>
              </w:rPr>
            </w:pPr>
            <w:r>
              <w:rPr>
                <w:rFonts w:hint="default" w:ascii="宋体" w:hAnsi="宋体" w:cs="Times New Roman"/>
                <w:color w:val="auto"/>
                <w:sz w:val="24"/>
              </w:rPr>
              <w:t>项目</w:t>
            </w:r>
            <w:r>
              <w:rPr>
                <w:rFonts w:hint="eastAsia" w:ascii="宋体" w:hAnsi="宋体" w:cs="Times New Roman"/>
                <w:color w:val="auto"/>
                <w:sz w:val="24"/>
                <w:lang w:val="en-US" w:eastAsia="zh-CN"/>
              </w:rPr>
              <w:t>钻探过程中</w:t>
            </w:r>
            <w:r>
              <w:rPr>
                <w:rFonts w:hint="default" w:ascii="宋体" w:hAnsi="宋体" w:cs="Times New Roman"/>
                <w:color w:val="auto"/>
                <w:sz w:val="24"/>
              </w:rPr>
              <w:t>设</w:t>
            </w:r>
            <w:r>
              <w:rPr>
                <w:rFonts w:hint="default" w:ascii="Times New Roman" w:hAnsi="Times New Roman" w:cs="Times New Roman"/>
                <w:color w:val="auto"/>
                <w:sz w:val="24"/>
              </w:rPr>
              <w:t>置</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台柴油</w:t>
            </w:r>
            <w:r>
              <w:rPr>
                <w:rFonts w:hint="default" w:ascii="宋体" w:hAnsi="宋体" w:cs="Times New Roman"/>
                <w:color w:val="auto"/>
                <w:sz w:val="24"/>
              </w:rPr>
              <w:t>发电机，根据</w:t>
            </w:r>
            <w:r>
              <w:rPr>
                <w:rFonts w:hint="eastAsia" w:ascii="宋体" w:hAnsi="宋体" w:cs="Times New Roman"/>
                <w:color w:val="auto"/>
                <w:sz w:val="24"/>
                <w:lang w:val="en-US" w:eastAsia="zh-CN"/>
              </w:rPr>
              <w:t>建设方</w:t>
            </w:r>
            <w:r>
              <w:rPr>
                <w:rFonts w:hint="default" w:ascii="宋体" w:hAnsi="宋体" w:cs="Times New Roman"/>
                <w:color w:val="auto"/>
                <w:sz w:val="24"/>
              </w:rPr>
              <w:t>提供的数据，</w:t>
            </w:r>
            <w:r>
              <w:rPr>
                <w:rFonts w:hint="default" w:ascii="Times New Roman" w:hAnsi="Times New Roman" w:cs="Times New Roman"/>
                <w:color w:val="auto"/>
                <w:sz w:val="24"/>
              </w:rPr>
              <w:t>发电机燃油采用含硫量不大于0.2%优质0＃柴油</w:t>
            </w:r>
            <w:r>
              <w:rPr>
                <w:rFonts w:hint="eastAsia" w:ascii="Times New Roman" w:hAnsi="Times New Roman" w:cs="Times New Roman"/>
                <w:color w:val="auto"/>
                <w:sz w:val="24"/>
                <w:lang w:eastAsia="zh-CN"/>
              </w:rPr>
              <w:t>，</w:t>
            </w:r>
            <w:r>
              <w:rPr>
                <w:rFonts w:hint="default" w:ascii="宋体" w:hAnsi="宋体" w:cs="Times New Roman"/>
                <w:color w:val="auto"/>
                <w:sz w:val="24"/>
              </w:rPr>
              <w:t>每天约使用</w:t>
            </w:r>
            <w:r>
              <w:rPr>
                <w:rFonts w:hint="eastAsia" w:ascii="宋体" w:hAnsi="宋体" w:cs="Times New Roman"/>
                <w:color w:val="auto"/>
                <w:sz w:val="24"/>
                <w:lang w:val="en-US" w:eastAsia="zh-CN"/>
              </w:rPr>
              <w:t>2</w:t>
            </w:r>
            <w:r>
              <w:rPr>
                <w:rFonts w:hint="default" w:ascii="Times New Roman" w:hAnsi="Times New Roman" w:eastAsia="Times New Roman" w:cs="Times New Roman"/>
                <w:color w:val="auto"/>
                <w:sz w:val="24"/>
              </w:rPr>
              <w:t>00L</w:t>
            </w:r>
            <w:r>
              <w:rPr>
                <w:rFonts w:hint="default" w:ascii="宋体" w:hAnsi="宋体" w:cs="Times New Roman"/>
                <w:color w:val="auto"/>
                <w:sz w:val="24"/>
              </w:rPr>
              <w:t xml:space="preserve"> </w:t>
            </w:r>
            <w:r>
              <w:rPr>
                <w:rFonts w:hint="eastAsia" w:ascii="宋体" w:hAnsi="宋体" w:cs="Times New Roman"/>
                <w:color w:val="auto"/>
                <w:sz w:val="24"/>
                <w:lang w:val="en-US" w:eastAsia="zh-CN"/>
              </w:rPr>
              <w:t>/台</w:t>
            </w:r>
            <w:r>
              <w:rPr>
                <w:rFonts w:hint="default" w:ascii="宋体" w:hAnsi="宋体" w:cs="Times New Roman"/>
                <w:color w:val="auto"/>
                <w:sz w:val="24"/>
              </w:rPr>
              <w:t>的柴油，燃烧柴油会产生一氧化碳、碳氢化合物、氮氧化物等大气污染物</w:t>
            </w:r>
            <w:r>
              <w:rPr>
                <w:rFonts w:hint="default" w:ascii="Times New Roman" w:hAnsi="Times New Roman" w:cs="Times New Roman"/>
                <w:color w:val="auto"/>
                <w:sz w:val="24"/>
              </w:rPr>
              <w:t>。根据</w:t>
            </w:r>
            <w:r>
              <w:rPr>
                <w:rFonts w:hint="default" w:ascii="Times New Roman" w:hAnsi="Times New Roman" w:cs="Times New Roman"/>
                <w:color w:val="auto"/>
                <w:sz w:val="24"/>
                <w:shd w:val="clear" w:color="auto" w:fill="FFFFFF"/>
              </w:rPr>
              <w:t>环评工程师注册培训教材《社会区域》给出的计算参数：发电机运行污染物排放系数为：SO</w:t>
            </w:r>
            <w:r>
              <w:rPr>
                <w:rFonts w:hint="default" w:ascii="Times New Roman" w:hAnsi="Times New Roman" w:cs="Times New Roman"/>
                <w:color w:val="auto"/>
                <w:sz w:val="24"/>
                <w:shd w:val="clear" w:color="auto" w:fill="FFFFFF"/>
                <w:vertAlign w:val="subscript"/>
              </w:rPr>
              <w:t>2</w:t>
            </w:r>
            <w:r>
              <w:rPr>
                <w:rFonts w:hint="default" w:ascii="Times New Roman" w:hAnsi="Times New Roman" w:cs="Times New Roman"/>
                <w:color w:val="auto"/>
                <w:sz w:val="24"/>
                <w:shd w:val="clear" w:color="auto" w:fill="FFFFFF"/>
              </w:rPr>
              <w:t xml:space="preserve"> 4g/L，烟尘0.714g/L，NO</w:t>
            </w:r>
            <w:r>
              <w:rPr>
                <w:rFonts w:hint="default" w:ascii="Times New Roman" w:hAnsi="Times New Roman" w:cs="Times New Roman"/>
                <w:color w:val="auto"/>
                <w:sz w:val="24"/>
                <w:shd w:val="clear" w:color="auto" w:fill="FFFFFF"/>
                <w:vertAlign w:val="subscript"/>
              </w:rPr>
              <w:t>x</w:t>
            </w:r>
            <w:r>
              <w:rPr>
                <w:rFonts w:hint="default" w:ascii="Times New Roman" w:hAnsi="Times New Roman" w:cs="Times New Roman"/>
                <w:color w:val="auto"/>
                <w:sz w:val="24"/>
                <w:shd w:val="clear" w:color="auto" w:fill="FFFFFF"/>
              </w:rPr>
              <w:t>2.56 g/L，CO1.52 g/L，总烃1.489 g/L。烟气量可按12m</w:t>
            </w:r>
            <w:r>
              <w:rPr>
                <w:rFonts w:hint="default" w:ascii="Times New Roman" w:hAnsi="Times New Roman" w:cs="Times New Roman"/>
                <w:color w:val="auto"/>
                <w:sz w:val="24"/>
                <w:shd w:val="clear" w:color="auto" w:fill="FFFFFF"/>
                <w:vertAlign w:val="superscript"/>
              </w:rPr>
              <w:t>3</w:t>
            </w:r>
            <w:r>
              <w:rPr>
                <w:rFonts w:hint="default" w:ascii="Times New Roman" w:hAnsi="Times New Roman" w:cs="Times New Roman"/>
                <w:color w:val="auto"/>
                <w:sz w:val="24"/>
                <w:shd w:val="clear" w:color="auto" w:fill="FFFFFF"/>
              </w:rPr>
              <w:t>/kg计</w:t>
            </w:r>
            <w:r>
              <w:rPr>
                <w:rFonts w:hint="eastAsia" w:ascii="Times New Roman" w:hAnsi="Times New Roman" w:cs="Times New Roman"/>
                <w:color w:val="auto"/>
                <w:sz w:val="24"/>
                <w:shd w:val="clear" w:color="auto" w:fill="FFFFFF"/>
              </w:rPr>
              <w:t>，</w:t>
            </w:r>
            <w:r>
              <w:rPr>
                <w:rFonts w:hint="default" w:ascii="Times New Roman" w:hAnsi="Times New Roman" w:cs="Times New Roman"/>
                <w:color w:val="auto"/>
                <w:sz w:val="24"/>
                <w:shd w:val="clear" w:color="auto" w:fill="FFFFFF"/>
              </w:rPr>
              <w:t>本项目</w:t>
            </w:r>
            <w:r>
              <w:rPr>
                <w:rFonts w:hint="eastAsia" w:ascii="Times New Roman" w:hAnsi="Times New Roman" w:cs="Times New Roman"/>
                <w:color w:val="auto"/>
                <w:sz w:val="24"/>
                <w:shd w:val="clear" w:color="auto" w:fill="FFFFFF"/>
                <w:lang w:val="en-US" w:eastAsia="zh-CN"/>
              </w:rPr>
              <w:t>探矿期间单台</w:t>
            </w:r>
            <w:r>
              <w:rPr>
                <w:rFonts w:hint="default" w:ascii="Times New Roman" w:hAnsi="Times New Roman" w:cs="Times New Roman"/>
                <w:color w:val="auto"/>
                <w:sz w:val="24"/>
              </w:rPr>
              <w:t>柴油发电机燃料燃烧废气量为</w:t>
            </w:r>
            <w:r>
              <w:rPr>
                <w:rFonts w:hint="eastAsia" w:ascii="Times New Roman" w:hAnsi="Times New Roman" w:cs="Times New Roman"/>
                <w:color w:val="auto"/>
                <w:sz w:val="24"/>
                <w:lang w:val="en-US" w:eastAsia="zh-CN"/>
              </w:rPr>
              <w:t>12000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shd w:val="clear" w:color="auto" w:fill="FFFFFF"/>
              </w:rPr>
              <w:t>。</w:t>
            </w:r>
            <w:r>
              <w:rPr>
                <w:rFonts w:hint="eastAsia" w:ascii="宋体" w:hAnsi="宋体" w:cs="Times New Roman"/>
                <w:color w:val="auto"/>
                <w:sz w:val="24"/>
                <w:lang w:val="en-US" w:eastAsia="zh-CN"/>
              </w:rPr>
              <w:t>由于项目区扩散条件较好，燃油废气经空气稀释扩散，山林吸附后，污染物农地，对当地环境影响不大。</w:t>
            </w:r>
          </w:p>
          <w:p w14:paraId="384AE229">
            <w:pPr>
              <w:keepNext w:val="0"/>
              <w:keepLines w:val="0"/>
              <w:suppressLineNumbers w:val="0"/>
              <w:tabs>
                <w:tab w:val="left" w:pos="4680"/>
              </w:tabs>
              <w:adjustRightInd w:val="0"/>
              <w:snapToGrid w:val="0"/>
              <w:spacing w:before="0" w:beforeAutospacing="0" w:after="0" w:afterAutospacing="0" w:line="360" w:lineRule="auto"/>
              <w:ind w:left="0" w:right="0" w:firstLine="480" w:firstLineChars="200"/>
              <w:rPr>
                <w:rFonts w:hint="eastAsia" w:ascii="Times New Roman" w:hAnsi="Times New Roman" w:cs="Times New Roman"/>
                <w:color w:val="auto"/>
                <w:sz w:val="24"/>
              </w:rPr>
            </w:pPr>
            <w:r>
              <w:rPr>
                <w:rFonts w:hint="eastAsia" w:ascii="仿宋" w:hAnsi="仿宋" w:eastAsia="仿宋" w:cs="仿宋"/>
                <w:color w:val="auto"/>
                <w:sz w:val="24"/>
              </w:rPr>
              <w:t>③</w:t>
            </w:r>
            <w:r>
              <w:rPr>
                <w:rFonts w:hint="eastAsia" w:ascii="Times New Roman" w:hAnsi="Times New Roman" w:cs="Times New Roman"/>
                <w:color w:val="auto"/>
                <w:sz w:val="24"/>
              </w:rPr>
              <w:t>油烟</w:t>
            </w:r>
          </w:p>
          <w:p w14:paraId="0D3E8D5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rPr>
            </w:pPr>
            <w:r>
              <w:rPr>
                <w:rFonts w:hint="eastAsia" w:ascii="Times New Roman" w:hAnsi="Times New Roman" w:cs="Times New Roman"/>
                <w:color w:val="auto"/>
                <w:sz w:val="24"/>
                <w:lang w:val="en-US" w:eastAsia="zh-CN"/>
              </w:rPr>
              <w:t>本项目依托建设单位矿区已有的办公生活区的食堂，</w:t>
            </w:r>
            <w:r>
              <w:rPr>
                <w:rFonts w:hint="eastAsia" w:ascii="Times New Roman" w:hAnsi="Times New Roman" w:cs="Times New Roman"/>
                <w:color w:val="auto"/>
                <w:sz w:val="24"/>
              </w:rPr>
              <w:t>供探矿工作人员就餐，经过调查，厨房设置电磁炉，未采取任何油烟净化装置。</w:t>
            </w:r>
            <w:r>
              <w:rPr>
                <w:rFonts w:hint="default" w:ascii="Times New Roman" w:hAnsi="Times New Roman" w:cs="Times New Roman"/>
                <w:color w:val="auto"/>
                <w:sz w:val="24"/>
              </w:rPr>
              <w:t>按</w:t>
            </w:r>
            <w:r>
              <w:rPr>
                <w:rFonts w:hint="eastAsia" w:ascii="Times New Roman" w:hAnsi="Times New Roman" w:cs="Times New Roman"/>
                <w:color w:val="auto"/>
                <w:sz w:val="24"/>
              </w:rPr>
              <w:t>人员</w:t>
            </w:r>
            <w:r>
              <w:rPr>
                <w:rFonts w:hint="eastAsia" w:ascii="Times New Roman" w:hAnsi="Times New Roman" w:cs="Times New Roman"/>
                <w:color w:val="auto"/>
                <w:sz w:val="24"/>
                <w:lang w:val="en-US" w:eastAsia="zh-CN"/>
              </w:rPr>
              <w:t>77</w:t>
            </w:r>
            <w:r>
              <w:rPr>
                <w:rFonts w:hint="default" w:ascii="Times New Roman" w:hAnsi="Times New Roman" w:cs="Times New Roman"/>
                <w:color w:val="auto"/>
                <w:sz w:val="24"/>
              </w:rPr>
              <w:t>人计算</w:t>
            </w:r>
            <w:r>
              <w:rPr>
                <w:rFonts w:hint="eastAsia" w:ascii="Times New Roman" w:hAnsi="Times New Roman" w:cs="Times New Roman"/>
                <w:color w:val="auto"/>
                <w:sz w:val="24"/>
              </w:rPr>
              <w:t>，</w:t>
            </w:r>
            <w:r>
              <w:rPr>
                <w:rFonts w:hint="default" w:ascii="Times New Roman" w:hAnsi="Times New Roman" w:cs="Times New Roman"/>
                <w:color w:val="auto"/>
                <w:sz w:val="24"/>
              </w:rPr>
              <w:t>根据对居民及餐饮企业的类比调查，目前居民人均日使用</w:t>
            </w:r>
            <w:r>
              <w:rPr>
                <w:rFonts w:hint="eastAsia" w:cs="Times New Roman"/>
                <w:color w:val="auto"/>
                <w:sz w:val="24"/>
                <w:lang w:val="en-US" w:eastAsia="zh-CN"/>
              </w:rPr>
              <w:t>的</w:t>
            </w:r>
            <w:r>
              <w:rPr>
                <w:rFonts w:hint="default" w:ascii="Times New Roman" w:hAnsi="Times New Roman" w:cs="Times New Roman"/>
                <w:color w:val="auto"/>
                <w:sz w:val="24"/>
              </w:rPr>
              <w:t>油用量约</w:t>
            </w:r>
            <w:r>
              <w:rPr>
                <w:rFonts w:hint="eastAsia" w:ascii="Times New Roman" w:hAnsi="Times New Roman" w:cs="Times New Roman"/>
                <w:color w:val="auto"/>
                <w:sz w:val="24"/>
              </w:rPr>
              <w:t>10</w:t>
            </w:r>
            <w:r>
              <w:rPr>
                <w:rFonts w:hint="default" w:ascii="Times New Roman" w:hAnsi="Times New Roman" w:cs="Times New Roman"/>
                <w:color w:val="auto"/>
                <w:sz w:val="24"/>
              </w:rPr>
              <w:t>g/人·</w:t>
            </w:r>
            <w:r>
              <w:rPr>
                <w:rFonts w:hint="eastAsia" w:ascii="Times New Roman" w:hAnsi="Times New Roman" w:cs="Times New Roman"/>
                <w:color w:val="auto"/>
                <w:sz w:val="24"/>
              </w:rPr>
              <w:t>餐</w:t>
            </w:r>
            <w:r>
              <w:rPr>
                <w:rFonts w:hint="default" w:ascii="Times New Roman" w:hAnsi="Times New Roman" w:cs="Times New Roman"/>
                <w:color w:val="auto"/>
                <w:sz w:val="24"/>
              </w:rPr>
              <w:t>，一般油烟挥发量占耗油量的2-4%，平均为2.</w:t>
            </w:r>
            <w:r>
              <w:rPr>
                <w:rFonts w:hint="eastAsia" w:ascii="Times New Roman" w:hAnsi="Times New Roman" w:cs="Times New Roman"/>
                <w:color w:val="auto"/>
                <w:sz w:val="24"/>
              </w:rPr>
              <w:t>5</w:t>
            </w:r>
            <w:r>
              <w:rPr>
                <w:rFonts w:hint="default" w:ascii="Times New Roman" w:hAnsi="Times New Roman" w:cs="Times New Roman"/>
                <w:color w:val="auto"/>
                <w:sz w:val="24"/>
              </w:rPr>
              <w:t>%。</w:t>
            </w:r>
            <w:r>
              <w:rPr>
                <w:rFonts w:hint="eastAsia" w:ascii="Times New Roman" w:hAnsi="Times New Roman" w:cs="Times New Roman"/>
                <w:color w:val="auto"/>
                <w:sz w:val="24"/>
              </w:rPr>
              <w:t>项目每天供应三餐，</w:t>
            </w:r>
            <w:r>
              <w:rPr>
                <w:rFonts w:hint="default" w:ascii="Times New Roman" w:hAnsi="Times New Roman" w:cs="Times New Roman"/>
                <w:color w:val="auto"/>
                <w:sz w:val="24"/>
              </w:rPr>
              <w:t>每天耗油</w:t>
            </w:r>
            <w:r>
              <w:rPr>
                <w:rFonts w:hint="eastAsia" w:ascii="Times New Roman" w:hAnsi="Times New Roman" w:cs="Times New Roman"/>
                <w:color w:val="auto"/>
                <w:sz w:val="24"/>
                <w:lang w:val="en-US" w:eastAsia="zh-CN"/>
              </w:rPr>
              <w:t>2.31</w:t>
            </w:r>
            <w:r>
              <w:rPr>
                <w:rFonts w:hint="default" w:ascii="Times New Roman" w:hAnsi="Times New Roman" w:cs="Times New Roman"/>
                <w:color w:val="auto"/>
                <w:sz w:val="24"/>
              </w:rPr>
              <w:t>kg/d，则油烟产生量</w:t>
            </w:r>
            <w:r>
              <w:rPr>
                <w:rFonts w:hint="eastAsia" w:ascii="Times New Roman" w:hAnsi="Times New Roman" w:cs="Times New Roman"/>
                <w:color w:val="auto"/>
                <w:sz w:val="24"/>
              </w:rPr>
              <w:t>约</w:t>
            </w:r>
            <w:r>
              <w:rPr>
                <w:rFonts w:hint="default" w:ascii="Times New Roman" w:hAnsi="Times New Roman" w:cs="Times New Roman"/>
                <w:color w:val="auto"/>
                <w:sz w:val="24"/>
              </w:rPr>
              <w:t>为</w:t>
            </w:r>
            <w:r>
              <w:rPr>
                <w:rFonts w:hint="eastAsia" w:ascii="Times New Roman" w:hAnsi="Times New Roman" w:cs="Times New Roman"/>
                <w:color w:val="auto"/>
                <w:sz w:val="24"/>
              </w:rPr>
              <w:t>0.0</w:t>
            </w:r>
            <w:r>
              <w:rPr>
                <w:rFonts w:hint="eastAsia" w:ascii="Times New Roman" w:hAnsi="Times New Roman" w:cs="Times New Roman"/>
                <w:color w:val="auto"/>
                <w:sz w:val="24"/>
                <w:lang w:val="en-US" w:eastAsia="zh-CN"/>
              </w:rPr>
              <w:t>58</w:t>
            </w:r>
            <w:r>
              <w:rPr>
                <w:rFonts w:hint="default" w:ascii="Times New Roman" w:hAnsi="Times New Roman" w:cs="Times New Roman"/>
                <w:color w:val="auto"/>
                <w:sz w:val="24"/>
              </w:rPr>
              <w:t>kg/d。排风量按《饮食业油烟排放标准</w:t>
            </w:r>
            <w:r>
              <w:rPr>
                <w:rFonts w:hint="eastAsia" w:ascii="Times New Roman" w:hAnsi="Times New Roman" w:cs="Times New Roman"/>
                <w:color w:val="auto"/>
                <w:sz w:val="24"/>
              </w:rPr>
              <w:t>（试行）</w:t>
            </w:r>
            <w:r>
              <w:rPr>
                <w:rFonts w:hint="default" w:ascii="Times New Roman" w:hAnsi="Times New Roman" w:cs="Times New Roman"/>
                <w:color w:val="auto"/>
                <w:sz w:val="24"/>
              </w:rPr>
              <w:t>》</w:t>
            </w:r>
            <w:r>
              <w:rPr>
                <w:rFonts w:hint="eastAsia" w:ascii="Times New Roman" w:hAnsi="Times New Roman" w:cs="Times New Roman"/>
                <w:color w:val="auto"/>
                <w:sz w:val="24"/>
              </w:rPr>
              <w:t>（</w:t>
            </w:r>
            <w:r>
              <w:rPr>
                <w:rFonts w:hint="default" w:ascii="Times New Roman" w:hAnsi="Times New Roman" w:cs="Times New Roman"/>
                <w:color w:val="auto"/>
                <w:sz w:val="24"/>
              </w:rPr>
              <w:t>GB18483-2001</w:t>
            </w:r>
            <w:r>
              <w:rPr>
                <w:rFonts w:hint="eastAsia" w:ascii="Times New Roman" w:hAnsi="Times New Roman" w:cs="Times New Roman"/>
                <w:color w:val="auto"/>
                <w:sz w:val="24"/>
              </w:rPr>
              <w:t>）</w:t>
            </w:r>
            <w:r>
              <w:rPr>
                <w:rFonts w:hint="default" w:ascii="Times New Roman" w:hAnsi="Times New Roman" w:cs="Times New Roman"/>
                <w:color w:val="auto"/>
                <w:sz w:val="24"/>
              </w:rPr>
              <w:t>规定的单个灶头基准排风量大、中、小型均为2000m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/h，食堂</w:t>
            </w:r>
            <w:r>
              <w:rPr>
                <w:rFonts w:hint="eastAsia" w:ascii="Times New Roman" w:hAnsi="Times New Roman" w:cs="Times New Roman"/>
                <w:color w:val="auto"/>
                <w:sz w:val="24"/>
              </w:rPr>
              <w:t>供应3餐，</w:t>
            </w:r>
            <w:r>
              <w:rPr>
                <w:rFonts w:hint="default" w:ascii="Times New Roman" w:hAnsi="Times New Roman" w:cs="Times New Roman"/>
                <w:color w:val="auto"/>
                <w:sz w:val="24"/>
              </w:rPr>
              <w:t>排风量</w:t>
            </w:r>
            <w:r>
              <w:rPr>
                <w:rFonts w:hint="eastAsia" w:ascii="Times New Roman" w:hAnsi="Times New Roman" w:cs="Times New Roman"/>
                <w:color w:val="auto"/>
                <w:sz w:val="24"/>
              </w:rPr>
              <w:t>按</w:t>
            </w:r>
            <w:r>
              <w:rPr>
                <w:rFonts w:hint="eastAsia" w:ascii="Times New Roman" w:hAnsi="Times New Roman" w:cs="Times New Roman"/>
                <w:color w:val="auto"/>
                <w:sz w:val="24"/>
                <w:lang w:val="en-US" w:eastAsia="zh-CN"/>
              </w:rPr>
              <w:t>3.0</w:t>
            </w:r>
            <w:r>
              <w:rPr>
                <w:rFonts w:hint="eastAsia" w:ascii="Times New Roman" w:hAnsi="Times New Roman" w:cs="Times New Roman"/>
                <w:color w:val="auto"/>
                <w:sz w:val="24"/>
              </w:rPr>
              <w:t>小时计则排风量为</w:t>
            </w:r>
            <w:r>
              <w:rPr>
                <w:rFonts w:hint="eastAsia" w:ascii="Times New Roman" w:hAnsi="Times New Roman" w:cs="Times New Roman"/>
                <w:color w:val="auto"/>
                <w:sz w:val="24"/>
                <w:lang w:val="en-US" w:eastAsia="zh-CN"/>
              </w:rPr>
              <w:t>12</w:t>
            </w:r>
            <w:r>
              <w:rPr>
                <w:rFonts w:hint="default" w:ascii="Times New Roman" w:hAnsi="Times New Roman" w:cs="Times New Roman"/>
                <w:color w:val="auto"/>
                <w:sz w:val="24"/>
              </w:rPr>
              <w:t>000m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eastAsia" w:ascii="Times New Roman" w:hAnsi="Times New Roman" w:cs="Times New Roman"/>
                <w:color w:val="auto"/>
                <w:sz w:val="24"/>
              </w:rPr>
              <w:t>d</w:t>
            </w:r>
            <w:r>
              <w:rPr>
                <w:rFonts w:hint="default" w:ascii="Times New Roman" w:hAnsi="Times New Roman" w:cs="Times New Roman"/>
                <w:color w:val="auto"/>
                <w:sz w:val="24"/>
              </w:rPr>
              <w:t>，则排放浓度为</w:t>
            </w:r>
            <w:r>
              <w:rPr>
                <w:rFonts w:hint="eastAsia" w:ascii="Times New Roman" w:hAnsi="Times New Roman" w:cs="Times New Roman"/>
                <w:color w:val="auto"/>
                <w:sz w:val="24"/>
                <w:lang w:val="en-US" w:eastAsia="zh-CN"/>
              </w:rPr>
              <w:t>4.83</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，大于排放允许浓度2.0mg/m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的要求，</w:t>
            </w:r>
            <w:r>
              <w:rPr>
                <w:rFonts w:hint="eastAsia" w:ascii="Times New Roman" w:hAnsi="Times New Roman" w:cs="Times New Roman"/>
                <w:color w:val="auto"/>
                <w:sz w:val="24"/>
              </w:rPr>
              <w:t>根据调查，目前厨房未安装油烟净化装置，因此本环评要求建议企业</w:t>
            </w:r>
            <w:r>
              <w:rPr>
                <w:rFonts w:hint="default" w:ascii="Times New Roman" w:hAnsi="Times New Roman" w:cs="Times New Roman"/>
                <w:color w:val="auto"/>
                <w:sz w:val="24"/>
              </w:rPr>
              <w:t>安装</w:t>
            </w:r>
            <w:r>
              <w:rPr>
                <w:rFonts w:hint="eastAsia" w:ascii="Times New Roman" w:hAnsi="Times New Roman" w:cs="Times New Roman"/>
                <w:color w:val="auto"/>
                <w:sz w:val="24"/>
              </w:rPr>
              <w:t>1套合格的</w:t>
            </w:r>
            <w:r>
              <w:rPr>
                <w:rFonts w:hint="default" w:ascii="Times New Roman" w:hAnsi="Times New Roman" w:cs="Times New Roman"/>
                <w:color w:val="auto"/>
                <w:sz w:val="24"/>
              </w:rPr>
              <w:t>油烟净化</w:t>
            </w:r>
            <w:r>
              <w:rPr>
                <w:rFonts w:hint="eastAsia" w:ascii="Times New Roman" w:hAnsi="Times New Roman" w:cs="Times New Roman"/>
                <w:color w:val="auto"/>
                <w:sz w:val="24"/>
              </w:rPr>
              <w:t>装置（净化率达60%以上），</w:t>
            </w:r>
            <w:r>
              <w:rPr>
                <w:rFonts w:hint="default" w:ascii="Times New Roman" w:hAnsi="Times New Roman" w:cs="Times New Roman"/>
                <w:color w:val="auto"/>
                <w:sz w:val="24"/>
              </w:rPr>
              <w:t>油烟经过净化后</w:t>
            </w:r>
            <w:r>
              <w:rPr>
                <w:rFonts w:hint="eastAsia" w:ascii="Times New Roman" w:hAnsi="Times New Roman" w:cs="Times New Roman"/>
                <w:color w:val="auto"/>
                <w:sz w:val="24"/>
              </w:rPr>
              <w:t>引至食堂的屋顶排放</w:t>
            </w:r>
            <w:r>
              <w:rPr>
                <w:rFonts w:hint="default" w:ascii="Times New Roman" w:hAnsi="Times New Roman" w:cs="Times New Roman"/>
                <w:color w:val="auto"/>
                <w:sz w:val="24"/>
              </w:rPr>
              <w:t>，属间歇性排放</w:t>
            </w:r>
            <w:r>
              <w:rPr>
                <w:rFonts w:hint="eastAsia" w:ascii="Times New Roman" w:hAnsi="Times New Roman" w:cs="Times New Roman"/>
                <w:color w:val="auto"/>
                <w:sz w:val="24"/>
              </w:rPr>
              <w:t>，油烟排放量为0.0</w:t>
            </w:r>
            <w:r>
              <w:rPr>
                <w:rFonts w:hint="eastAsia" w:ascii="Times New Roman" w:hAnsi="Times New Roman" w:cs="Times New Roman"/>
                <w:color w:val="auto"/>
                <w:sz w:val="24"/>
                <w:lang w:val="en-US" w:eastAsia="zh-CN"/>
              </w:rPr>
              <w:t>232</w:t>
            </w:r>
            <w:r>
              <w:rPr>
                <w:rFonts w:hint="eastAsia" w:ascii="Times New Roman" w:hAnsi="Times New Roman" w:cs="Times New Roman"/>
                <w:color w:val="auto"/>
                <w:sz w:val="24"/>
              </w:rPr>
              <w:t>kg/d，</w:t>
            </w:r>
            <w:r>
              <w:rPr>
                <w:rFonts w:hint="default" w:ascii="Times New Roman" w:hAnsi="Times New Roman" w:cs="Times New Roman"/>
                <w:color w:val="auto"/>
                <w:sz w:val="24"/>
              </w:rPr>
              <w:t>排放浓度降至</w:t>
            </w:r>
            <w:r>
              <w:rPr>
                <w:rFonts w:hint="eastAsia" w:ascii="Times New Roman" w:hAnsi="Times New Roman" w:cs="Times New Roman"/>
                <w:color w:val="auto"/>
                <w:sz w:val="24"/>
                <w:lang w:val="en-US" w:eastAsia="zh-CN"/>
              </w:rPr>
              <w:t>1.93</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，净化后浓度低于标准2mg/m</w:t>
            </w:r>
            <w:r>
              <w:rPr>
                <w:rFonts w:hint="default" w:ascii="Times New Roman" w:hAnsi="Times New Roman" w:cs="Times New Roman"/>
                <w:color w:val="auto"/>
                <w:sz w:val="24"/>
                <w:vertAlign w:val="superscript"/>
              </w:rPr>
              <w:t>3</w:t>
            </w:r>
            <w:r>
              <w:rPr>
                <w:rFonts w:hint="eastAsia" w:ascii="Times New Roman" w:hAnsi="Times New Roman" w:cs="Times New Roman"/>
                <w:color w:val="auto"/>
                <w:sz w:val="24"/>
              </w:rPr>
              <w:t>，</w:t>
            </w:r>
            <w:r>
              <w:rPr>
                <w:rFonts w:hint="default" w:ascii="Times New Roman" w:hAnsi="Times New Roman" w:cs="Times New Roman"/>
                <w:color w:val="auto"/>
                <w:sz w:val="24"/>
              </w:rPr>
              <w:t>达到《饮食业油烟排放标准</w:t>
            </w:r>
            <w:r>
              <w:rPr>
                <w:rFonts w:hint="eastAsia" w:ascii="Times New Roman" w:hAnsi="Times New Roman" w:cs="Times New Roman"/>
                <w:color w:val="auto"/>
                <w:sz w:val="24"/>
              </w:rPr>
              <w:t>（试行）</w:t>
            </w:r>
            <w:r>
              <w:rPr>
                <w:rFonts w:hint="default" w:ascii="Times New Roman" w:hAnsi="Times New Roman" w:cs="Times New Roman"/>
                <w:color w:val="auto"/>
                <w:sz w:val="24"/>
              </w:rPr>
              <w:t>》</w:t>
            </w:r>
            <w:r>
              <w:rPr>
                <w:rFonts w:hint="eastAsia" w:ascii="Times New Roman" w:hAnsi="Times New Roman" w:cs="Times New Roman"/>
                <w:color w:val="auto"/>
                <w:sz w:val="24"/>
              </w:rPr>
              <w:t>（</w:t>
            </w:r>
            <w:r>
              <w:rPr>
                <w:rFonts w:hint="default" w:ascii="Times New Roman" w:hAnsi="Times New Roman" w:cs="Times New Roman"/>
                <w:color w:val="auto"/>
                <w:sz w:val="24"/>
              </w:rPr>
              <w:t>GB18483-2001</w:t>
            </w:r>
            <w:r>
              <w:rPr>
                <w:rFonts w:hint="eastAsia" w:ascii="Times New Roman" w:hAnsi="Times New Roman" w:cs="Times New Roman"/>
                <w:color w:val="auto"/>
                <w:sz w:val="24"/>
              </w:rPr>
              <w:t>）</w:t>
            </w:r>
            <w:r>
              <w:rPr>
                <w:rFonts w:hint="default" w:ascii="Times New Roman" w:hAnsi="Times New Roman" w:cs="Times New Roman"/>
                <w:color w:val="auto"/>
                <w:sz w:val="24"/>
              </w:rPr>
              <w:t>要求。</w:t>
            </w:r>
          </w:p>
          <w:p w14:paraId="464F935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left"/>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（3）项目废气对敏感点影响分析</w:t>
            </w:r>
          </w:p>
          <w:p w14:paraId="5A0B9D87">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cs="Times New Roman"/>
                <w:color w:val="auto"/>
                <w:sz w:val="24"/>
                <w:lang w:val="zh-CN"/>
              </w:rPr>
              <w:t>本</w:t>
            </w:r>
            <w:r>
              <w:rPr>
                <w:rFonts w:hint="default" w:ascii="Times New Roman" w:hAnsi="Times New Roman" w:cs="Times New Roman"/>
                <w:color w:val="auto"/>
                <w:sz w:val="24"/>
                <w:lang w:val="zh-CN"/>
              </w:rPr>
              <w:t>次大气环境评价范围主要为项目</w:t>
            </w:r>
            <w:r>
              <w:rPr>
                <w:rFonts w:hint="default" w:ascii="Times New Roman" w:hAnsi="Times New Roman" w:eastAsia="宋体" w:cs="Times New Roman"/>
                <w:color w:val="auto"/>
                <w:sz w:val="24"/>
                <w:lang w:val="zh-CN"/>
              </w:rPr>
              <w:t>周边</w:t>
            </w:r>
            <w:r>
              <w:rPr>
                <w:rFonts w:hint="default" w:ascii="Times New Roman" w:hAnsi="Times New Roman" w:eastAsia="宋体" w:cs="Times New Roman"/>
                <w:color w:val="auto"/>
                <w:sz w:val="24"/>
              </w:rPr>
              <w:t>500m</w:t>
            </w:r>
            <w:r>
              <w:rPr>
                <w:rFonts w:hint="default" w:ascii="Times New Roman" w:hAnsi="Times New Roman" w:eastAsia="宋体" w:cs="Times New Roman"/>
                <w:color w:val="auto"/>
                <w:sz w:val="24"/>
                <w:lang w:val="zh-CN"/>
              </w:rPr>
              <w:t>范围内的敏感点</w:t>
            </w:r>
            <w:r>
              <w:rPr>
                <w:rFonts w:hint="eastAsia" w:ascii="Times New Roman" w:hAnsi="Times New Roman" w:eastAsia="宋体" w:cs="Times New Roman"/>
                <w:color w:val="auto"/>
                <w:sz w:val="24"/>
                <w:lang w:val="zh-CN"/>
              </w:rPr>
              <w:t>，</w:t>
            </w:r>
            <w:r>
              <w:rPr>
                <w:rFonts w:hint="eastAsia" w:ascii="Times New Roman" w:hAnsi="Times New Roman" w:eastAsia="宋体" w:cs="Times New Roman"/>
                <w:color w:val="auto"/>
                <w:sz w:val="24"/>
                <w:lang w:val="en-US" w:eastAsia="zh-CN"/>
              </w:rPr>
              <w:t>主要为矿区东南260m处的下芒岗。</w:t>
            </w:r>
            <w:r>
              <w:rPr>
                <w:rFonts w:hint="eastAsia" w:ascii="Times New Roman" w:hAnsi="Times New Roman" w:cs="Times New Roman"/>
                <w:color w:val="auto"/>
                <w:sz w:val="24"/>
                <w:lang w:val="en-US" w:eastAsia="zh-CN"/>
              </w:rPr>
              <w:t>根据废气达标分析，本项目加强管理，并采取一定的措施后，废气排放量不大，</w:t>
            </w:r>
            <w:r>
              <w:rPr>
                <w:rFonts w:hint="eastAsia" w:ascii="Times New Roman" w:hAnsi="Times New Roman" w:eastAsia="宋体" w:cs="Times New Roman"/>
                <w:b w:val="0"/>
                <w:bCs w:val="0"/>
                <w:color w:val="auto"/>
                <w:spacing w:val="-10"/>
                <w:sz w:val="24"/>
                <w:szCs w:val="24"/>
                <w:lang w:val="en-US" w:eastAsia="zh-CN"/>
              </w:rPr>
              <w:t>通过大气扩散后，山林阻隔，树木吸附后，对下风向敏感点影响不大</w:t>
            </w:r>
            <w:r>
              <w:rPr>
                <w:rFonts w:hint="eastAsia" w:ascii="Times New Roman" w:hAnsi="Times New Roman" w:cs="Times New Roman"/>
                <w:color w:val="auto"/>
                <w:sz w:val="24"/>
                <w:lang w:val="en-US" w:eastAsia="zh-CN"/>
              </w:rPr>
              <w:t>。</w:t>
            </w:r>
          </w:p>
          <w:p w14:paraId="299D0FF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40" w:firstLineChars="200"/>
              <w:jc w:val="both"/>
              <w:textAlignment w:val="auto"/>
              <w:rPr>
                <w:rFonts w:hint="eastAsia" w:cs="Times New Roman"/>
                <w:b w:val="0"/>
                <w:bCs w:val="0"/>
                <w:color w:val="auto"/>
                <w:lang w:val="en-US" w:eastAsia="zh-CN"/>
              </w:rPr>
            </w:pPr>
            <w:r>
              <w:rPr>
                <w:rFonts w:hint="default" w:ascii="Times New Roman" w:hAnsi="Times New Roman" w:cs="Times New Roman"/>
                <w:b w:val="0"/>
                <w:bCs w:val="0"/>
                <w:color w:val="auto"/>
                <w:spacing w:val="-10"/>
                <w:sz w:val="24"/>
                <w:szCs w:val="24"/>
                <w:lang w:val="en-US" w:eastAsia="zh-CN"/>
              </w:rPr>
              <w:t>（</w:t>
            </w:r>
            <w:r>
              <w:rPr>
                <w:rFonts w:hint="eastAsia" w:ascii="Times New Roman" w:hAnsi="Times New Roman" w:cs="Times New Roman"/>
                <w:b w:val="0"/>
                <w:bCs w:val="0"/>
                <w:color w:val="auto"/>
                <w:spacing w:val="-10"/>
                <w:sz w:val="24"/>
                <w:szCs w:val="24"/>
                <w:lang w:val="en-US" w:eastAsia="zh-CN"/>
              </w:rPr>
              <w:t>4</w:t>
            </w:r>
            <w:r>
              <w:rPr>
                <w:rFonts w:hint="default" w:ascii="Times New Roman" w:hAnsi="Times New Roman" w:cs="Times New Roman"/>
                <w:b w:val="0"/>
                <w:bCs w:val="0"/>
                <w:color w:val="auto"/>
                <w:spacing w:val="-10"/>
                <w:sz w:val="24"/>
                <w:szCs w:val="24"/>
                <w:lang w:val="en-US" w:eastAsia="zh-CN"/>
              </w:rPr>
              <w:t>）</w:t>
            </w:r>
            <w:r>
              <w:rPr>
                <w:rFonts w:hint="eastAsia" w:ascii="Times New Roman" w:hAnsi="Times New Roman" w:cs="Times New Roman"/>
                <w:b w:val="0"/>
                <w:bCs w:val="0"/>
                <w:color w:val="auto"/>
                <w:spacing w:val="-10"/>
                <w:sz w:val="24"/>
                <w:szCs w:val="24"/>
                <w:lang w:val="en-US" w:eastAsia="zh-CN"/>
              </w:rPr>
              <w:t>废气环境影响评价结论</w:t>
            </w:r>
          </w:p>
          <w:p w14:paraId="4A015F7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right="0" w:firstLine="480" w:firstLineChars="200"/>
              <w:jc w:val="both"/>
              <w:textAlignment w:val="auto"/>
              <w:rPr>
                <w:rFonts w:hint="eastAsia" w:cs="Times New Roman"/>
                <w:color w:val="auto"/>
                <w:lang w:val="en-US" w:eastAsia="zh-CN"/>
              </w:rPr>
            </w:pPr>
            <w:r>
              <w:rPr>
                <w:rFonts w:hint="default" w:ascii="Times New Roman" w:hAnsi="Times New Roman" w:eastAsia="宋体" w:cs="Times New Roman"/>
                <w:color w:val="auto"/>
                <w:sz w:val="24"/>
                <w:szCs w:val="24"/>
                <w:lang w:val="en-GB"/>
              </w:rPr>
              <w:t>根据</w:t>
            </w:r>
            <w:r>
              <w:rPr>
                <w:rFonts w:hint="default" w:ascii="Times New Roman" w:hAnsi="Times New Roman" w:eastAsia="宋体" w:cs="Times New Roman"/>
                <w:color w:val="auto"/>
                <w:sz w:val="24"/>
                <w:szCs w:val="24"/>
                <w:lang w:val="en-GB" w:eastAsia="zh-CN"/>
              </w:rPr>
              <w:t>《</w:t>
            </w:r>
            <w:r>
              <w:rPr>
                <w:rFonts w:hint="default" w:ascii="Times New Roman" w:hAnsi="Times New Roman" w:eastAsia="宋体" w:cs="Times New Roman"/>
                <w:color w:val="auto"/>
                <w:sz w:val="24"/>
                <w:szCs w:val="24"/>
                <w:lang w:val="en-US" w:eastAsia="zh-CN"/>
              </w:rPr>
              <w:t>德宏州</w:t>
            </w:r>
            <w:r>
              <w:rPr>
                <w:rFonts w:hint="eastAsia" w:ascii="Times New Roman" w:hAnsi="Times New Roman" w:eastAsia="宋体" w:cs="Times New Roman"/>
                <w:color w:val="auto"/>
                <w:sz w:val="24"/>
                <w:szCs w:val="24"/>
                <w:lang w:val="en-US" w:eastAsia="zh-CN"/>
              </w:rPr>
              <w:t>2020</w:t>
            </w:r>
            <w:r>
              <w:rPr>
                <w:rFonts w:hint="default" w:ascii="Times New Roman" w:hAnsi="Times New Roman" w:eastAsia="宋体" w:cs="Times New Roman"/>
                <w:color w:val="auto"/>
                <w:sz w:val="24"/>
                <w:szCs w:val="24"/>
                <w:lang w:val="en-US" w:eastAsia="zh-CN"/>
              </w:rPr>
              <w:t>年环境质量状况公报</w:t>
            </w:r>
            <w:r>
              <w:rPr>
                <w:rFonts w:hint="default" w:ascii="Times New Roman" w:hAnsi="Times New Roman" w:eastAsia="宋体" w:cs="Times New Roman"/>
                <w:color w:val="auto"/>
                <w:sz w:val="24"/>
                <w:szCs w:val="24"/>
                <w:lang w:val="en-GB" w:eastAsia="zh-CN"/>
              </w:rPr>
              <w:t>》，项目所在区域为大气环境质量达标区域，</w:t>
            </w:r>
            <w:r>
              <w:rPr>
                <w:rFonts w:hint="default" w:ascii="Times New Roman" w:hAnsi="Times New Roman" w:cs="Times New Roman"/>
                <w:color w:val="auto"/>
                <w:sz w:val="24"/>
              </w:rPr>
              <w:t>本次评价对项目废气产排量及达标排放进行了分析，</w:t>
            </w:r>
            <w:r>
              <w:rPr>
                <w:rFonts w:hint="eastAsia" w:ascii="Times New Roman" w:hAnsi="Times New Roman" w:cs="Times New Roman"/>
                <w:color w:val="auto"/>
                <w:sz w:val="24"/>
                <w:lang w:eastAsia="zh-CN"/>
              </w:rPr>
              <w:t>本项目采用的污染治理措施可行，</w:t>
            </w:r>
            <w:r>
              <w:rPr>
                <w:rFonts w:hint="default" w:ascii="Times New Roman" w:hAnsi="Times New Roman" w:cs="Times New Roman"/>
                <w:color w:val="auto"/>
                <w:sz w:val="24"/>
              </w:rPr>
              <w:t>项目运营期主要大气污染物均能达标排放</w:t>
            </w:r>
            <w:r>
              <w:rPr>
                <w:rFonts w:hint="eastAsia" w:ascii="Times New Roman" w:hAnsi="Times New Roman" w:cs="Times New Roman"/>
                <w:color w:val="auto"/>
                <w:sz w:val="24"/>
                <w:lang w:eastAsia="zh-CN"/>
              </w:rPr>
              <w:t>。因此</w:t>
            </w:r>
            <w:r>
              <w:rPr>
                <w:rFonts w:hint="default" w:ascii="Times New Roman" w:hAnsi="Times New Roman" w:cs="Times New Roman"/>
                <w:color w:val="auto"/>
                <w:sz w:val="24"/>
              </w:rPr>
              <w:t>环境空气影响可接受</w:t>
            </w:r>
            <w:r>
              <w:rPr>
                <w:rFonts w:hint="eastAsia" w:ascii="Times New Roman" w:hAnsi="Times New Roman" w:cs="Times New Roman"/>
                <w:color w:val="auto"/>
                <w:sz w:val="24"/>
                <w:lang w:eastAsia="zh-CN"/>
              </w:rPr>
              <w:t>，</w:t>
            </w:r>
            <w:r>
              <w:rPr>
                <w:rFonts w:hint="default" w:ascii="Times New Roman" w:hAnsi="Times New Roman" w:eastAsia="宋体" w:cs="Times New Roman"/>
                <w:color w:val="auto"/>
                <w:sz w:val="24"/>
                <w:szCs w:val="24"/>
                <w:highlight w:val="none"/>
                <w:lang w:eastAsia="zh-CN"/>
              </w:rPr>
              <w:t>不会改变项目区周边环境空气质量现状，</w:t>
            </w:r>
            <w:r>
              <w:rPr>
                <w:rFonts w:hint="default" w:ascii="Times New Roman" w:hAnsi="Times New Roman" w:eastAsia="宋体" w:cs="Times New Roman"/>
                <w:color w:val="auto"/>
                <w:sz w:val="24"/>
                <w:szCs w:val="24"/>
                <w:highlight w:val="none"/>
              </w:rPr>
              <w:t>对周围环境影响</w:t>
            </w:r>
            <w:r>
              <w:rPr>
                <w:rFonts w:hint="default" w:ascii="Times New Roman" w:hAnsi="Times New Roman" w:eastAsia="宋体" w:cs="Times New Roman"/>
                <w:color w:val="auto"/>
                <w:sz w:val="24"/>
                <w:szCs w:val="24"/>
                <w:highlight w:val="none"/>
                <w:lang w:eastAsia="zh-CN"/>
              </w:rPr>
              <w:t>较小</w:t>
            </w:r>
            <w:r>
              <w:rPr>
                <w:rFonts w:hint="default" w:ascii="Times New Roman" w:hAnsi="Times New Roman" w:eastAsia="宋体" w:cs="Times New Roman"/>
                <w:color w:val="auto"/>
                <w:sz w:val="24"/>
                <w:szCs w:val="24"/>
                <w:highlight w:val="none"/>
              </w:rPr>
              <w:t>。</w:t>
            </w:r>
          </w:p>
          <w:p w14:paraId="7F32414C">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2.2地表水环境影响分析</w:t>
            </w:r>
          </w:p>
          <w:p w14:paraId="648D2E21">
            <w:pPr>
              <w:keepNext w:val="0"/>
              <w:keepLines w:val="0"/>
              <w:suppressLineNumbers w:val="0"/>
              <w:adjustRightInd w:val="0"/>
              <w:snapToGrid w:val="0"/>
              <w:spacing w:before="0" w:beforeAutospacing="0" w:after="0" w:afterAutospacing="0" w:line="360" w:lineRule="auto"/>
              <w:ind w:left="0" w:right="0" w:firstLine="240" w:firstLineChars="1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kern w:val="2"/>
                <w:sz w:val="24"/>
                <w:szCs w:val="24"/>
                <w:highlight w:val="none"/>
                <w:lang w:val="en-US" w:eastAsia="zh-CN" w:bidi="ar-SA"/>
              </w:rPr>
              <w:t>（1）废水产生情况</w:t>
            </w:r>
          </w:p>
          <w:p w14:paraId="67A925A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 w:val="0"/>
                <w:bCs w:val="0"/>
                <w:color w:val="auto"/>
                <w:sz w:val="24"/>
                <w:szCs w:val="24"/>
                <w:lang w:val="en-US" w:eastAsia="zh-CN"/>
              </w:rPr>
            </w:pPr>
            <w:r>
              <w:rPr>
                <w:rFonts w:hint="default" w:ascii="Times New Roman" w:hAnsi="Times New Roman" w:eastAsia="宋体" w:cs="Times New Roman"/>
                <w:color w:val="auto"/>
                <w:sz w:val="24"/>
                <w:szCs w:val="24"/>
                <w:highlight w:val="none"/>
              </w:rPr>
              <w:t>项目</w:t>
            </w:r>
            <w:r>
              <w:rPr>
                <w:rFonts w:hint="eastAsia" w:ascii="Times New Roman" w:hAnsi="Times New Roman" w:eastAsia="宋体" w:cs="Times New Roman"/>
                <w:color w:val="auto"/>
                <w:sz w:val="24"/>
                <w:szCs w:val="24"/>
                <w:highlight w:val="none"/>
                <w:lang w:val="en-US" w:eastAsia="zh-CN"/>
              </w:rPr>
              <w:t>用水主要有钻探用水、生活用水。</w:t>
            </w:r>
          </w:p>
          <w:p w14:paraId="200AD19E">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宋体" w:hAnsi="宋体" w:eastAsia="宋体" w:cs="Times New Roman"/>
                <w:color w:val="auto"/>
                <w:kern w:val="2"/>
                <w:sz w:val="24"/>
                <w:szCs w:val="24"/>
                <w:lang w:val="en-US" w:eastAsia="zh-CN" w:bidi="ar-SA"/>
              </w:rPr>
            </w:pPr>
            <w:r>
              <w:rPr>
                <w:rFonts w:hint="default" w:ascii="宋体" w:hAnsi="宋体" w:eastAsia="宋体" w:cs="Times New Roman"/>
                <w:color w:val="auto"/>
                <w:kern w:val="2"/>
                <w:sz w:val="24"/>
                <w:szCs w:val="24"/>
                <w:lang w:val="en-US" w:eastAsia="zh-CN" w:bidi="ar-SA"/>
              </w:rPr>
              <w:t>①</w:t>
            </w:r>
            <w:r>
              <w:rPr>
                <w:rFonts w:hint="eastAsia" w:ascii="宋体" w:hAnsi="宋体" w:eastAsia="宋体" w:cs="Times New Roman"/>
                <w:color w:val="auto"/>
                <w:kern w:val="2"/>
                <w:sz w:val="24"/>
                <w:szCs w:val="24"/>
                <w:lang w:val="en-US" w:eastAsia="zh-CN" w:bidi="ar-SA"/>
              </w:rPr>
              <w:t>钻探废水</w:t>
            </w:r>
          </w:p>
          <w:p w14:paraId="46BAA5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本次探矿只在旱季施工，避开雨季，因此施工过程中不会产生淋滤废水，根据本次实施方案，钻岩的性质和钻头直径、类型的不同，使钻机以不同的转速，切入岩石，形成岩芯，随着钻孔的加深，岩心进入岩芯管；钻头钻进岩石时，产生大量的热量，为了冷却钻头，净化孔底岩粉，需要不断冲洗钻孔，每个钻探平台用水量</w:t>
            </w:r>
            <w:r>
              <w:rPr>
                <w:rFonts w:hint="default" w:ascii="Times New Roman" w:hAnsi="Times New Roman" w:eastAsia="宋体" w:cs="Times New Roman"/>
                <w:color w:val="auto"/>
                <w:kern w:val="2"/>
                <w:sz w:val="24"/>
                <w:szCs w:val="24"/>
                <w:lang w:val="en-US" w:eastAsia="zh-CN" w:bidi="ar-SA"/>
              </w:rPr>
              <w:t>约3.5m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/d，会产生约1.0m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 的泥浆水，其余钻探用水经耗损和沿钻孔内岩石裂隙自然排泄，不外排。泥浆水从孔底沿着钻孔送至地表，排入每个钻探平台设置的临时沉淀池沉淀后（沉淀池内铺设防水土工布，容积为1.0m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）循环使用，不外排，需要补充约2.5m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/d的新水。待探矿结束后，沉淀池上清液用于场地洒水降尘。</w:t>
            </w:r>
          </w:p>
          <w:p w14:paraId="5FAC8D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宋体" w:hAnsi="宋体"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按照机械设备设置情况，同步开展钻探的平台有7组，因此最大用水量为24.5m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/d，产生约7.0m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 的泥浆水，需要补充约17.5m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/d的新水</w:t>
            </w:r>
            <w:r>
              <w:rPr>
                <w:rFonts w:hint="eastAsia" w:ascii="宋体" w:hAnsi="宋体" w:eastAsia="宋体" w:cs="Times New Roman"/>
                <w:color w:val="auto"/>
                <w:kern w:val="2"/>
                <w:sz w:val="24"/>
                <w:szCs w:val="24"/>
                <w:lang w:val="en-US" w:eastAsia="zh-CN" w:bidi="ar-SA"/>
              </w:rPr>
              <w:t>。</w:t>
            </w:r>
          </w:p>
          <w:p w14:paraId="5BB8CECB">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②生活污水</w:t>
            </w:r>
          </w:p>
          <w:p w14:paraId="504FDB05">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s="Times New Roman"/>
                <w:color w:val="auto"/>
                <w:sz w:val="24"/>
              </w:rPr>
            </w:pPr>
            <w:r>
              <w:rPr>
                <w:rFonts w:hint="default" w:ascii="宋体" w:hAnsi="宋体" w:cs="Times New Roman"/>
                <w:color w:val="auto"/>
                <w:sz w:val="24"/>
              </w:rPr>
              <w:t>项目不</w:t>
            </w:r>
            <w:r>
              <w:rPr>
                <w:rFonts w:hint="eastAsia" w:ascii="宋体" w:hAnsi="宋体" w:cs="Times New Roman"/>
                <w:color w:val="auto"/>
                <w:sz w:val="24"/>
              </w:rPr>
              <w:t>再</w:t>
            </w:r>
            <w:r>
              <w:rPr>
                <w:rFonts w:hint="eastAsia" w:ascii="宋体" w:hAnsi="宋体" w:cs="Times New Roman"/>
                <w:color w:val="auto"/>
                <w:sz w:val="24"/>
                <w:lang w:val="en-US" w:eastAsia="zh-CN"/>
              </w:rPr>
              <w:t>单独</w:t>
            </w:r>
            <w:r>
              <w:rPr>
                <w:rFonts w:hint="default" w:ascii="宋体" w:hAnsi="宋体" w:cs="Times New Roman"/>
                <w:color w:val="auto"/>
                <w:sz w:val="24"/>
              </w:rPr>
              <w:t>设置生活区，</w:t>
            </w:r>
            <w:r>
              <w:rPr>
                <w:rFonts w:hint="eastAsia" w:ascii="宋体" w:hAnsi="宋体" w:cs="Times New Roman"/>
                <w:color w:val="auto"/>
                <w:sz w:val="24"/>
                <w:lang w:val="en-US" w:eastAsia="zh-CN"/>
              </w:rPr>
              <w:t>依托建设单位</w:t>
            </w:r>
            <w:r>
              <w:rPr>
                <w:rFonts w:hint="eastAsia" w:ascii="宋体" w:hAnsi="宋体" w:cs="Times New Roman"/>
                <w:color w:val="auto"/>
                <w:sz w:val="24"/>
              </w:rPr>
              <w:t>已有的办公生活区，设置</w:t>
            </w:r>
            <w:r>
              <w:rPr>
                <w:rFonts w:hint="eastAsia" w:ascii="宋体" w:hAnsi="宋体" w:cs="Times New Roman"/>
                <w:color w:val="auto"/>
                <w:sz w:val="24"/>
                <w:lang w:val="en-US" w:eastAsia="zh-CN"/>
              </w:rPr>
              <w:t>水冲厕</w:t>
            </w:r>
            <w:r>
              <w:rPr>
                <w:rFonts w:hint="eastAsia" w:ascii="宋体" w:hAnsi="宋体" w:cs="Times New Roman"/>
                <w:color w:val="auto"/>
                <w:sz w:val="24"/>
              </w:rPr>
              <w:t>，</w:t>
            </w:r>
            <w:r>
              <w:rPr>
                <w:rFonts w:hint="default" w:ascii="宋体" w:hAnsi="宋体" w:cs="Times New Roman"/>
                <w:color w:val="auto"/>
                <w:sz w:val="24"/>
              </w:rPr>
              <w:t>工作人员共为</w:t>
            </w:r>
            <w:r>
              <w:rPr>
                <w:rFonts w:hint="eastAsia" w:ascii="宋体" w:hAnsi="宋体" w:cs="Times New Roman"/>
                <w:color w:val="auto"/>
                <w:sz w:val="24"/>
                <w:lang w:val="en-US" w:eastAsia="zh-CN"/>
              </w:rPr>
              <w:t>77</w:t>
            </w:r>
            <w:r>
              <w:rPr>
                <w:rFonts w:hint="default" w:ascii="宋体" w:hAnsi="宋体" w:cs="Times New Roman"/>
                <w:color w:val="auto"/>
                <w:sz w:val="24"/>
              </w:rPr>
              <w:t>人，</w:t>
            </w:r>
            <w:r>
              <w:rPr>
                <w:rFonts w:hint="eastAsia" w:ascii="Times New Roman" w:hAnsi="Times New Roman" w:cs="Times New Roman"/>
                <w:color w:val="auto"/>
                <w:sz w:val="24"/>
              </w:rPr>
              <w:t>根据</w:t>
            </w:r>
            <w:r>
              <w:rPr>
                <w:rFonts w:hint="default" w:ascii="Times New Roman" w:hAnsi="Times New Roman" w:eastAsia="宋体" w:cs="Times New Roman"/>
                <w:color w:val="auto"/>
                <w:sz w:val="24"/>
                <w:szCs w:val="24"/>
              </w:rPr>
              <w:t>《云南省地方用水定额标准》（</w:t>
            </w:r>
            <w:r>
              <w:rPr>
                <w:rFonts w:hint="default"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rPr>
              <w:t>B53/T168-201</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color w:val="auto"/>
                <w:sz w:val="24"/>
              </w:rPr>
              <w:t xml:space="preserve">用水指标，每人每天以 </w:t>
            </w:r>
            <w:r>
              <w:rPr>
                <w:rFonts w:hint="default" w:ascii="Times New Roman" w:hAnsi="Times New Roman" w:eastAsia="Times New Roman" w:cs="Times New Roman"/>
                <w:color w:val="auto"/>
                <w:sz w:val="24"/>
              </w:rPr>
              <w:t>100L</w:t>
            </w:r>
            <w:r>
              <w:rPr>
                <w:rFonts w:hint="default" w:ascii="Times New Roman" w:hAnsi="Times New Roman" w:cs="Times New Roman"/>
                <w:color w:val="auto"/>
                <w:sz w:val="24"/>
              </w:rPr>
              <w:t xml:space="preserve"> 计，用水量为</w:t>
            </w:r>
            <w:r>
              <w:rPr>
                <w:rFonts w:hint="eastAsia" w:ascii="Times New Roman" w:hAnsi="Times New Roman" w:cs="Times New Roman"/>
                <w:color w:val="auto"/>
                <w:sz w:val="24"/>
                <w:lang w:val="en-US" w:eastAsia="zh-CN"/>
              </w:rPr>
              <w:t>7.7</w:t>
            </w:r>
            <w:r>
              <w:rPr>
                <w:rFonts w:hint="default" w:ascii="Times New Roman" w:hAnsi="Times New Roman" w:eastAsia="Times New Roman" w:cs="Times New Roman"/>
                <w:color w:val="auto"/>
                <w:sz w:val="24"/>
              </w:rPr>
              <w:t>m</w:t>
            </w:r>
            <w:r>
              <w:rPr>
                <w:rFonts w:hint="default" w:ascii="Times New Roman" w:hAnsi="Times New Roman" w:eastAsia="Times New Roman" w:cs="Times New Roman"/>
                <w:color w:val="auto"/>
                <w:sz w:val="24"/>
                <w:vertAlign w:val="superscript"/>
              </w:rPr>
              <w:t>3</w:t>
            </w:r>
            <w:r>
              <w:rPr>
                <w:rFonts w:hint="default" w:ascii="Times New Roman" w:hAnsi="Times New Roman" w:eastAsia="Times New Roman" w:cs="Times New Roman"/>
                <w:color w:val="auto"/>
                <w:sz w:val="24"/>
              </w:rPr>
              <w:t>/d</w:t>
            </w:r>
            <w:r>
              <w:rPr>
                <w:rFonts w:hint="default" w:ascii="Times New Roman" w:hAnsi="Times New Roman" w:cs="Times New Roman"/>
                <w:color w:val="auto"/>
                <w:sz w:val="24"/>
              </w:rPr>
              <w:t xml:space="preserve">，废水产生按 </w:t>
            </w:r>
            <w:r>
              <w:rPr>
                <w:rFonts w:hint="default" w:ascii="Times New Roman" w:hAnsi="Times New Roman" w:eastAsia="Times New Roman" w:cs="Times New Roman"/>
                <w:color w:val="auto"/>
                <w:sz w:val="24"/>
              </w:rPr>
              <w:t>0.8</w:t>
            </w:r>
            <w:r>
              <w:rPr>
                <w:rFonts w:hint="default" w:ascii="Times New Roman" w:hAnsi="Times New Roman" w:cs="Times New Roman"/>
                <w:color w:val="auto"/>
                <w:sz w:val="24"/>
              </w:rPr>
              <w:t xml:space="preserve"> 计，则产生的生活</w:t>
            </w:r>
            <w:r>
              <w:rPr>
                <w:rFonts w:hint="eastAsia" w:ascii="Times New Roman" w:hAnsi="Times New Roman" w:cs="Times New Roman"/>
                <w:color w:val="auto"/>
                <w:sz w:val="24"/>
              </w:rPr>
              <w:t>污水</w:t>
            </w:r>
            <w:r>
              <w:rPr>
                <w:rFonts w:hint="default" w:ascii="Times New Roman" w:hAnsi="Times New Roman" w:cs="Times New Roman"/>
                <w:color w:val="auto"/>
                <w:sz w:val="24"/>
              </w:rPr>
              <w:t xml:space="preserve">量为 </w:t>
            </w:r>
            <w:r>
              <w:rPr>
                <w:rFonts w:hint="eastAsia" w:ascii="Times New Roman" w:hAnsi="Times New Roman" w:eastAsia="宋体" w:cs="Times New Roman"/>
                <w:color w:val="auto"/>
                <w:sz w:val="24"/>
                <w:lang w:val="en-US" w:eastAsia="zh-CN"/>
              </w:rPr>
              <w:t>6.16</w:t>
            </w:r>
            <w:r>
              <w:rPr>
                <w:rFonts w:hint="default" w:ascii="Times New Roman" w:hAnsi="Times New Roman" w:eastAsia="Times New Roman" w:cs="Times New Roman"/>
                <w:color w:val="auto"/>
                <w:sz w:val="24"/>
              </w:rPr>
              <w:t>m</w:t>
            </w:r>
            <w:r>
              <w:rPr>
                <w:rFonts w:hint="default" w:ascii="Times New Roman" w:hAnsi="Times New Roman" w:eastAsia="Times New Roman" w:cs="Times New Roman"/>
                <w:color w:val="auto"/>
                <w:sz w:val="24"/>
                <w:vertAlign w:val="superscript"/>
              </w:rPr>
              <w:t>3</w:t>
            </w:r>
            <w:r>
              <w:rPr>
                <w:rFonts w:hint="default" w:ascii="Times New Roman" w:hAnsi="Times New Roman" w:eastAsia="Times New Roman" w:cs="Times New Roman"/>
                <w:color w:val="auto"/>
                <w:sz w:val="24"/>
              </w:rPr>
              <w:t>/d</w:t>
            </w:r>
            <w:r>
              <w:rPr>
                <w:rFonts w:hint="default" w:ascii="Times New Roman" w:hAnsi="Times New Roman" w:cs="Times New Roman"/>
                <w:color w:val="auto"/>
                <w:sz w:val="24"/>
              </w:rPr>
              <w:t>，</w:t>
            </w:r>
            <w:r>
              <w:rPr>
                <w:rFonts w:hint="eastAsia" w:ascii="Times New Roman" w:hAnsi="Times New Roman" w:cs="Times New Roman"/>
                <w:color w:val="auto"/>
                <w:sz w:val="24"/>
              </w:rPr>
              <w:t>项目勘探期</w:t>
            </w:r>
            <w:r>
              <w:rPr>
                <w:rFonts w:hint="eastAsia" w:ascii="Times New Roman" w:hAnsi="Times New Roman" w:cs="Times New Roman"/>
                <w:color w:val="auto"/>
                <w:sz w:val="24"/>
                <w:lang w:val="en-US" w:eastAsia="zh-CN"/>
              </w:rPr>
              <w:t>2</w:t>
            </w:r>
            <w:r>
              <w:rPr>
                <w:rFonts w:hint="eastAsia" w:ascii="Times New Roman" w:hAnsi="Times New Roman" w:cs="Times New Roman"/>
                <w:color w:val="auto"/>
                <w:sz w:val="24"/>
              </w:rPr>
              <w:t>个月</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60天</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rPr>
              <w:t>，因此</w:t>
            </w:r>
            <w:r>
              <w:rPr>
                <w:rFonts w:hint="default" w:ascii="Times New Roman" w:hAnsi="Times New Roman" w:cs="Times New Roman"/>
                <w:color w:val="auto"/>
                <w:sz w:val="24"/>
              </w:rPr>
              <w:t>整个探矿期间生活污水产生量为</w:t>
            </w:r>
            <w:r>
              <w:rPr>
                <w:rFonts w:hint="eastAsia" w:ascii="Times New Roman" w:hAnsi="Times New Roman" w:cs="Times New Roman"/>
                <w:color w:val="auto"/>
                <w:sz w:val="24"/>
                <w:lang w:val="en-US" w:eastAsia="zh-CN"/>
              </w:rPr>
              <w:t>369.6</w:t>
            </w:r>
            <w:r>
              <w:rPr>
                <w:rFonts w:hint="default" w:ascii="Times New Roman" w:hAnsi="Times New Roman" w:eastAsia="Times New Roman" w:cs="Times New Roman"/>
                <w:color w:val="auto"/>
                <w:sz w:val="24"/>
              </w:rPr>
              <w:t>m</w:t>
            </w:r>
            <w:r>
              <w:rPr>
                <w:rFonts w:hint="default" w:ascii="Times New Roman" w:hAnsi="Times New Roman" w:eastAsia="Times New Roman" w:cs="Times New Roman"/>
                <w:color w:val="auto"/>
                <w:sz w:val="24"/>
                <w:vertAlign w:val="superscript"/>
              </w:rPr>
              <w:t>3</w:t>
            </w:r>
            <w:r>
              <w:rPr>
                <w:rFonts w:hint="default" w:ascii="Times New Roman" w:hAnsi="Times New Roman" w:cs="Times New Roman"/>
                <w:color w:val="auto"/>
                <w:sz w:val="24"/>
              </w:rPr>
              <w:t xml:space="preserve">，生活污水的主要污染物为 </w:t>
            </w:r>
            <w:r>
              <w:rPr>
                <w:rFonts w:hint="default" w:ascii="Times New Roman" w:hAnsi="Times New Roman" w:eastAsia="Times New Roman" w:cs="Times New Roman"/>
                <w:color w:val="auto"/>
                <w:sz w:val="24"/>
              </w:rPr>
              <w:t>CODcr</w:t>
            </w:r>
            <w:r>
              <w:rPr>
                <w:rFonts w:hint="default" w:ascii="Times New Roman" w:hAnsi="Times New Roman" w:cs="Times New Roman"/>
                <w:color w:val="auto"/>
                <w:sz w:val="24"/>
              </w:rPr>
              <w:t>、</w:t>
            </w:r>
            <w:r>
              <w:rPr>
                <w:rFonts w:hint="default" w:ascii="Times New Roman" w:hAnsi="Times New Roman" w:eastAsia="Times New Roman" w:cs="Times New Roman"/>
                <w:color w:val="auto"/>
                <w:sz w:val="24"/>
              </w:rPr>
              <w:t>SS</w:t>
            </w:r>
            <w:r>
              <w:rPr>
                <w:rFonts w:hint="default" w:ascii="Times New Roman" w:hAnsi="Times New Roman" w:cs="Times New Roman"/>
                <w:color w:val="auto"/>
                <w:sz w:val="24"/>
              </w:rPr>
              <w:t>、氨氮、</w:t>
            </w:r>
            <w:r>
              <w:rPr>
                <w:rFonts w:hint="default" w:ascii="Times New Roman" w:hAnsi="Times New Roman" w:eastAsia="Times New Roman" w:cs="Times New Roman"/>
                <w:color w:val="auto"/>
                <w:sz w:val="24"/>
              </w:rPr>
              <w:t>TP</w:t>
            </w:r>
            <w:r>
              <w:rPr>
                <w:rFonts w:hint="default" w:ascii="Times New Roman" w:hAnsi="Times New Roman" w:cs="Times New Roman"/>
                <w:color w:val="auto"/>
                <w:sz w:val="24"/>
              </w:rPr>
              <w:t>、动植物油等。</w:t>
            </w:r>
            <w:r>
              <w:rPr>
                <w:rFonts w:hint="eastAsia" w:ascii="Times New Roman" w:hAnsi="Times New Roman" w:cs="Times New Roman"/>
                <w:color w:val="auto"/>
                <w:sz w:val="24"/>
              </w:rPr>
              <w:t>具体的产生情况见表</w:t>
            </w:r>
            <w:r>
              <w:rPr>
                <w:rFonts w:hint="eastAsia" w:ascii="Times New Roman" w:hAnsi="Times New Roman" w:cs="Times New Roman"/>
                <w:color w:val="auto"/>
                <w:sz w:val="24"/>
                <w:lang w:val="en-US" w:eastAsia="zh-CN"/>
              </w:rPr>
              <w:t>4</w:t>
            </w:r>
            <w:r>
              <w:rPr>
                <w:rFonts w:hint="eastAsia" w:ascii="Times New Roman" w:hAnsi="Times New Roman" w:cs="Times New Roman"/>
                <w:color w:val="auto"/>
                <w:sz w:val="24"/>
              </w:rPr>
              <w:t>-</w:t>
            </w:r>
            <w:r>
              <w:rPr>
                <w:rFonts w:hint="eastAsia" w:ascii="Times New Roman" w:hAnsi="Times New Roman" w:cs="Times New Roman"/>
                <w:color w:val="auto"/>
                <w:sz w:val="24"/>
                <w:lang w:val="en-US" w:eastAsia="zh-CN"/>
              </w:rPr>
              <w:t>3</w:t>
            </w:r>
            <w:r>
              <w:rPr>
                <w:rFonts w:hint="eastAsia" w:ascii="Times New Roman" w:hAnsi="Times New Roman" w:cs="Times New Roman"/>
                <w:color w:val="auto"/>
                <w:sz w:val="24"/>
              </w:rPr>
              <w:t>。生活污水排入</w:t>
            </w:r>
            <w:r>
              <w:rPr>
                <w:rFonts w:hint="eastAsia" w:ascii="Times New Roman" w:hAnsi="Times New Roman" w:cs="Times New Roman"/>
                <w:color w:val="auto"/>
                <w:sz w:val="24"/>
                <w:lang w:val="en-US" w:eastAsia="zh-CN"/>
              </w:rPr>
              <w:t>办公生活区已有的化粪池（容积30m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w:t>
            </w:r>
            <w:r>
              <w:rPr>
                <w:rFonts w:hint="eastAsia" w:ascii="Times New Roman" w:hAnsi="Times New Roman" w:cs="Times New Roman"/>
                <w:color w:val="auto"/>
                <w:sz w:val="24"/>
              </w:rPr>
              <w:t>沉淀发酵，定期清掏用作周边山林施肥。</w:t>
            </w:r>
          </w:p>
          <w:p w14:paraId="0658EAE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w:t>
            </w:r>
            <w:r>
              <w:rPr>
                <w:rFonts w:hint="eastAsia" w:ascii="Times New Roman" w:hAnsi="Times New Roman" w:cs="Times New Roman"/>
                <w:b/>
                <w:bCs/>
                <w:color w:val="auto"/>
                <w:sz w:val="24"/>
                <w:lang w:val="en-US" w:eastAsia="zh-CN"/>
              </w:rPr>
              <w:t>4-2</w:t>
            </w:r>
            <w:r>
              <w:rPr>
                <w:rFonts w:hint="default" w:ascii="Times New Roman" w:hAnsi="Times New Roman" w:cs="Times New Roman"/>
                <w:b/>
                <w:bCs/>
                <w:color w:val="auto"/>
                <w:sz w:val="24"/>
              </w:rPr>
              <w:t xml:space="preserve">  </w:t>
            </w:r>
            <w:r>
              <w:rPr>
                <w:rFonts w:hint="eastAsia" w:ascii="Times New Roman" w:hAnsi="Times New Roman" w:cs="Times New Roman"/>
                <w:b/>
                <w:bCs/>
                <w:color w:val="auto"/>
                <w:sz w:val="24"/>
              </w:rPr>
              <w:t>本项目生活污水</w:t>
            </w:r>
            <w:r>
              <w:rPr>
                <w:rFonts w:hint="default" w:ascii="Times New Roman" w:hAnsi="Times New Roman" w:cs="Times New Roman"/>
                <w:b/>
                <w:bCs/>
                <w:color w:val="auto"/>
                <w:sz w:val="24"/>
              </w:rPr>
              <w:t>污染物</w:t>
            </w:r>
            <w:r>
              <w:rPr>
                <w:rFonts w:hint="eastAsia" w:ascii="Times New Roman" w:hAnsi="Times New Roman" w:cs="Times New Roman"/>
                <w:b/>
                <w:bCs/>
                <w:color w:val="auto"/>
                <w:sz w:val="24"/>
              </w:rPr>
              <w:t>产生</w:t>
            </w:r>
            <w:r>
              <w:rPr>
                <w:rFonts w:hint="default" w:ascii="Times New Roman" w:hAnsi="Times New Roman" w:cs="Times New Roman"/>
                <w:b/>
                <w:bCs/>
                <w:color w:val="auto"/>
                <w:sz w:val="24"/>
              </w:rPr>
              <w:t>情况表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045"/>
              <w:gridCol w:w="903"/>
              <w:gridCol w:w="1109"/>
              <w:gridCol w:w="877"/>
              <w:gridCol w:w="851"/>
              <w:gridCol w:w="1188"/>
            </w:tblGrid>
            <w:tr w14:paraId="6550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blHeader/>
                <w:jc w:val="center"/>
              </w:trPr>
              <w:tc>
                <w:tcPr>
                  <w:tcW w:w="1266" w:type="dxa"/>
                  <w:vMerge w:val="restart"/>
                  <w:noWrap w:val="0"/>
                  <w:vAlign w:val="center"/>
                </w:tcPr>
                <w:p w14:paraId="46CB9780">
                  <w:pPr>
                    <w:pStyle w:val="2"/>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1045" w:type="dxa"/>
                  <w:vMerge w:val="restart"/>
                  <w:noWrap w:val="0"/>
                  <w:vAlign w:val="center"/>
                </w:tcPr>
                <w:p w14:paraId="71C480F7">
                  <w:pPr>
                    <w:pStyle w:val="2"/>
                    <w:keepNext w:val="0"/>
                    <w:keepLines w:val="0"/>
                    <w:suppressLineNumbers w:val="0"/>
                    <w:spacing w:before="0" w:beforeAutospacing="0" w:after="0" w:afterAutospacing="0"/>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水量(</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rPr>
                    <w:t>/d)</w:t>
                  </w:r>
                </w:p>
              </w:tc>
              <w:tc>
                <w:tcPr>
                  <w:tcW w:w="4928" w:type="dxa"/>
                  <w:gridSpan w:val="5"/>
                  <w:noWrap w:val="0"/>
                  <w:vAlign w:val="center"/>
                </w:tcPr>
                <w:p w14:paraId="01CDA2BC">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污染物产生浓度（mg/L）</w:t>
                  </w:r>
                </w:p>
              </w:tc>
            </w:tr>
            <w:tr w14:paraId="6D12D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blHeader/>
                <w:jc w:val="center"/>
              </w:trPr>
              <w:tc>
                <w:tcPr>
                  <w:tcW w:w="1266" w:type="dxa"/>
                  <w:vMerge w:val="continue"/>
                  <w:noWrap w:val="0"/>
                  <w:vAlign w:val="center"/>
                </w:tcPr>
                <w:p w14:paraId="16291799">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1045" w:type="dxa"/>
                  <w:vMerge w:val="continue"/>
                  <w:noWrap w:val="0"/>
                  <w:vAlign w:val="center"/>
                </w:tcPr>
                <w:p w14:paraId="127E6874">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903" w:type="dxa"/>
                  <w:noWrap w:val="0"/>
                  <w:vAlign w:val="center"/>
                </w:tcPr>
                <w:p w14:paraId="6FB5CD77">
                  <w:pPr>
                    <w:pStyle w:val="2"/>
                    <w:keepNext w:val="0"/>
                    <w:keepLines w:val="0"/>
                    <w:suppressLineNumbers w:val="0"/>
                    <w:spacing w:before="0" w:beforeAutospacing="0" w:after="0" w:afterAutospacing="0"/>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COD</w:t>
                  </w:r>
                  <w:r>
                    <w:rPr>
                      <w:rFonts w:hint="default" w:ascii="Times New Roman" w:hAnsi="Times New Roman" w:eastAsia="宋体" w:cs="Times New Roman"/>
                      <w:b/>
                      <w:bCs/>
                      <w:color w:val="auto"/>
                      <w:sz w:val="21"/>
                      <w:szCs w:val="21"/>
                      <w:vertAlign w:val="subscript"/>
                    </w:rPr>
                    <w:t>Cr</w:t>
                  </w:r>
                </w:p>
              </w:tc>
              <w:tc>
                <w:tcPr>
                  <w:tcW w:w="1109" w:type="dxa"/>
                  <w:noWrap w:val="0"/>
                  <w:vAlign w:val="center"/>
                </w:tcPr>
                <w:p w14:paraId="38646F27">
                  <w:pPr>
                    <w:pStyle w:val="2"/>
                    <w:keepNext w:val="0"/>
                    <w:keepLines w:val="0"/>
                    <w:suppressLineNumbers w:val="0"/>
                    <w:spacing w:before="0" w:beforeAutospacing="0" w:after="0" w:afterAutospacing="0"/>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BOD</w:t>
                  </w:r>
                  <w:r>
                    <w:rPr>
                      <w:rFonts w:hint="default" w:ascii="Times New Roman" w:hAnsi="Times New Roman" w:eastAsia="宋体" w:cs="Times New Roman"/>
                      <w:b/>
                      <w:bCs/>
                      <w:color w:val="auto"/>
                      <w:sz w:val="21"/>
                      <w:szCs w:val="21"/>
                      <w:vertAlign w:val="subscript"/>
                    </w:rPr>
                    <w:t>5</w:t>
                  </w:r>
                </w:p>
              </w:tc>
              <w:tc>
                <w:tcPr>
                  <w:tcW w:w="877" w:type="dxa"/>
                  <w:noWrap w:val="0"/>
                  <w:vAlign w:val="center"/>
                </w:tcPr>
                <w:p w14:paraId="40B28767">
                  <w:pPr>
                    <w:pStyle w:val="2"/>
                    <w:keepNext w:val="0"/>
                    <w:keepLines w:val="0"/>
                    <w:suppressLineNumbers w:val="0"/>
                    <w:spacing w:before="0" w:beforeAutospacing="0" w:after="0" w:afterAutospacing="0"/>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SS</w:t>
                  </w:r>
                </w:p>
              </w:tc>
              <w:tc>
                <w:tcPr>
                  <w:tcW w:w="851" w:type="dxa"/>
                  <w:noWrap w:val="0"/>
                  <w:vAlign w:val="center"/>
                </w:tcPr>
                <w:p w14:paraId="004DC0CD">
                  <w:pPr>
                    <w:pStyle w:val="2"/>
                    <w:keepNext w:val="0"/>
                    <w:keepLines w:val="0"/>
                    <w:suppressLineNumbers w:val="0"/>
                    <w:spacing w:before="0" w:beforeAutospacing="0" w:after="0" w:afterAutospacing="0"/>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NH</w:t>
                  </w:r>
                  <w:r>
                    <w:rPr>
                      <w:rFonts w:hint="default" w:ascii="Times New Roman" w:hAnsi="Times New Roman" w:eastAsia="宋体" w:cs="Times New Roman"/>
                      <w:b/>
                      <w:bCs/>
                      <w:color w:val="auto"/>
                      <w:sz w:val="21"/>
                      <w:szCs w:val="21"/>
                      <w:vertAlign w:val="subscript"/>
                    </w:rPr>
                    <w:t>3</w:t>
                  </w:r>
                  <w:r>
                    <w:rPr>
                      <w:rFonts w:hint="default" w:ascii="Times New Roman" w:hAnsi="Times New Roman" w:eastAsia="宋体" w:cs="Times New Roman"/>
                      <w:b/>
                      <w:bCs/>
                      <w:color w:val="auto"/>
                      <w:sz w:val="21"/>
                      <w:szCs w:val="21"/>
                    </w:rPr>
                    <w:t>-N</w:t>
                  </w:r>
                </w:p>
              </w:tc>
              <w:tc>
                <w:tcPr>
                  <w:tcW w:w="1188" w:type="dxa"/>
                  <w:noWrap w:val="0"/>
                  <w:vAlign w:val="center"/>
                </w:tcPr>
                <w:p w14:paraId="5D4E4309">
                  <w:pPr>
                    <w:pStyle w:val="2"/>
                    <w:keepNext w:val="0"/>
                    <w:keepLines w:val="0"/>
                    <w:suppressLineNumbers w:val="0"/>
                    <w:spacing w:before="0" w:beforeAutospacing="0" w:after="0" w:afterAutospacing="0"/>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动植物油类</w:t>
                  </w:r>
                </w:p>
              </w:tc>
            </w:tr>
            <w:tr w14:paraId="3276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266" w:type="dxa"/>
                  <w:noWrap w:val="0"/>
                  <w:vAlign w:val="center"/>
                </w:tcPr>
                <w:p w14:paraId="166433D4">
                  <w:pPr>
                    <w:pStyle w:val="2"/>
                    <w:keepNext w:val="0"/>
                    <w:keepLines w:val="0"/>
                    <w:suppressLineNumbers w:val="0"/>
                    <w:spacing w:before="0" w:beforeAutospacing="0" w:after="0" w:afterAutospacing="0"/>
                    <w:ind w:left="0" w:right="0" w:firstLine="210" w:firstLineChars="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1045" w:type="dxa"/>
                  <w:noWrap w:val="0"/>
                  <w:vAlign w:val="center"/>
                </w:tcPr>
                <w:p w14:paraId="22AC602D">
                  <w:pPr>
                    <w:pStyle w:val="2"/>
                    <w:keepNext w:val="0"/>
                    <w:keepLines w:val="0"/>
                    <w:suppressLineNumbers w:val="0"/>
                    <w:spacing w:before="0" w:beforeAutospacing="0" w:after="0" w:afterAutospacing="0"/>
                    <w:ind w:left="0" w:right="0"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6.16</w:t>
                  </w:r>
                </w:p>
              </w:tc>
              <w:tc>
                <w:tcPr>
                  <w:tcW w:w="903" w:type="dxa"/>
                  <w:noWrap w:val="0"/>
                  <w:vAlign w:val="center"/>
                </w:tcPr>
                <w:p w14:paraId="321AC8EA">
                  <w:pPr>
                    <w:pStyle w:val="2"/>
                    <w:keepNext w:val="0"/>
                    <w:keepLines w:val="0"/>
                    <w:suppressLineNumbers w:val="0"/>
                    <w:spacing w:before="0" w:beforeAutospacing="0" w:after="0" w:afterAutospacing="0"/>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1109" w:type="dxa"/>
                  <w:noWrap w:val="0"/>
                  <w:vAlign w:val="center"/>
                </w:tcPr>
                <w:p w14:paraId="783A57A6">
                  <w:pPr>
                    <w:pStyle w:val="2"/>
                    <w:keepNext w:val="0"/>
                    <w:keepLines w:val="0"/>
                    <w:suppressLineNumbers w:val="0"/>
                    <w:spacing w:before="0" w:beforeAutospacing="0" w:after="0" w:afterAutospacing="0"/>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877" w:type="dxa"/>
                  <w:noWrap w:val="0"/>
                  <w:vAlign w:val="center"/>
                </w:tcPr>
                <w:p w14:paraId="3E6D97C2">
                  <w:pPr>
                    <w:pStyle w:val="2"/>
                    <w:keepNext w:val="0"/>
                    <w:keepLines w:val="0"/>
                    <w:suppressLineNumbers w:val="0"/>
                    <w:spacing w:before="0" w:beforeAutospacing="0" w:after="0" w:afterAutospacing="0"/>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851" w:type="dxa"/>
                  <w:noWrap w:val="0"/>
                  <w:vAlign w:val="center"/>
                </w:tcPr>
                <w:p w14:paraId="433520A2">
                  <w:pPr>
                    <w:pStyle w:val="2"/>
                    <w:keepNext w:val="0"/>
                    <w:keepLines w:val="0"/>
                    <w:suppressLineNumbers w:val="0"/>
                    <w:spacing w:before="0" w:beforeAutospacing="0" w:after="0" w:afterAutospacing="0"/>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188" w:type="dxa"/>
                  <w:noWrap w:val="0"/>
                  <w:vAlign w:val="center"/>
                </w:tcPr>
                <w:p w14:paraId="06A57927">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r>
          </w:tbl>
          <w:p w14:paraId="73A2A84B">
            <w:pPr>
              <w:pStyle w:val="2"/>
              <w:keepNext w:val="0"/>
              <w:keepLines w:val="0"/>
              <w:suppressLineNumbers w:val="0"/>
              <w:spacing w:before="0" w:beforeAutospacing="0" w:after="0" w:afterAutospacing="0"/>
              <w:ind w:left="0" w:right="0" w:firstLine="0"/>
              <w:rPr>
                <w:rFonts w:hint="default" w:hAnsi="宋体" w:cs="Times New Roman"/>
                <w:color w:val="auto"/>
                <w:sz w:val="24"/>
                <w:szCs w:val="24"/>
              </w:rPr>
            </w:pPr>
          </w:p>
          <w:p w14:paraId="39ECBBC1">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cs="Times New Roman"/>
                <w:b/>
                <w:color w:val="auto"/>
                <w:sz w:val="24"/>
              </w:rPr>
            </w:pPr>
            <w:r>
              <w:rPr>
                <w:rFonts w:hint="eastAsia" w:ascii="Times New Roman" w:hAnsi="Times New Roman" w:cs="Times New Roman"/>
                <w:b/>
                <w:color w:val="auto"/>
                <w:sz w:val="24"/>
              </w:rPr>
              <w:t xml:space="preserve">   </w:t>
            </w:r>
            <w:r>
              <w:rPr>
                <w:rFonts w:hint="eastAsia" w:ascii="宋体" w:hAnsi="宋体" w:cs="Times New Roman"/>
                <w:color w:val="auto"/>
                <w:sz w:val="24"/>
              </w:rPr>
              <w:t xml:space="preserve"> 本项目水平衡图见下图。</w:t>
            </w:r>
          </w:p>
          <w:p w14:paraId="767FFD52">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b/>
                <w:color w:val="auto"/>
                <w:sz w:val="24"/>
                <w:lang w:val="en-US" w:eastAsia="zh-CN"/>
              </w:rPr>
            </w:pPr>
            <w:r>
              <w:rPr>
                <w:rFonts w:hint="eastAsia" w:ascii="Times New Roman" w:hAnsi="Times New Roman" w:cs="Times New Roman"/>
                <w:b/>
                <w:color w:val="auto"/>
                <w:sz w:val="24"/>
              </w:rPr>
              <w:t xml:space="preserve"> </w:t>
            </w:r>
            <w:r>
              <w:rPr>
                <w:rFonts w:hint="eastAsia" w:ascii="Times New Roman" w:hAnsi="Times New Roman" w:cs="Times New Roman"/>
                <w:b/>
                <w:color w:val="auto"/>
                <w:sz w:val="24"/>
                <w:lang w:val="en-US" w:eastAsia="zh-CN"/>
              </w:rPr>
              <w:t xml:space="preserve"> </w:t>
            </w:r>
          </w:p>
          <w:p w14:paraId="4C33D943">
            <w:pPr>
              <w:pStyle w:val="2"/>
              <w:keepNext w:val="0"/>
              <w:keepLines w:val="0"/>
              <w:suppressLineNumbers w:val="0"/>
              <w:spacing w:before="0" w:beforeAutospacing="0" w:after="0" w:afterAutospacing="0"/>
              <w:ind w:left="0" w:right="0"/>
              <w:rPr>
                <w:rFonts w:hint="default" w:ascii="Times New Roman" w:hAnsi="Times New Roman" w:eastAsia="Times New Roman" w:cs="Times New Roman"/>
                <w:b/>
                <w:color w:val="auto"/>
                <w:sz w:val="24"/>
                <w:szCs w:val="24"/>
              </w:rPr>
            </w:pPr>
            <w:r>
              <w:rPr>
                <w:rFonts w:hint="default" w:cs="Times New Roman"/>
                <w:color w:val="auto"/>
                <w:sz w:val="24"/>
              </w:rPr>
              <mc:AlternateContent>
                <mc:Choice Requires="wps">
                  <w:drawing>
                    <wp:anchor distT="0" distB="0" distL="114300" distR="114300" simplePos="0" relativeHeight="251667456" behindDoc="0" locked="0" layoutInCell="1" allowOverlap="1">
                      <wp:simplePos x="0" y="0"/>
                      <wp:positionH relativeFrom="column">
                        <wp:posOffset>2011045</wp:posOffset>
                      </wp:positionH>
                      <wp:positionV relativeFrom="paragraph">
                        <wp:posOffset>7620</wp:posOffset>
                      </wp:positionV>
                      <wp:extent cx="571500" cy="342900"/>
                      <wp:effectExtent l="0" t="0" r="0" b="0"/>
                      <wp:wrapNone/>
                      <wp:docPr id="9" name="文本框 239"/>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wps:spPr>
                            <wps:txbx>
                              <w:txbxContent>
                                <w:p w14:paraId="0847F854">
                                  <w:pPr>
                                    <w:rPr>
                                      <w:rFonts w:hint="default" w:eastAsia="宋体"/>
                                      <w:lang w:val="en-US" w:eastAsia="zh-CN"/>
                                    </w:rPr>
                                  </w:pPr>
                                  <w:r>
                                    <w:rPr>
                                      <w:rFonts w:hint="eastAsia"/>
                                      <w:lang w:val="en-US" w:eastAsia="zh-CN"/>
                                    </w:rPr>
                                    <w:t>1.54</w:t>
                                  </w:r>
                                </w:p>
                              </w:txbxContent>
                            </wps:txbx>
                            <wps:bodyPr wrap="square" upright="1"/>
                          </wps:wsp>
                        </a:graphicData>
                      </a:graphic>
                    </wp:anchor>
                  </w:drawing>
                </mc:Choice>
                <mc:Fallback>
                  <w:pict>
                    <v:shape id="文本框 239" o:spid="_x0000_s1026" o:spt="202" type="#_x0000_t202" style="position:absolute;left:0pt;margin-left:158.35pt;margin-top:0.6pt;height:27pt;width:45pt;z-index:251667456;mso-width-relative:page;mso-height-relative:page;" filled="f" stroked="f" coordsize="21600,21600" o:gfxdata="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R12th1QAAAAgBAAAPAAAAAAAAAAEAIAAAACIAAABkcnMvZG93bnJldi54bWxQSwECFAAUAAAA&#10;CACHTuJAw2iY+7gBAABdAwAADgAAAAAAAAABACAAAAAkAQAAZHJzL2Uyb0RvYy54bWxQSwUGAAAA&#10;AAYABgBZAQAATgUAAAAA&#10;">
                      <v:fill on="f" focussize="0,0"/>
                      <v:stroke on="f"/>
                      <v:imagedata o:title=""/>
                      <o:lock v:ext="edit" aspectratio="f"/>
                      <v:textbox>
                        <w:txbxContent>
                          <w:p w14:paraId="0847F854">
                            <w:pPr>
                              <w:rPr>
                                <w:rFonts w:hint="default" w:eastAsia="宋体"/>
                                <w:lang w:val="en-US" w:eastAsia="zh-CN"/>
                              </w:rPr>
                            </w:pPr>
                            <w:r>
                              <w:rPr>
                                <w:rFonts w:hint="eastAsia"/>
                                <w:lang w:val="en-US" w:eastAsia="zh-CN"/>
                              </w:rPr>
                              <w:t>1.54</w:t>
                            </w:r>
                          </w:p>
                        </w:txbxContent>
                      </v:textbox>
                    </v:shape>
                  </w:pict>
                </mc:Fallback>
              </mc:AlternateContent>
            </w:r>
            <w:r>
              <w:rPr>
                <w:rFonts w:hint="default" w:cs="Times New Roman"/>
                <w:color w:val="auto"/>
                <w:sz w:val="24"/>
              </w:rPr>
              <mc:AlternateContent>
                <mc:Choice Requires="wps">
                  <w:drawing>
                    <wp:anchor distT="0" distB="0" distL="114300" distR="114300" simplePos="0" relativeHeight="251668480" behindDoc="0" locked="0" layoutInCell="1" allowOverlap="1">
                      <wp:simplePos x="0" y="0"/>
                      <wp:positionH relativeFrom="column">
                        <wp:posOffset>1830070</wp:posOffset>
                      </wp:positionH>
                      <wp:positionV relativeFrom="paragraph">
                        <wp:posOffset>124460</wp:posOffset>
                      </wp:positionV>
                      <wp:extent cx="219075" cy="257175"/>
                      <wp:effectExtent l="3810" t="0" r="5715" b="9525"/>
                      <wp:wrapNone/>
                      <wp:docPr id="10" name="直线 240"/>
                      <wp:cNvGraphicFramePr/>
                      <a:graphic xmlns:a="http://schemas.openxmlformats.org/drawingml/2006/main">
                        <a:graphicData uri="http://schemas.microsoft.com/office/word/2010/wordprocessingShape">
                          <wps:wsp>
                            <wps:cNvCnPr/>
                            <wps:spPr>
                              <a:xfrm flipV="1">
                                <a:off x="0" y="0"/>
                                <a:ext cx="219075" cy="25717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直线 240" o:spid="_x0000_s1026" o:spt="20" style="position:absolute;left:0pt;flip:y;margin-left:144.1pt;margin-top:9.8pt;height:20.25pt;width:17.25pt;z-index:251668480;mso-width-relative:page;mso-height-relative:page;" filled="f" stroked="t" coordsize="21600,21600" o:gfxdata="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ai61gAAAAkBAAAPAAAAAAAAAAEAIAAAACIAAABkcnMvZG93bnJldi54bWxQ&#10;SwECFAAUAAAACACHTuJAZV9pjvkBAADvAwAADgAAAAAAAAABACAAAAAlAQAAZHJzL2Uyb0RvYy54&#10;bWxQSwUGAAAAAAYABgBZAQAAkAUAAAAA&#10;">
                      <v:fill on="f" focussize="0,0"/>
                      <v:stroke color="#000000" joinstyle="round" dashstyle="dash" endarrow="block"/>
                      <v:imagedata o:title=""/>
                      <o:lock v:ext="edit" aspectratio="f"/>
                    </v:line>
                  </w:pict>
                </mc:Fallback>
              </mc:AlternateContent>
            </w:r>
          </w:p>
          <w:p w14:paraId="2A484F78">
            <w:pPr>
              <w:pStyle w:val="2"/>
              <w:keepNext w:val="0"/>
              <w:keepLines w:val="0"/>
              <w:suppressLineNumbers w:val="0"/>
              <w:spacing w:before="0" w:beforeAutospacing="0" w:after="0" w:afterAutospacing="0"/>
              <w:ind w:left="0" w:right="0"/>
              <w:rPr>
                <w:rFonts w:hint="default" w:ascii="Times New Roman" w:hAnsi="Times New Roman" w:eastAsia="Times New Roman" w:cs="Times New Roman"/>
                <w:b/>
                <w:color w:val="auto"/>
                <w:sz w:val="24"/>
                <w:szCs w:val="24"/>
              </w:rPr>
            </w:pPr>
            <w:r>
              <w:rPr>
                <w:rFonts w:hint="default" w:cs="Times New Roman"/>
                <w:color w:val="auto"/>
                <w:sz w:val="24"/>
              </w:rPr>
              <mc:AlternateContent>
                <mc:Choice Requires="wps">
                  <w:drawing>
                    <wp:anchor distT="0" distB="0" distL="114300" distR="114300" simplePos="0" relativeHeight="251659264" behindDoc="0" locked="0" layoutInCell="1" allowOverlap="1">
                      <wp:simplePos x="0" y="0"/>
                      <wp:positionH relativeFrom="column">
                        <wp:posOffset>620395</wp:posOffset>
                      </wp:positionH>
                      <wp:positionV relativeFrom="paragraph">
                        <wp:posOffset>103505</wp:posOffset>
                      </wp:positionV>
                      <wp:extent cx="838200" cy="390525"/>
                      <wp:effectExtent l="0" t="0" r="0" b="0"/>
                      <wp:wrapNone/>
                      <wp:docPr id="1" name="文本框 243"/>
                      <wp:cNvGraphicFramePr/>
                      <a:graphic xmlns:a="http://schemas.openxmlformats.org/drawingml/2006/main">
                        <a:graphicData uri="http://schemas.microsoft.com/office/word/2010/wordprocessingShape">
                          <wps:wsp>
                            <wps:cNvSpPr txBox="1"/>
                            <wps:spPr>
                              <a:xfrm>
                                <a:off x="0" y="0"/>
                                <a:ext cx="838200" cy="390525"/>
                              </a:xfrm>
                              <a:prstGeom prst="rect">
                                <a:avLst/>
                              </a:prstGeom>
                              <a:noFill/>
                              <a:ln>
                                <a:noFill/>
                              </a:ln>
                            </wps:spPr>
                            <wps:txbx>
                              <w:txbxContent>
                                <w:p w14:paraId="2D0A32DE">
                                  <w:pPr>
                                    <w:rPr>
                                      <w:rFonts w:hint="default" w:eastAsia="宋体"/>
                                      <w:lang w:val="en-US" w:eastAsia="zh-CN"/>
                                    </w:rPr>
                                  </w:pPr>
                                  <w:r>
                                    <w:rPr>
                                      <w:rFonts w:hint="eastAsia"/>
                                    </w:rPr>
                                    <w:t>山泉水</w:t>
                                  </w:r>
                                  <w:r>
                                    <w:rPr>
                                      <w:rFonts w:hint="eastAsia"/>
                                      <w:lang w:val="en-US" w:eastAsia="zh-CN"/>
                                    </w:rPr>
                                    <w:t>7.7</w:t>
                                  </w:r>
                                </w:p>
                              </w:txbxContent>
                            </wps:txbx>
                            <wps:bodyPr wrap="square" upright="1"/>
                          </wps:wsp>
                        </a:graphicData>
                      </a:graphic>
                    </wp:anchor>
                  </w:drawing>
                </mc:Choice>
                <mc:Fallback>
                  <w:pict>
                    <v:shape id="文本框 243" o:spid="_x0000_s1026" o:spt="202" type="#_x0000_t202" style="position:absolute;left:0pt;margin-left:48.85pt;margin-top:8.15pt;height:30.75pt;width:66pt;z-index:251659264;mso-width-relative:page;mso-height-relative:page;" filled="f" stroked="f" coordsize="21600,21600" o:gfxdata="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CYgKNYAAAAIAQAADwAAAAAAAAABACAAAAAiAAAAZHJzL2Rvd25yZXYueG1sUEsBAhQAFAAA&#10;AAgAh07iQJVxgpi4AQAAXQMAAA4AAAAAAAAAAQAgAAAAJQEAAGRycy9lMm9Eb2MueG1sUEsFBgAA&#10;AAAGAAYAWQEAAE8FAAAAAA==&#10;">
                      <v:fill on="f" focussize="0,0"/>
                      <v:stroke on="f"/>
                      <v:imagedata o:title=""/>
                      <o:lock v:ext="edit" aspectratio="f"/>
                      <v:textbox>
                        <w:txbxContent>
                          <w:p w14:paraId="2D0A32DE">
                            <w:pPr>
                              <w:rPr>
                                <w:rFonts w:hint="default" w:eastAsia="宋体"/>
                                <w:lang w:val="en-US" w:eastAsia="zh-CN"/>
                              </w:rPr>
                            </w:pPr>
                            <w:r>
                              <w:rPr>
                                <w:rFonts w:hint="eastAsia"/>
                              </w:rPr>
                              <w:t>山泉水</w:t>
                            </w:r>
                            <w:r>
                              <w:rPr>
                                <w:rFonts w:hint="eastAsia"/>
                                <w:lang w:val="en-US" w:eastAsia="zh-CN"/>
                              </w:rPr>
                              <w:t>7.7</w:t>
                            </w:r>
                          </w:p>
                        </w:txbxContent>
                      </v:textbox>
                    </v:shape>
                  </w:pict>
                </mc:Fallback>
              </mc:AlternateContent>
            </w:r>
            <w:r>
              <w:rPr>
                <w:rFonts w:hint="default" w:cs="Times New Roman"/>
                <w:color w:val="auto"/>
                <w:sz w:val="24"/>
              </w:rPr>
              <mc:AlternateContent>
                <mc:Choice Requires="wps">
                  <w:drawing>
                    <wp:anchor distT="0" distB="0" distL="114300" distR="114300" simplePos="0" relativeHeight="251666432" behindDoc="0" locked="0" layoutInCell="1" allowOverlap="1">
                      <wp:simplePos x="0" y="0"/>
                      <wp:positionH relativeFrom="column">
                        <wp:posOffset>2296795</wp:posOffset>
                      </wp:positionH>
                      <wp:positionV relativeFrom="paragraph">
                        <wp:posOffset>90170</wp:posOffset>
                      </wp:positionV>
                      <wp:extent cx="571500" cy="266700"/>
                      <wp:effectExtent l="0" t="0" r="0" b="0"/>
                      <wp:wrapNone/>
                      <wp:docPr id="8" name="文本框 242"/>
                      <wp:cNvGraphicFramePr/>
                      <a:graphic xmlns:a="http://schemas.openxmlformats.org/drawingml/2006/main">
                        <a:graphicData uri="http://schemas.microsoft.com/office/word/2010/wordprocessingShape">
                          <wps:wsp>
                            <wps:cNvSpPr txBox="1"/>
                            <wps:spPr>
                              <a:xfrm>
                                <a:off x="0" y="0"/>
                                <a:ext cx="571500" cy="266700"/>
                              </a:xfrm>
                              <a:prstGeom prst="rect">
                                <a:avLst/>
                              </a:prstGeom>
                              <a:noFill/>
                              <a:ln>
                                <a:noFill/>
                              </a:ln>
                            </wps:spPr>
                            <wps:txbx>
                              <w:txbxContent>
                                <w:p w14:paraId="2229B2C6">
                                  <w:pPr>
                                    <w:rPr>
                                      <w:rFonts w:hint="default" w:eastAsia="宋体"/>
                                      <w:lang w:val="en-US" w:eastAsia="zh-CN"/>
                                    </w:rPr>
                                  </w:pPr>
                                  <w:r>
                                    <w:rPr>
                                      <w:rFonts w:hint="eastAsia"/>
                                      <w:lang w:val="en-US" w:eastAsia="zh-CN"/>
                                    </w:rPr>
                                    <w:t>6.16</w:t>
                                  </w:r>
                                </w:p>
                              </w:txbxContent>
                            </wps:txbx>
                            <wps:bodyPr wrap="square" upright="1"/>
                          </wps:wsp>
                        </a:graphicData>
                      </a:graphic>
                    </wp:anchor>
                  </w:drawing>
                </mc:Choice>
                <mc:Fallback>
                  <w:pict>
                    <v:shape id="文本框 242" o:spid="_x0000_s1026" o:spt="202" type="#_x0000_t202" style="position:absolute;left:0pt;margin-left:180.85pt;margin-top:7.1pt;height:21pt;width:45pt;z-index:251666432;mso-width-relative:page;mso-height-relative:page;" filled="f" stroked="f" coordsize="21600,21600" o:gfxdata="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58przNUAAAAJAQAADwAAAAAAAAABACAAAAAiAAAAZHJzL2Rvd25yZXYueG1sUEsBAhQAFAAAAAgA&#10;h07iQIGMGeC2AQAAXQMAAA4AAAAAAAAAAQAgAAAAJAEAAGRycy9lMm9Eb2MueG1sUEsFBgAAAAAG&#10;AAYAWQEAAEwFAAAAAA==&#10;">
                      <v:fill on="f" focussize="0,0"/>
                      <v:stroke on="f"/>
                      <v:imagedata o:title=""/>
                      <o:lock v:ext="edit" aspectratio="f"/>
                      <v:textbox>
                        <w:txbxContent>
                          <w:p w14:paraId="2229B2C6">
                            <w:pPr>
                              <w:rPr>
                                <w:rFonts w:hint="default" w:eastAsia="宋体"/>
                                <w:lang w:val="en-US" w:eastAsia="zh-CN"/>
                              </w:rPr>
                            </w:pPr>
                            <w:r>
                              <w:rPr>
                                <w:rFonts w:hint="eastAsia"/>
                                <w:lang w:val="en-US" w:eastAsia="zh-CN"/>
                              </w:rPr>
                              <w:t>6.16</w:t>
                            </w:r>
                          </w:p>
                        </w:txbxContent>
                      </v:textbox>
                    </v:shape>
                  </w:pict>
                </mc:Fallback>
              </mc:AlternateContent>
            </w:r>
            <w:r>
              <w:rPr>
                <w:rFonts w:hint="default" w:cs="Times New Roman"/>
                <w:color w:val="auto"/>
                <w:sz w:val="24"/>
              </w:rPr>
              <mc:AlternateContent>
                <mc:Choice Requires="wps">
                  <w:drawing>
                    <wp:anchor distT="0" distB="0" distL="114300" distR="114300" simplePos="0" relativeHeight="251661312" behindDoc="0" locked="0" layoutInCell="1" allowOverlap="1">
                      <wp:simplePos x="0" y="0"/>
                      <wp:positionH relativeFrom="column">
                        <wp:posOffset>1468120</wp:posOffset>
                      </wp:positionH>
                      <wp:positionV relativeFrom="paragraph">
                        <wp:posOffset>189230</wp:posOffset>
                      </wp:positionV>
                      <wp:extent cx="838200" cy="390525"/>
                      <wp:effectExtent l="4445" t="4445" r="14605" b="5080"/>
                      <wp:wrapNone/>
                      <wp:docPr id="3" name="文本框 245"/>
                      <wp:cNvGraphicFramePr/>
                      <a:graphic xmlns:a="http://schemas.openxmlformats.org/drawingml/2006/main">
                        <a:graphicData uri="http://schemas.microsoft.com/office/word/2010/wordprocessingShape">
                          <wps:wsp>
                            <wps:cNvSpPr txBox="1"/>
                            <wps:spPr>
                              <a:xfrm>
                                <a:off x="0" y="0"/>
                                <a:ext cx="838200" cy="3905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BE8512">
                                  <w:pPr>
                                    <w:rPr>
                                      <w:rFonts w:hint="eastAsia"/>
                                    </w:rPr>
                                  </w:pPr>
                                  <w:r>
                                    <w:rPr>
                                      <w:rFonts w:hint="eastAsia"/>
                                    </w:rPr>
                                    <w:t>生活用水</w:t>
                                  </w:r>
                                </w:p>
                              </w:txbxContent>
                            </wps:txbx>
                            <wps:bodyPr wrap="square" upright="1"/>
                          </wps:wsp>
                        </a:graphicData>
                      </a:graphic>
                    </wp:anchor>
                  </w:drawing>
                </mc:Choice>
                <mc:Fallback>
                  <w:pict>
                    <v:shape id="文本框 245" o:spid="_x0000_s1026" o:spt="202" type="#_x0000_t202" style="position:absolute;left:0pt;margin-left:115.6pt;margin-top:14.9pt;height:30.75pt;width:66pt;z-index:251661312;mso-width-relative:page;mso-height-relative:page;" fillcolor="#FFFFFF" filled="t" stroked="t" coordsize="21600,21600" o:gfxdata="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h3MFdgAAAAJAQAADwAA&#10;AAAAAAABACAAAAAiAAAAZHJzL2Rvd25yZXYueG1sUEsBAhQAFAAAAAgAh07iQNLMFxAWAgAARQQA&#10;AA4AAAAAAAAAAQAgAAAAJwEAAGRycy9lMm9Eb2MueG1sUEsFBgAAAAAGAAYAWQEAAK8FAAAAAA==&#10;">
                      <v:fill on="t" focussize="0,0"/>
                      <v:stroke color="#000000" joinstyle="miter"/>
                      <v:imagedata o:title=""/>
                      <o:lock v:ext="edit" aspectratio="f"/>
                      <v:textbox>
                        <w:txbxContent>
                          <w:p w14:paraId="19BE8512">
                            <w:pPr>
                              <w:rPr>
                                <w:rFonts w:hint="eastAsia"/>
                              </w:rPr>
                            </w:pPr>
                            <w:r>
                              <w:rPr>
                                <w:rFonts w:hint="eastAsia"/>
                              </w:rPr>
                              <w:t>生活用水</w:t>
                            </w:r>
                          </w:p>
                        </w:txbxContent>
                      </v:textbox>
                    </v:shape>
                  </w:pict>
                </mc:Fallback>
              </mc:AlternateContent>
            </w:r>
          </w:p>
          <w:p w14:paraId="7746DA53">
            <w:pPr>
              <w:pStyle w:val="2"/>
              <w:keepNext w:val="0"/>
              <w:keepLines w:val="0"/>
              <w:suppressLineNumbers w:val="0"/>
              <w:spacing w:before="0" w:beforeAutospacing="0" w:after="0" w:afterAutospacing="0"/>
              <w:ind w:left="0" w:right="0"/>
              <w:rPr>
                <w:rFonts w:hint="default" w:ascii="Times New Roman" w:hAnsi="Times New Roman" w:eastAsia="Times New Roman" w:cs="Times New Roman"/>
                <w:b/>
                <w:color w:val="auto"/>
                <w:sz w:val="24"/>
                <w:szCs w:val="24"/>
              </w:rPr>
            </w:pPr>
            <w:r>
              <w:rPr>
                <w:rFonts w:hint="default" w:cs="Times New Roman"/>
                <w:color w:val="auto"/>
                <w:sz w:val="24"/>
              </w:rPr>
              <mc:AlternateContent>
                <mc:Choice Requires="wps">
                  <w:drawing>
                    <wp:anchor distT="0" distB="0" distL="114300" distR="114300" simplePos="0" relativeHeight="251660288" behindDoc="0" locked="0" layoutInCell="1" allowOverlap="1">
                      <wp:simplePos x="0" y="0"/>
                      <wp:positionH relativeFrom="column">
                        <wp:posOffset>906145</wp:posOffset>
                      </wp:positionH>
                      <wp:positionV relativeFrom="paragraph">
                        <wp:posOffset>181610</wp:posOffset>
                      </wp:positionV>
                      <wp:extent cx="533400" cy="635"/>
                      <wp:effectExtent l="0" t="37465" r="0" b="38100"/>
                      <wp:wrapNone/>
                      <wp:docPr id="2" name="直线 248"/>
                      <wp:cNvGraphicFramePr/>
                      <a:graphic xmlns:a="http://schemas.openxmlformats.org/drawingml/2006/main">
                        <a:graphicData uri="http://schemas.microsoft.com/office/word/2010/wordprocessingShape">
                          <wps:wsp>
                            <wps:cNvCnPr/>
                            <wps:spPr>
                              <a:xfrm>
                                <a:off x="0" y="0"/>
                                <a:ext cx="5334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8" o:spid="_x0000_s1026" o:spt="20" style="position:absolute;left:0pt;margin-left:71.35pt;margin-top:14.3pt;height:0.05pt;width:42pt;z-index:251660288;mso-width-relative:page;mso-height-relative:page;" filled="f" stroked="t" coordsize="21600,21600" o:gfxdata="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O1Pq72AAAAAkBAAAPAAAAAAAAAAEAIAAAACIAAABkcnMvZG93bnJldi54bWxQSwECFAAU&#10;AAAACACHTuJA45VVgfEBAADiAwAADgAAAAAAAAABACAAAAAnAQAAZHJzL2Uyb0RvYy54bWxQSwUG&#10;AAAAAAYABgBZAQAAigUAAAAA&#10;">
                      <v:fill on="f" focussize="0,0"/>
                      <v:stroke color="#000000" joinstyle="round" endarrow="block"/>
                      <v:imagedata o:title=""/>
                      <o:lock v:ext="edit" aspectratio="f"/>
                    </v:line>
                  </w:pict>
                </mc:Fallback>
              </mc:AlternateContent>
            </w:r>
            <w:r>
              <w:rPr>
                <w:rFonts w:hint="default" w:cs="Times New Roman"/>
                <w:color w:val="auto"/>
                <w:sz w:val="24"/>
              </w:rPr>
              <mc:AlternateContent>
                <mc:Choice Requires="wps">
                  <w:drawing>
                    <wp:anchor distT="0" distB="0" distL="114300" distR="114300" simplePos="0" relativeHeight="251665408" behindDoc="0" locked="0" layoutInCell="1" allowOverlap="1">
                      <wp:simplePos x="0" y="0"/>
                      <wp:positionH relativeFrom="column">
                        <wp:posOffset>4077970</wp:posOffset>
                      </wp:positionH>
                      <wp:positionV relativeFrom="paragraph">
                        <wp:posOffset>35560</wp:posOffset>
                      </wp:positionV>
                      <wp:extent cx="838200" cy="390525"/>
                      <wp:effectExtent l="0" t="0" r="0" b="0"/>
                      <wp:wrapNone/>
                      <wp:docPr id="7" name="文本框 241"/>
                      <wp:cNvGraphicFramePr/>
                      <a:graphic xmlns:a="http://schemas.openxmlformats.org/drawingml/2006/main">
                        <a:graphicData uri="http://schemas.microsoft.com/office/word/2010/wordprocessingShape">
                          <wps:wsp>
                            <wps:cNvSpPr txBox="1"/>
                            <wps:spPr>
                              <a:xfrm>
                                <a:off x="0" y="0"/>
                                <a:ext cx="838200" cy="390525"/>
                              </a:xfrm>
                              <a:prstGeom prst="rect">
                                <a:avLst/>
                              </a:prstGeom>
                              <a:noFill/>
                              <a:ln>
                                <a:noFill/>
                              </a:ln>
                            </wps:spPr>
                            <wps:txbx>
                              <w:txbxContent>
                                <w:p w14:paraId="1C149711">
                                  <w:pPr>
                                    <w:rPr>
                                      <w:rFonts w:hint="eastAsia"/>
                                    </w:rPr>
                                  </w:pPr>
                                  <w:r>
                                    <w:rPr>
                                      <w:rFonts w:hint="eastAsia"/>
                                    </w:rPr>
                                    <w:t xml:space="preserve"> 山林施肥</w:t>
                                  </w:r>
                                </w:p>
                              </w:txbxContent>
                            </wps:txbx>
                            <wps:bodyPr wrap="square" upright="1"/>
                          </wps:wsp>
                        </a:graphicData>
                      </a:graphic>
                    </wp:anchor>
                  </w:drawing>
                </mc:Choice>
                <mc:Fallback>
                  <w:pict>
                    <v:shape id="文本框 241" o:spid="_x0000_s1026" o:spt="202" type="#_x0000_t202" style="position:absolute;left:0pt;margin-left:321.1pt;margin-top:2.8pt;height:30.75pt;width:66pt;z-index:251665408;mso-width-relative:page;mso-height-relative:page;" filled="f" stroked="f" coordsize="21600,21600" o:gfxdata="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7fBrNUAAAAIAQAADwAAAAAAAAABACAAAAAiAAAAZHJzL2Rvd25yZXYueG1sUEsBAhQAFAAA&#10;AAgAh07iQKQW1Ku5AQAAXQMAAA4AAAAAAAAAAQAgAAAAJAEAAGRycy9lMm9Eb2MueG1sUEsFBgAA&#10;AAAGAAYAWQEAAE8FAAAAAA==&#10;">
                      <v:fill on="f" focussize="0,0"/>
                      <v:stroke on="f"/>
                      <v:imagedata o:title=""/>
                      <o:lock v:ext="edit" aspectratio="f"/>
                      <v:textbox>
                        <w:txbxContent>
                          <w:p w14:paraId="1C149711">
                            <w:pPr>
                              <w:rPr>
                                <w:rFonts w:hint="eastAsia"/>
                              </w:rPr>
                            </w:pPr>
                            <w:r>
                              <w:rPr>
                                <w:rFonts w:hint="eastAsia"/>
                              </w:rPr>
                              <w:t xml:space="preserve"> 山林施肥</w:t>
                            </w:r>
                          </w:p>
                        </w:txbxContent>
                      </v:textbox>
                    </v:shape>
                  </w:pict>
                </mc:Fallback>
              </mc:AlternateContent>
            </w:r>
            <w:r>
              <w:rPr>
                <w:rFonts w:hint="default" w:cs="Times New Roman"/>
                <w:color w:val="auto"/>
                <w:sz w:val="24"/>
              </w:rPr>
              <mc:AlternateContent>
                <mc:Choice Requires="wps">
                  <w:drawing>
                    <wp:anchor distT="0" distB="0" distL="114300" distR="114300" simplePos="0" relativeHeight="251664384" behindDoc="0" locked="0" layoutInCell="1" allowOverlap="1">
                      <wp:simplePos x="0" y="0"/>
                      <wp:positionH relativeFrom="column">
                        <wp:posOffset>3687445</wp:posOffset>
                      </wp:positionH>
                      <wp:positionV relativeFrom="paragraph">
                        <wp:posOffset>199390</wp:posOffset>
                      </wp:positionV>
                      <wp:extent cx="533400" cy="635"/>
                      <wp:effectExtent l="0" t="37465" r="0" b="38100"/>
                      <wp:wrapNone/>
                      <wp:docPr id="6" name="直线 246"/>
                      <wp:cNvGraphicFramePr/>
                      <a:graphic xmlns:a="http://schemas.openxmlformats.org/drawingml/2006/main">
                        <a:graphicData uri="http://schemas.microsoft.com/office/word/2010/wordprocessingShape">
                          <wps:wsp>
                            <wps:cNvCnPr/>
                            <wps:spPr>
                              <a:xfrm>
                                <a:off x="0" y="0"/>
                                <a:ext cx="5334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6" o:spid="_x0000_s1026" o:spt="20" style="position:absolute;left:0pt;margin-left:290.35pt;margin-top:15.7pt;height:0.05pt;width:42pt;z-index:251664384;mso-width-relative:page;mso-height-relative:page;" filled="f" stroked="t" coordsize="21600,21600" o:gfxdata="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thdGj2QAAAAkBAAAPAAAAAAAAAAEAIAAAACIAAABkcnMvZG93bnJldi54bWxQSwECFAAU&#10;AAAACACHTuJAnCojBfABAADiAwAADgAAAAAAAAABACAAAAAoAQAAZHJzL2Uyb0RvYy54bWxQSwUG&#10;AAAAAAYABgBZAQAAigUAAAAA&#10;">
                      <v:fill on="f" focussize="0,0"/>
                      <v:stroke color="#000000" joinstyle="round" endarrow="block"/>
                      <v:imagedata o:title=""/>
                      <o:lock v:ext="edit" aspectratio="f"/>
                    </v:line>
                  </w:pict>
                </mc:Fallback>
              </mc:AlternateContent>
            </w:r>
            <w:r>
              <w:rPr>
                <w:rFonts w:hint="default" w:cs="Times New Roman"/>
                <w:color w:val="auto"/>
                <w:sz w:val="24"/>
              </w:rPr>
              <mc:AlternateContent>
                <mc:Choice Requires="wps">
                  <w:drawing>
                    <wp:anchor distT="0" distB="0" distL="114300" distR="114300" simplePos="0" relativeHeight="251663360" behindDoc="0" locked="0" layoutInCell="1" allowOverlap="1">
                      <wp:simplePos x="0" y="0"/>
                      <wp:positionH relativeFrom="column">
                        <wp:posOffset>2849245</wp:posOffset>
                      </wp:positionH>
                      <wp:positionV relativeFrom="paragraph">
                        <wp:posOffset>26035</wp:posOffset>
                      </wp:positionV>
                      <wp:extent cx="838200" cy="390525"/>
                      <wp:effectExtent l="4445" t="4445" r="14605" b="5080"/>
                      <wp:wrapNone/>
                      <wp:docPr id="5" name="文本框 244"/>
                      <wp:cNvGraphicFramePr/>
                      <a:graphic xmlns:a="http://schemas.openxmlformats.org/drawingml/2006/main">
                        <a:graphicData uri="http://schemas.microsoft.com/office/word/2010/wordprocessingShape">
                          <wps:wsp>
                            <wps:cNvSpPr txBox="1"/>
                            <wps:spPr>
                              <a:xfrm>
                                <a:off x="0" y="0"/>
                                <a:ext cx="838200" cy="3905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47A262">
                                  <w:pPr>
                                    <w:rPr>
                                      <w:rFonts w:hint="eastAsia" w:eastAsia="宋体"/>
                                      <w:lang w:eastAsia="zh-CN"/>
                                    </w:rPr>
                                  </w:pPr>
                                  <w:r>
                                    <w:rPr>
                                      <w:rFonts w:hint="eastAsia"/>
                                    </w:rPr>
                                    <w:t xml:space="preserve">  </w:t>
                                  </w:r>
                                  <w:r>
                                    <w:rPr>
                                      <w:rFonts w:hint="eastAsia"/>
                                      <w:lang w:val="en-US" w:eastAsia="zh-CN"/>
                                    </w:rPr>
                                    <w:t>化粪池</w:t>
                                  </w:r>
                                </w:p>
                              </w:txbxContent>
                            </wps:txbx>
                            <wps:bodyPr wrap="square" upright="1"/>
                          </wps:wsp>
                        </a:graphicData>
                      </a:graphic>
                    </wp:anchor>
                  </w:drawing>
                </mc:Choice>
                <mc:Fallback>
                  <w:pict>
                    <v:shape id="文本框 244" o:spid="_x0000_s1026" o:spt="202" type="#_x0000_t202" style="position:absolute;left:0pt;margin-left:224.35pt;margin-top:2.05pt;height:30.75pt;width:66pt;z-index:251663360;mso-width-relative:page;mso-height-relative:page;" fillcolor="#FFFFFF" filled="t" stroked="t" coordsize="21600,21600" o:gfxdata="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thYC3XAAAACAEAAA8AAAAA&#10;AAAAAQAgAAAAIgAAAGRycy9kb3ducmV2LnhtbFBLAQIUABQAAAAIAIdO4kBF2KIKFQIAAEUEAAAO&#10;AAAAAAAAAAEAIAAAACYBAABkcnMvZTJvRG9jLnhtbFBLBQYAAAAABgAGAFkBAACtBQAAAAA=&#10;">
                      <v:fill on="t" focussize="0,0"/>
                      <v:stroke color="#000000" joinstyle="miter"/>
                      <v:imagedata o:title=""/>
                      <o:lock v:ext="edit" aspectratio="f"/>
                      <v:textbox>
                        <w:txbxContent>
                          <w:p w14:paraId="6447A262">
                            <w:pPr>
                              <w:rPr>
                                <w:rFonts w:hint="eastAsia" w:eastAsia="宋体"/>
                                <w:lang w:eastAsia="zh-CN"/>
                              </w:rPr>
                            </w:pPr>
                            <w:r>
                              <w:rPr>
                                <w:rFonts w:hint="eastAsia"/>
                              </w:rPr>
                              <w:t xml:space="preserve">  </w:t>
                            </w:r>
                            <w:r>
                              <w:rPr>
                                <w:rFonts w:hint="eastAsia"/>
                                <w:lang w:val="en-US" w:eastAsia="zh-CN"/>
                              </w:rPr>
                              <w:t>化粪池</w:t>
                            </w:r>
                          </w:p>
                        </w:txbxContent>
                      </v:textbox>
                    </v:shape>
                  </w:pict>
                </mc:Fallback>
              </mc:AlternateContent>
            </w:r>
            <w:r>
              <w:rPr>
                <w:rFonts w:hint="default" w:cs="Times New Roman"/>
                <w:color w:val="auto"/>
                <w:sz w:val="24"/>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181610</wp:posOffset>
                      </wp:positionV>
                      <wp:extent cx="533400" cy="635"/>
                      <wp:effectExtent l="0" t="37465" r="0" b="38100"/>
                      <wp:wrapNone/>
                      <wp:docPr id="4" name="直线 247"/>
                      <wp:cNvGraphicFramePr/>
                      <a:graphic xmlns:a="http://schemas.openxmlformats.org/drawingml/2006/main">
                        <a:graphicData uri="http://schemas.microsoft.com/office/word/2010/wordprocessingShape">
                          <wps:wsp>
                            <wps:cNvCnPr/>
                            <wps:spPr>
                              <a:xfrm>
                                <a:off x="0" y="0"/>
                                <a:ext cx="5334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7" o:spid="_x0000_s1026" o:spt="20" style="position:absolute;left:0pt;margin-left:183.1pt;margin-top:14.3pt;height:0.05pt;width:42pt;z-index:251662336;mso-width-relative:page;mso-height-relative:page;" filled="f" stroked="t" coordsize="21600,21600" o:gfxdata="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8uo2G2QAAAAkBAAAPAAAAAAAAAAEAIAAAACIAAABkcnMvZG93bnJldi54bWxQSwECFAAU&#10;AAAACACHTuJAvxIIufABAADiAwAADgAAAAAAAAABACAAAAAoAQAAZHJzL2Uyb0RvYy54bWxQSwUG&#10;AAAAAAYABgBZAQAAigUAAAAA&#10;">
                      <v:fill on="f" focussize="0,0"/>
                      <v:stroke color="#000000" joinstyle="round" endarrow="block"/>
                      <v:imagedata o:title=""/>
                      <o:lock v:ext="edit" aspectratio="f"/>
                    </v:line>
                  </w:pict>
                </mc:Fallback>
              </mc:AlternateContent>
            </w:r>
          </w:p>
          <w:p w14:paraId="056B9883">
            <w:pPr>
              <w:pStyle w:val="2"/>
              <w:keepNext w:val="0"/>
              <w:keepLines w:val="0"/>
              <w:suppressLineNumbers w:val="0"/>
              <w:spacing w:before="0" w:beforeAutospacing="0" w:after="0" w:afterAutospacing="0"/>
              <w:ind w:left="0" w:right="0"/>
              <w:rPr>
                <w:rFonts w:hint="default" w:ascii="Times New Roman" w:hAnsi="Times New Roman" w:eastAsia="Times New Roman" w:cs="Times New Roman"/>
                <w:b/>
                <w:color w:val="auto"/>
                <w:sz w:val="24"/>
                <w:szCs w:val="24"/>
              </w:rPr>
            </w:pPr>
          </w:p>
          <w:p w14:paraId="3D91A3F9">
            <w:pPr>
              <w:pStyle w:val="2"/>
              <w:keepNext w:val="0"/>
              <w:keepLines w:val="0"/>
              <w:suppressLineNumbers w:val="0"/>
              <w:spacing w:before="0" w:beforeAutospacing="0" w:after="0" w:afterAutospacing="0"/>
              <w:ind w:left="0" w:right="0"/>
              <w:rPr>
                <w:rFonts w:hint="default" w:ascii="Times New Roman" w:hAnsi="Times New Roman" w:eastAsia="Times New Roman" w:cs="Times New Roman"/>
                <w:b/>
                <w:color w:val="auto"/>
                <w:sz w:val="24"/>
                <w:szCs w:val="24"/>
              </w:rPr>
            </w:pPr>
          </w:p>
          <w:p w14:paraId="4ECD4AC9">
            <w:pPr>
              <w:pStyle w:val="2"/>
              <w:keepNext w:val="0"/>
              <w:keepLines w:val="0"/>
              <w:suppressLineNumbers w:val="0"/>
              <w:spacing w:before="0" w:beforeAutospacing="0" w:after="0" w:afterAutospacing="0"/>
              <w:ind w:left="0" w:right="0"/>
              <w:jc w:val="center"/>
              <w:rPr>
                <w:rFonts w:hint="default" w:ascii="Times New Roman" w:hAnsi="Times New Roman" w:eastAsia="Times New Roman" w:cs="Times New Roman"/>
                <w:b/>
                <w:color w:val="auto"/>
                <w:sz w:val="24"/>
                <w:szCs w:val="24"/>
              </w:rPr>
            </w:pPr>
            <w:r>
              <w:rPr>
                <w:rFonts w:hint="default" w:cs="Times New Roman"/>
                <w:color w:val="auto"/>
                <w:sz w:val="24"/>
              </w:rPr>
              <mc:AlternateContent>
                <mc:Choice Requires="wps">
                  <w:drawing>
                    <wp:anchor distT="0" distB="0" distL="114300" distR="114300" simplePos="0" relativeHeight="251681792" behindDoc="0" locked="0" layoutInCell="1" allowOverlap="1">
                      <wp:simplePos x="0" y="0"/>
                      <wp:positionH relativeFrom="column">
                        <wp:posOffset>2030095</wp:posOffset>
                      </wp:positionH>
                      <wp:positionV relativeFrom="paragraph">
                        <wp:posOffset>59690</wp:posOffset>
                      </wp:positionV>
                      <wp:extent cx="571500" cy="342900"/>
                      <wp:effectExtent l="0" t="0" r="0" b="0"/>
                      <wp:wrapNone/>
                      <wp:docPr id="23" name="文本框 270"/>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wps:spPr>
                            <wps:txbx>
                              <w:txbxContent>
                                <w:p w14:paraId="599401E2">
                                  <w:pPr>
                                    <w:rPr>
                                      <w:rFonts w:hint="default" w:eastAsia="宋体"/>
                                      <w:lang w:val="en-US" w:eastAsia="zh-CN"/>
                                    </w:rPr>
                                  </w:pPr>
                                  <w:r>
                                    <w:rPr>
                                      <w:rFonts w:hint="eastAsia"/>
                                      <w:lang w:val="en-US" w:eastAsia="zh-CN"/>
                                    </w:rPr>
                                    <w:t>17.5</w:t>
                                  </w:r>
                                </w:p>
                              </w:txbxContent>
                            </wps:txbx>
                            <wps:bodyPr wrap="square" upright="1"/>
                          </wps:wsp>
                        </a:graphicData>
                      </a:graphic>
                    </wp:anchor>
                  </w:drawing>
                </mc:Choice>
                <mc:Fallback>
                  <w:pict>
                    <v:shape id="文本框 270" o:spid="_x0000_s1026" o:spt="202" type="#_x0000_t202" style="position:absolute;left:0pt;margin-left:159.85pt;margin-top:4.7pt;height:27pt;width:45pt;z-index:251681792;mso-width-relative:page;mso-height-relative:page;" filled="f" stroked="f" coordsize="21600,21600" o:gfxdata="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u6iQ9UAAAAIAQAADwAAAAAAAAABACAAAAAiAAAAZHJzL2Rvd25yZXYueG1sUEsBAhQAFAAAAAgA&#10;h07iQFUC/6K2AQAAXgMAAA4AAAAAAAAAAQAgAAAAJAEAAGRycy9lMm9Eb2MueG1sUEsFBgAAAAAG&#10;AAYAWQEAAEwFAAAAAA==&#10;">
                      <v:fill on="f" focussize="0,0"/>
                      <v:stroke on="f"/>
                      <v:imagedata o:title=""/>
                      <o:lock v:ext="edit" aspectratio="f"/>
                      <v:textbox>
                        <w:txbxContent>
                          <w:p w14:paraId="599401E2">
                            <w:pPr>
                              <w:rPr>
                                <w:rFonts w:hint="default" w:eastAsia="宋体"/>
                                <w:lang w:val="en-US" w:eastAsia="zh-CN"/>
                              </w:rPr>
                            </w:pPr>
                            <w:r>
                              <w:rPr>
                                <w:rFonts w:hint="eastAsia"/>
                                <w:lang w:val="en-US" w:eastAsia="zh-CN"/>
                              </w:rPr>
                              <w:t>17.5</w:t>
                            </w:r>
                          </w:p>
                        </w:txbxContent>
                      </v:textbox>
                    </v:shape>
                  </w:pict>
                </mc:Fallback>
              </mc:AlternateContent>
            </w:r>
          </w:p>
          <w:p w14:paraId="2B684C01">
            <w:pPr>
              <w:pStyle w:val="2"/>
              <w:keepNext w:val="0"/>
              <w:keepLines w:val="0"/>
              <w:suppressLineNumbers w:val="0"/>
              <w:spacing w:before="0" w:beforeAutospacing="0" w:after="0" w:afterAutospacing="0"/>
              <w:ind w:left="0" w:right="0"/>
              <w:rPr>
                <w:rFonts w:hint="default" w:ascii="Times New Roman" w:hAnsi="Times New Roman" w:eastAsia="Times New Roman" w:cs="Times New Roman"/>
                <w:b/>
                <w:color w:val="auto"/>
                <w:sz w:val="24"/>
                <w:szCs w:val="24"/>
              </w:rPr>
            </w:pPr>
            <w:r>
              <w:rPr>
                <w:rFonts w:hint="default" w:cs="Times New Roman"/>
                <w:color w:val="auto"/>
                <w:sz w:val="24"/>
              </w:rPr>
              <mc:AlternateContent>
                <mc:Choice Requires="wps">
                  <w:drawing>
                    <wp:anchor distT="0" distB="0" distL="114300" distR="114300" simplePos="0" relativeHeight="251680768" behindDoc="0" locked="0" layoutInCell="1" allowOverlap="1">
                      <wp:simplePos x="0" y="0"/>
                      <wp:positionH relativeFrom="column">
                        <wp:posOffset>1839595</wp:posOffset>
                      </wp:positionH>
                      <wp:positionV relativeFrom="paragraph">
                        <wp:posOffset>50165</wp:posOffset>
                      </wp:positionV>
                      <wp:extent cx="219075" cy="257175"/>
                      <wp:effectExtent l="3810" t="0" r="5715" b="9525"/>
                      <wp:wrapNone/>
                      <wp:docPr id="22" name="直线 269"/>
                      <wp:cNvGraphicFramePr/>
                      <a:graphic xmlns:a="http://schemas.openxmlformats.org/drawingml/2006/main">
                        <a:graphicData uri="http://schemas.microsoft.com/office/word/2010/wordprocessingShape">
                          <wps:wsp>
                            <wps:cNvCnPr/>
                            <wps:spPr>
                              <a:xfrm flipV="1">
                                <a:off x="0" y="0"/>
                                <a:ext cx="219075" cy="25717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直线 269" o:spid="_x0000_s1026" o:spt="20" style="position:absolute;left:0pt;flip:y;margin-left:144.85pt;margin-top:3.95pt;height:20.25pt;width:17.25pt;z-index:251680768;mso-width-relative:page;mso-height-relative:page;" filled="f" stroked="t" coordsize="21600,21600" o:gfxdata="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v/4H3WAAAACAEAAA8AAAAAAAAAAQAgAAAAIgAAAGRycy9kb3ducmV2Lnht&#10;bFBLAQIUABQAAAAIAIdO4kANJpxN+wEAAO8DAAAOAAAAAAAAAAEAIAAAACUBAABkcnMvZTJvRG9j&#10;LnhtbFBLBQYAAAAABgAGAFkBAACSBQAAAAA=&#10;">
                      <v:fill on="f" focussize="0,0"/>
                      <v:stroke color="#000000" joinstyle="round" dashstyle="dash" endarrow="block"/>
                      <v:imagedata o:title=""/>
                      <o:lock v:ext="edit" aspectratio="f"/>
                    </v:line>
                  </w:pict>
                </mc:Fallback>
              </mc:AlternateContent>
            </w:r>
            <w:r>
              <w:rPr>
                <w:rFonts w:hint="default" w:cs="Times New Roman"/>
                <w:color w:val="auto"/>
                <w:sz w:val="24"/>
              </w:rPr>
              <mc:AlternateContent>
                <mc:Choice Requires="wps">
                  <w:drawing>
                    <wp:anchor distT="0" distB="0" distL="114300" distR="114300" simplePos="0" relativeHeight="251677696" behindDoc="0" locked="0" layoutInCell="1" allowOverlap="1">
                      <wp:simplePos x="0" y="0"/>
                      <wp:positionH relativeFrom="column">
                        <wp:posOffset>287655</wp:posOffset>
                      </wp:positionH>
                      <wp:positionV relativeFrom="paragraph">
                        <wp:posOffset>37465</wp:posOffset>
                      </wp:positionV>
                      <wp:extent cx="1228090" cy="561340"/>
                      <wp:effectExtent l="0" t="0" r="0" b="0"/>
                      <wp:wrapNone/>
                      <wp:docPr id="19" name="文本框 250"/>
                      <wp:cNvGraphicFramePr/>
                      <a:graphic xmlns:a="http://schemas.openxmlformats.org/drawingml/2006/main">
                        <a:graphicData uri="http://schemas.microsoft.com/office/word/2010/wordprocessingShape">
                          <wps:wsp>
                            <wps:cNvSpPr txBox="1"/>
                            <wps:spPr>
                              <a:xfrm>
                                <a:off x="0" y="0"/>
                                <a:ext cx="1228090" cy="561340"/>
                              </a:xfrm>
                              <a:prstGeom prst="rect">
                                <a:avLst/>
                              </a:prstGeom>
                              <a:noFill/>
                              <a:ln>
                                <a:noFill/>
                              </a:ln>
                            </wps:spPr>
                            <wps:txbx>
                              <w:txbxContent>
                                <w:p w14:paraId="65195F02">
                                  <w:pPr>
                                    <w:jc w:val="center"/>
                                    <w:rPr>
                                      <w:rFonts w:hint="default" w:eastAsia="宋体"/>
                                      <w:lang w:val="en-US" w:eastAsia="zh-CN"/>
                                    </w:rPr>
                                  </w:pPr>
                                  <w:r>
                                    <w:rPr>
                                      <w:rFonts w:hint="eastAsia"/>
                                      <w:lang w:val="en-US" w:eastAsia="zh-CN"/>
                                    </w:rPr>
                                    <w:t>矿区淋滤水池17.5</w:t>
                                  </w:r>
                                </w:p>
                              </w:txbxContent>
                            </wps:txbx>
                            <wps:bodyPr wrap="square" upright="1"/>
                          </wps:wsp>
                        </a:graphicData>
                      </a:graphic>
                    </wp:anchor>
                  </w:drawing>
                </mc:Choice>
                <mc:Fallback>
                  <w:pict>
                    <v:shape id="文本框 250" o:spid="_x0000_s1026" o:spt="202" type="#_x0000_t202" style="position:absolute;left:0pt;margin-left:22.65pt;margin-top:2.95pt;height:44.2pt;width:96.7pt;z-index:251677696;mso-width-relative:page;mso-height-relative:page;" filled="f" stroked="f" coordsize="21600,21600" o:gfxdata="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qLzFzVAAAABwEAAA8AAAAAAAAAAQAgAAAAIgAAAGRycy9kb3ducmV2LnhtbFBLAQIUABQAAAAI&#10;AIdO4kCUlkFBtwEAAF8DAAAOAAAAAAAAAAEAIAAAACQBAABkcnMvZTJvRG9jLnhtbFBLBQYAAAAA&#10;BgAGAFkBAABNBQAAAAA=&#10;">
                      <v:fill on="f" focussize="0,0"/>
                      <v:stroke on="f"/>
                      <v:imagedata o:title=""/>
                      <o:lock v:ext="edit" aspectratio="f"/>
                      <v:textbox>
                        <w:txbxContent>
                          <w:p w14:paraId="65195F02">
                            <w:pPr>
                              <w:jc w:val="center"/>
                              <w:rPr>
                                <w:rFonts w:hint="default" w:eastAsia="宋体"/>
                                <w:lang w:val="en-US" w:eastAsia="zh-CN"/>
                              </w:rPr>
                            </w:pPr>
                            <w:r>
                              <w:rPr>
                                <w:rFonts w:hint="eastAsia"/>
                                <w:lang w:val="en-US" w:eastAsia="zh-CN"/>
                              </w:rPr>
                              <w:t>矿区淋滤水池17.5</w:t>
                            </w:r>
                          </w:p>
                        </w:txbxContent>
                      </v:textbox>
                    </v:shape>
                  </w:pict>
                </mc:Fallback>
              </mc:AlternateContent>
            </w:r>
          </w:p>
          <w:p w14:paraId="65683D82">
            <w:pPr>
              <w:pStyle w:val="2"/>
              <w:keepNext w:val="0"/>
              <w:keepLines w:val="0"/>
              <w:suppressLineNumbers w:val="0"/>
              <w:spacing w:before="0" w:beforeAutospacing="0" w:after="0" w:afterAutospacing="0"/>
              <w:ind w:left="0" w:right="0"/>
              <w:rPr>
                <w:rFonts w:hint="default" w:ascii="Times New Roman" w:hAnsi="Times New Roman" w:eastAsia="Times New Roman" w:cs="Times New Roman"/>
                <w:b/>
                <w:color w:val="auto"/>
                <w:sz w:val="24"/>
                <w:szCs w:val="24"/>
              </w:rPr>
            </w:pPr>
            <w:r>
              <w:rPr>
                <w:rFonts w:hint="default" w:cs="Times New Roman"/>
                <w:color w:val="auto"/>
                <w:sz w:val="24"/>
              </w:rPr>
              <mc:AlternateContent>
                <mc:Choice Requires="wps">
                  <w:drawing>
                    <wp:anchor distT="0" distB="0" distL="114300" distR="114300" simplePos="0" relativeHeight="251682816" behindDoc="0" locked="0" layoutInCell="1" allowOverlap="1">
                      <wp:simplePos x="0" y="0"/>
                      <wp:positionH relativeFrom="column">
                        <wp:posOffset>3506470</wp:posOffset>
                      </wp:positionH>
                      <wp:positionV relativeFrom="paragraph">
                        <wp:posOffset>50165</wp:posOffset>
                      </wp:positionV>
                      <wp:extent cx="571500" cy="266700"/>
                      <wp:effectExtent l="0" t="0" r="0" b="0"/>
                      <wp:wrapNone/>
                      <wp:docPr id="24" name="文本框 275"/>
                      <wp:cNvGraphicFramePr/>
                      <a:graphic xmlns:a="http://schemas.openxmlformats.org/drawingml/2006/main">
                        <a:graphicData uri="http://schemas.microsoft.com/office/word/2010/wordprocessingShape">
                          <wps:wsp>
                            <wps:cNvSpPr txBox="1"/>
                            <wps:spPr>
                              <a:xfrm>
                                <a:off x="0" y="0"/>
                                <a:ext cx="571500" cy="266700"/>
                              </a:xfrm>
                              <a:prstGeom prst="rect">
                                <a:avLst/>
                              </a:prstGeom>
                              <a:noFill/>
                              <a:ln>
                                <a:noFill/>
                              </a:ln>
                            </wps:spPr>
                            <wps:txbx>
                              <w:txbxContent>
                                <w:p w14:paraId="11929C72">
                                  <w:pPr>
                                    <w:rPr>
                                      <w:rFonts w:hint="default" w:eastAsia="宋体"/>
                                      <w:lang w:val="en-US" w:eastAsia="zh-CN"/>
                                    </w:rPr>
                                  </w:pPr>
                                  <w:r>
                                    <w:rPr>
                                      <w:rFonts w:hint="eastAsia"/>
                                      <w:lang w:val="en-US" w:eastAsia="zh-CN"/>
                                    </w:rPr>
                                    <w:t>7.0</w:t>
                                  </w:r>
                                </w:p>
                              </w:txbxContent>
                            </wps:txbx>
                            <wps:bodyPr wrap="square" upright="1"/>
                          </wps:wsp>
                        </a:graphicData>
                      </a:graphic>
                    </wp:anchor>
                  </w:drawing>
                </mc:Choice>
                <mc:Fallback>
                  <w:pict>
                    <v:shape id="文本框 275" o:spid="_x0000_s1026" o:spt="202" type="#_x0000_t202" style="position:absolute;left:0pt;margin-left:276.1pt;margin-top:3.95pt;height:21pt;width:45pt;z-index:251682816;mso-width-relative:page;mso-height-relative:page;" filled="f" stroked="f" coordsize="21600,21600" o:gfxdata="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9YxRHVAAAACAEAAA8AAAAAAAAAAQAgAAAAIgAAAGRycy9kb3ducmV2LnhtbFBLAQIUABQAAAAI&#10;AIdO4kCBVyuatwEAAF4DAAAOAAAAAAAAAAEAIAAAACQBAABkcnMvZTJvRG9jLnhtbFBLBQYAAAAA&#10;BgAGAFkBAABNBQAAAAA=&#10;">
                      <v:fill on="f" focussize="0,0"/>
                      <v:stroke on="f"/>
                      <v:imagedata o:title=""/>
                      <o:lock v:ext="edit" aspectratio="f"/>
                      <v:textbox>
                        <w:txbxContent>
                          <w:p w14:paraId="11929C72">
                            <w:pPr>
                              <w:rPr>
                                <w:rFonts w:hint="default" w:eastAsia="宋体"/>
                                <w:lang w:val="en-US" w:eastAsia="zh-CN"/>
                              </w:rPr>
                            </w:pPr>
                            <w:r>
                              <w:rPr>
                                <w:rFonts w:hint="eastAsia"/>
                                <w:lang w:val="en-US" w:eastAsia="zh-CN"/>
                              </w:rPr>
                              <w:t>7.0</w:t>
                            </w:r>
                          </w:p>
                        </w:txbxContent>
                      </v:textbox>
                    </v:shape>
                  </w:pict>
                </mc:Fallback>
              </mc:AlternateContent>
            </w:r>
            <w:r>
              <w:rPr>
                <w:rFonts w:hint="default" w:cs="Times New Roman"/>
                <w:color w:val="auto"/>
                <w:sz w:val="24"/>
              </w:rPr>
              <mc:AlternateContent>
                <mc:Choice Requires="wps">
                  <w:drawing>
                    <wp:anchor distT="0" distB="0" distL="114300" distR="114300" simplePos="0" relativeHeight="251671552" behindDoc="0" locked="0" layoutInCell="1" allowOverlap="1">
                      <wp:simplePos x="0" y="0"/>
                      <wp:positionH relativeFrom="column">
                        <wp:posOffset>3916045</wp:posOffset>
                      </wp:positionH>
                      <wp:positionV relativeFrom="paragraph">
                        <wp:posOffset>123825</wp:posOffset>
                      </wp:positionV>
                      <wp:extent cx="847725" cy="361950"/>
                      <wp:effectExtent l="4445" t="4445" r="5080" b="14605"/>
                      <wp:wrapNone/>
                      <wp:docPr id="13" name="文本框 254"/>
                      <wp:cNvGraphicFramePr/>
                      <a:graphic xmlns:a="http://schemas.openxmlformats.org/drawingml/2006/main">
                        <a:graphicData uri="http://schemas.microsoft.com/office/word/2010/wordprocessingShape">
                          <wps:wsp>
                            <wps:cNvSpPr txBox="1"/>
                            <wps:spPr>
                              <a:xfrm>
                                <a:off x="0" y="0"/>
                                <a:ext cx="847725" cy="3619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F3BFC8">
                                  <w:pPr>
                                    <w:ind w:firstLine="210" w:firstLineChars="100"/>
                                    <w:rPr>
                                      <w:rFonts w:hint="eastAsia"/>
                                    </w:rPr>
                                  </w:pPr>
                                  <w:r>
                                    <w:rPr>
                                      <w:rFonts w:hint="eastAsia"/>
                                    </w:rPr>
                                    <w:t>沉淀池</w:t>
                                  </w:r>
                                </w:p>
                              </w:txbxContent>
                            </wps:txbx>
                            <wps:bodyPr vert="horz" wrap="square" anchor="t" anchorCtr="0" upright="1"/>
                          </wps:wsp>
                        </a:graphicData>
                      </a:graphic>
                    </wp:anchor>
                  </w:drawing>
                </mc:Choice>
                <mc:Fallback>
                  <w:pict>
                    <v:shape id="文本框 254" o:spid="_x0000_s1026" o:spt="202" type="#_x0000_t202" style="position:absolute;left:0pt;margin-left:308.35pt;margin-top:9.75pt;height:28.5pt;width:66.75pt;z-index:251671552;mso-width-relative:page;mso-height-relative:page;" fillcolor="#FFFFFF" filled="t" stroked="t" coordsize="21600,21600" o:gfxdata="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3XEoo9kAAAAJAQAADwAAAAAAAAABACAAAAAiAAAAZHJzL2Rvd25yZXYueG1sUEsB&#10;AhQAFAAAAAgAh07iQPYDOxktAgAAawQAAA4AAAAAAAAAAQAgAAAAKAEAAGRycy9lMm9Eb2MueG1s&#10;UEsFBgAAAAAGAAYAWQEAAMcFAAAAAA==&#10;">
                      <v:fill on="t" focussize="0,0"/>
                      <v:stroke color="#000000" joinstyle="miter"/>
                      <v:imagedata o:title=""/>
                      <o:lock v:ext="edit" aspectratio="f"/>
                      <v:textbox>
                        <w:txbxContent>
                          <w:p w14:paraId="60F3BFC8">
                            <w:pPr>
                              <w:ind w:firstLine="210" w:firstLineChars="100"/>
                              <w:rPr>
                                <w:rFonts w:hint="eastAsia"/>
                              </w:rPr>
                            </w:pPr>
                            <w:r>
                              <w:rPr>
                                <w:rFonts w:hint="eastAsia"/>
                              </w:rPr>
                              <w:t>沉淀池</w:t>
                            </w:r>
                          </w:p>
                        </w:txbxContent>
                      </v:textbox>
                    </v:shape>
                  </w:pict>
                </mc:Fallback>
              </mc:AlternateContent>
            </w:r>
            <w:r>
              <w:rPr>
                <w:rFonts w:hint="default" w:cs="Times New Roman"/>
                <w:color w:val="auto"/>
                <w:sz w:val="24"/>
              </w:rPr>
              <mc:AlternateContent>
                <mc:Choice Requires="wps">
                  <w:drawing>
                    <wp:anchor distT="0" distB="0" distL="114300" distR="114300" simplePos="0" relativeHeight="251672576" behindDoc="0" locked="0" layoutInCell="1" allowOverlap="1">
                      <wp:simplePos x="0" y="0"/>
                      <wp:positionH relativeFrom="column">
                        <wp:posOffset>2763520</wp:posOffset>
                      </wp:positionH>
                      <wp:positionV relativeFrom="paragraph">
                        <wp:posOffset>169545</wp:posOffset>
                      </wp:positionV>
                      <wp:extent cx="808990" cy="276225"/>
                      <wp:effectExtent l="4445" t="5080" r="5715" b="4445"/>
                      <wp:wrapNone/>
                      <wp:docPr id="14" name="文本框 263"/>
                      <wp:cNvGraphicFramePr/>
                      <a:graphic xmlns:a="http://schemas.openxmlformats.org/drawingml/2006/main">
                        <a:graphicData uri="http://schemas.microsoft.com/office/word/2010/wordprocessingShape">
                          <wps:wsp>
                            <wps:cNvSpPr txBox="1"/>
                            <wps:spPr>
                              <a:xfrm>
                                <a:off x="0" y="0"/>
                                <a:ext cx="80899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3F333D">
                                  <w:pPr>
                                    <w:rPr>
                                      <w:rFonts w:hint="eastAsia"/>
                                    </w:rPr>
                                  </w:pPr>
                                  <w:r>
                                    <w:rPr>
                                      <w:rFonts w:hint="eastAsia"/>
                                    </w:rPr>
                                    <w:t>泥浆废水</w:t>
                                  </w:r>
                                </w:p>
                              </w:txbxContent>
                            </wps:txbx>
                            <wps:bodyPr wrap="square" upright="1"/>
                          </wps:wsp>
                        </a:graphicData>
                      </a:graphic>
                    </wp:anchor>
                  </w:drawing>
                </mc:Choice>
                <mc:Fallback>
                  <w:pict>
                    <v:shape id="文本框 263" o:spid="_x0000_s1026" o:spt="202" type="#_x0000_t202" style="position:absolute;left:0pt;margin-left:217.6pt;margin-top:13.35pt;height:21.75pt;width:63.7pt;z-index:251672576;mso-width-relative:page;mso-height-relative:page;" fillcolor="#FFFFFF" filled="t" stroked="t" coordsize="21600,21600" o:gfxdata="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rYYFtkAAAAJAQAADwAA&#10;AAAAAAABACAAAAAiAAAAZHJzL2Rvd25yZXYueG1sUEsBAhQAFAAAAAgAh07iQLWEYW0VAgAARgQA&#10;AA4AAAAAAAAAAQAgAAAAKAEAAGRycy9lMm9Eb2MueG1sUEsFBgAAAAAGAAYAWQEAAK8FAAAAAA==&#10;">
                      <v:fill on="t" focussize="0,0"/>
                      <v:stroke color="#000000" joinstyle="miter"/>
                      <v:imagedata o:title=""/>
                      <o:lock v:ext="edit" aspectratio="f"/>
                      <v:textbox>
                        <w:txbxContent>
                          <w:p w14:paraId="6C3F333D">
                            <w:pPr>
                              <w:rPr>
                                <w:rFonts w:hint="eastAsia"/>
                              </w:rPr>
                            </w:pPr>
                            <w:r>
                              <w:rPr>
                                <w:rFonts w:hint="eastAsia"/>
                              </w:rPr>
                              <w:t>泥浆废水</w:t>
                            </w:r>
                          </w:p>
                        </w:txbxContent>
                      </v:textbox>
                    </v:shape>
                  </w:pict>
                </mc:Fallback>
              </mc:AlternateContent>
            </w:r>
            <w:r>
              <w:rPr>
                <w:rFonts w:hint="default" w:cs="Times New Roman"/>
                <w:color w:val="auto"/>
                <w:sz w:val="24"/>
              </w:rPr>
              <mc:AlternateContent>
                <mc:Choice Requires="wps">
                  <w:drawing>
                    <wp:anchor distT="0" distB="0" distL="114300" distR="114300" simplePos="0" relativeHeight="251669504" behindDoc="0" locked="0" layoutInCell="1" allowOverlap="1">
                      <wp:simplePos x="0" y="0"/>
                      <wp:positionH relativeFrom="column">
                        <wp:posOffset>1382395</wp:posOffset>
                      </wp:positionH>
                      <wp:positionV relativeFrom="paragraph">
                        <wp:posOffset>107950</wp:posOffset>
                      </wp:positionV>
                      <wp:extent cx="838200" cy="390525"/>
                      <wp:effectExtent l="4445" t="4445" r="14605" b="5080"/>
                      <wp:wrapNone/>
                      <wp:docPr id="11" name="文本框 257"/>
                      <wp:cNvGraphicFramePr/>
                      <a:graphic xmlns:a="http://schemas.openxmlformats.org/drawingml/2006/main">
                        <a:graphicData uri="http://schemas.microsoft.com/office/word/2010/wordprocessingShape">
                          <wps:wsp>
                            <wps:cNvSpPr txBox="1"/>
                            <wps:spPr>
                              <a:xfrm>
                                <a:off x="0" y="0"/>
                                <a:ext cx="838200" cy="3905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94A5C4">
                                  <w:pPr>
                                    <w:rPr>
                                      <w:rFonts w:hint="eastAsia"/>
                                    </w:rPr>
                                  </w:pPr>
                                  <w:r>
                                    <w:rPr>
                                      <w:rFonts w:hint="eastAsia"/>
                                    </w:rPr>
                                    <w:t>钻探用水</w:t>
                                  </w:r>
                                </w:p>
                              </w:txbxContent>
                            </wps:txbx>
                            <wps:bodyPr wrap="square" upright="1"/>
                          </wps:wsp>
                        </a:graphicData>
                      </a:graphic>
                    </wp:anchor>
                  </w:drawing>
                </mc:Choice>
                <mc:Fallback>
                  <w:pict>
                    <v:shape id="文本框 257" o:spid="_x0000_s1026" o:spt="202" type="#_x0000_t202" style="position:absolute;left:0pt;margin-left:108.85pt;margin-top:8.5pt;height:30.75pt;width:66pt;z-index:251669504;mso-width-relative:page;mso-height-relative:page;" fillcolor="#FFFFFF" filled="t" stroked="t" coordsize="21600,21600" o:gfxdata="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pWxDPYAAAACQEAAA8AAAAA&#10;AAAAAQAgAAAAIgAAAGRycy9kb3ducmV2LnhtbFBLAQIUABQAAAAIAIdO4kCCYcUpFAIAAEYEAAAO&#10;AAAAAAAAAAEAIAAAACcBAABkcnMvZTJvRG9jLnhtbFBLBQYAAAAABgAGAFkBAACtBQAAAAA=&#10;">
                      <v:fill on="t" focussize="0,0"/>
                      <v:stroke color="#000000" joinstyle="miter"/>
                      <v:imagedata o:title=""/>
                      <o:lock v:ext="edit" aspectratio="f"/>
                      <v:textbox>
                        <w:txbxContent>
                          <w:p w14:paraId="2894A5C4">
                            <w:pPr>
                              <w:rPr>
                                <w:rFonts w:hint="eastAsia"/>
                              </w:rPr>
                            </w:pPr>
                            <w:r>
                              <w:rPr>
                                <w:rFonts w:hint="eastAsia"/>
                              </w:rPr>
                              <w:t>钻探用水</w:t>
                            </w:r>
                          </w:p>
                        </w:txbxContent>
                      </v:textbox>
                    </v:shape>
                  </w:pict>
                </mc:Fallback>
              </mc:AlternateContent>
            </w:r>
          </w:p>
          <w:p w14:paraId="429F6855">
            <w:pPr>
              <w:pStyle w:val="2"/>
              <w:keepNext w:val="0"/>
              <w:keepLines w:val="0"/>
              <w:suppressLineNumbers w:val="0"/>
              <w:spacing w:before="0" w:beforeAutospacing="0" w:after="0" w:afterAutospacing="0"/>
              <w:ind w:left="0" w:right="0"/>
              <w:rPr>
                <w:rFonts w:hint="default" w:ascii="Times New Roman" w:hAnsi="Times New Roman" w:eastAsia="Times New Roman" w:cs="Times New Roman"/>
                <w:b/>
                <w:color w:val="auto"/>
                <w:sz w:val="24"/>
                <w:szCs w:val="24"/>
              </w:rPr>
            </w:pPr>
            <w:r>
              <w:rPr>
                <w:rFonts w:hint="default" w:cs="Times New Roman"/>
                <w:color w:val="auto"/>
                <w:sz w:val="24"/>
              </w:rPr>
              <mc:AlternateContent>
                <mc:Choice Requires="wps">
                  <w:drawing>
                    <wp:anchor distT="0" distB="0" distL="114300" distR="114300" simplePos="0" relativeHeight="251676672" behindDoc="0" locked="0" layoutInCell="1" allowOverlap="1">
                      <wp:simplePos x="0" y="0"/>
                      <wp:positionH relativeFrom="column">
                        <wp:posOffset>1172845</wp:posOffset>
                      </wp:positionH>
                      <wp:positionV relativeFrom="paragraph">
                        <wp:posOffset>90170</wp:posOffset>
                      </wp:positionV>
                      <wp:extent cx="635" cy="742950"/>
                      <wp:effectExtent l="37465" t="0" r="38100" b="0"/>
                      <wp:wrapNone/>
                      <wp:docPr id="18" name="直线 261"/>
                      <wp:cNvGraphicFramePr/>
                      <a:graphic xmlns:a="http://schemas.openxmlformats.org/drawingml/2006/main">
                        <a:graphicData uri="http://schemas.microsoft.com/office/word/2010/wordprocessingShape">
                          <wps:wsp>
                            <wps:cNvCnPr/>
                            <wps:spPr>
                              <a:xfrm flipV="1">
                                <a:off x="0" y="0"/>
                                <a:ext cx="635" cy="7429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1" o:spid="_x0000_s1026" o:spt="20" style="position:absolute;left:0pt;flip:y;margin-left:92.35pt;margin-top:7.1pt;height:58.5pt;width:0.05pt;z-index:251676672;mso-width-relative:page;mso-height-relative:page;" filled="f" stroked="t" coordsize="21600,21600" o:gfxdata="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W927G2AAAAAoBAAAPAAAAAAAAAAEAIAAAACIAAABkcnMvZG93bnJldi54&#10;bWxQSwECFAAUAAAACACHTuJAsa5ur/oBAADtAwAADgAAAAAAAAABACAAAAAnAQAAZHJzL2Uyb0Rv&#10;Yy54bWxQSwUGAAAAAAYABgBZAQAAkwUAAAAA&#10;">
                      <v:fill on="f" focussize="0,0"/>
                      <v:stroke color="#000000" joinstyle="round" endarrow="block"/>
                      <v:imagedata o:title=""/>
                      <o:lock v:ext="edit" aspectratio="f"/>
                    </v:line>
                  </w:pict>
                </mc:Fallback>
              </mc:AlternateContent>
            </w:r>
            <w:r>
              <w:rPr>
                <w:rFonts w:hint="default" w:cs="Times New Roman"/>
                <w:color w:val="auto"/>
                <w:sz w:val="24"/>
              </w:rPr>
              <mc:AlternateContent>
                <mc:Choice Requires="wps">
                  <w:drawing>
                    <wp:anchor distT="0" distB="0" distL="114300" distR="114300" simplePos="0" relativeHeight="251673600" behindDoc="0" locked="0" layoutInCell="1" allowOverlap="1">
                      <wp:simplePos x="0" y="0"/>
                      <wp:positionH relativeFrom="column">
                        <wp:posOffset>3563620</wp:posOffset>
                      </wp:positionH>
                      <wp:positionV relativeFrom="paragraph">
                        <wp:posOffset>116205</wp:posOffset>
                      </wp:positionV>
                      <wp:extent cx="342900" cy="635"/>
                      <wp:effectExtent l="0" t="37465" r="0" b="38100"/>
                      <wp:wrapNone/>
                      <wp:docPr id="15" name="直线 265"/>
                      <wp:cNvGraphicFramePr/>
                      <a:graphic xmlns:a="http://schemas.openxmlformats.org/drawingml/2006/main">
                        <a:graphicData uri="http://schemas.microsoft.com/office/word/2010/wordprocessingShape">
                          <wps:wsp>
                            <wps:cNvCnPr/>
                            <wps:spPr>
                              <a:xfrm>
                                <a:off x="0" y="0"/>
                                <a:ext cx="3429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5" o:spid="_x0000_s1026" o:spt="20" style="position:absolute;left:0pt;margin-left:280.6pt;margin-top:9.15pt;height:0.05pt;width:27pt;z-index:251673600;mso-width-relative:page;mso-height-relative:page;" filled="f" stroked="t" coordsize="21600,21600" o:gfxdata="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Cd6fm2AAAAAkBAAAPAAAAAAAAAAEAIAAAACIAAABkcnMvZG93bnJldi54bWxQSwEC&#10;FAAUAAAACACHTuJA+JRla/QBAADjAwAADgAAAAAAAAABACAAAAAnAQAAZHJzL2Uyb0RvYy54bWxQ&#10;SwUGAAAAAAYABgBZAQAAjQUAAAAA&#10;">
                      <v:fill on="f" focussize="0,0"/>
                      <v:stroke color="#000000" joinstyle="round" endarrow="block"/>
                      <v:imagedata o:title=""/>
                      <o:lock v:ext="edit" aspectratio="f"/>
                    </v:line>
                  </w:pict>
                </mc:Fallback>
              </mc:AlternateContent>
            </w:r>
            <w:r>
              <w:rPr>
                <w:rFonts w:hint="default" w:cs="Times New Roman"/>
                <w:color w:val="auto"/>
                <w:sz w:val="24"/>
              </w:rPr>
              <mc:AlternateContent>
                <mc:Choice Requires="wps">
                  <w:drawing>
                    <wp:anchor distT="0" distB="0" distL="114300" distR="114300" simplePos="0" relativeHeight="251670528" behindDoc="0" locked="0" layoutInCell="1" allowOverlap="1">
                      <wp:simplePos x="0" y="0"/>
                      <wp:positionH relativeFrom="column">
                        <wp:posOffset>2230120</wp:posOffset>
                      </wp:positionH>
                      <wp:positionV relativeFrom="paragraph">
                        <wp:posOffset>97155</wp:posOffset>
                      </wp:positionV>
                      <wp:extent cx="533400" cy="635"/>
                      <wp:effectExtent l="0" t="37465" r="0" b="38100"/>
                      <wp:wrapNone/>
                      <wp:docPr id="12" name="直线 266"/>
                      <wp:cNvGraphicFramePr/>
                      <a:graphic xmlns:a="http://schemas.openxmlformats.org/drawingml/2006/main">
                        <a:graphicData uri="http://schemas.microsoft.com/office/word/2010/wordprocessingShape">
                          <wps:wsp>
                            <wps:cNvCnPr/>
                            <wps:spPr>
                              <a:xfrm>
                                <a:off x="0" y="0"/>
                                <a:ext cx="5334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6" o:spid="_x0000_s1026" o:spt="20" style="position:absolute;left:0pt;margin-left:175.6pt;margin-top:7.65pt;height:0.05pt;width:42pt;z-index:251670528;mso-width-relative:page;mso-height-relative:page;" filled="f" stroked="t" coordsize="21600,21600" o:gfxdata="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3gA8NkAAAAJAQAADwAAAAAAAAABACAAAAAiAAAAZHJzL2Rvd25yZXYueG1sUEsBAhQA&#10;FAAAAAgAh07iQFRl2UHxAQAA4wMAAA4AAAAAAAAAAQAgAAAAKAEAAGRycy9lMm9Eb2MueG1sUEsF&#10;BgAAAAAGAAYAWQEAAIsFAAAAAA==&#10;">
                      <v:fill on="f" focussize="0,0"/>
                      <v:stroke color="#000000" joinstyle="round" endarrow="block"/>
                      <v:imagedata o:title=""/>
                      <o:lock v:ext="edit" aspectratio="f"/>
                    </v:line>
                  </w:pict>
                </mc:Fallback>
              </mc:AlternateContent>
            </w:r>
            <w:r>
              <w:rPr>
                <w:rFonts w:hint="default" w:cs="Times New Roman"/>
                <w:color w:val="auto"/>
                <w:sz w:val="24"/>
              </w:rPr>
              <mc:AlternateContent>
                <mc:Choice Requires="wps">
                  <w:drawing>
                    <wp:anchor distT="0" distB="0" distL="114300" distR="114300" simplePos="0" relativeHeight="251679744" behindDoc="0" locked="0" layoutInCell="1" allowOverlap="1">
                      <wp:simplePos x="0" y="0"/>
                      <wp:positionH relativeFrom="column">
                        <wp:posOffset>734695</wp:posOffset>
                      </wp:positionH>
                      <wp:positionV relativeFrom="paragraph">
                        <wp:posOffset>88900</wp:posOffset>
                      </wp:positionV>
                      <wp:extent cx="647700" cy="635"/>
                      <wp:effectExtent l="0" t="37465" r="0" b="38100"/>
                      <wp:wrapNone/>
                      <wp:docPr id="21" name="直线 259"/>
                      <wp:cNvGraphicFramePr/>
                      <a:graphic xmlns:a="http://schemas.openxmlformats.org/drawingml/2006/main">
                        <a:graphicData uri="http://schemas.microsoft.com/office/word/2010/wordprocessingShape">
                          <wps:wsp>
                            <wps:cNvCnPr/>
                            <wps:spPr>
                              <a:xfrm>
                                <a:off x="0" y="0"/>
                                <a:ext cx="6477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9" o:spid="_x0000_s1026" o:spt="20" style="position:absolute;left:0pt;margin-left:57.85pt;margin-top:7pt;height:0.05pt;width:51pt;z-index:251679744;mso-width-relative:page;mso-height-relative:page;" filled="f" stroked="t" coordsize="21600,21600" o:gfxdata="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bc8JvWAAAACQEAAA8AAAAAAAAAAQAgAAAAIgAAAGRycy9kb3ducmV2LnhtbFBLAQIUABQA&#10;AAAIAIdO4kDZmZfe8gEAAOMDAAAOAAAAAAAAAAEAIAAAACUBAABkcnMvZTJvRG9jLnhtbFBLBQYA&#10;AAAABgAGAFkBAACJBQAAAAA=&#10;">
                      <v:fill on="f" focussize="0,0"/>
                      <v:stroke color="#000000" joinstyle="round" endarrow="block"/>
                      <v:imagedata o:title=""/>
                      <o:lock v:ext="edit" aspectratio="f"/>
                    </v:line>
                  </w:pict>
                </mc:Fallback>
              </mc:AlternateContent>
            </w:r>
          </w:p>
          <w:p w14:paraId="0256BCD7">
            <w:pPr>
              <w:pStyle w:val="2"/>
              <w:keepNext w:val="0"/>
              <w:keepLines w:val="0"/>
              <w:suppressLineNumbers w:val="0"/>
              <w:spacing w:before="0" w:beforeAutospacing="0" w:after="0" w:afterAutospacing="0"/>
              <w:ind w:left="0" w:right="0"/>
              <w:rPr>
                <w:rFonts w:hint="default" w:ascii="Times New Roman" w:hAnsi="Times New Roman" w:eastAsia="Times New Roman" w:cs="Times New Roman"/>
                <w:b/>
                <w:color w:val="auto"/>
                <w:sz w:val="24"/>
                <w:szCs w:val="24"/>
              </w:rPr>
            </w:pPr>
            <w:r>
              <w:rPr>
                <w:rFonts w:hint="default" w:cs="Times New Roman"/>
                <w:color w:val="auto"/>
                <w:sz w:val="24"/>
              </w:rPr>
              <mc:AlternateContent>
                <mc:Choice Requires="wps">
                  <w:drawing>
                    <wp:anchor distT="0" distB="0" distL="114300" distR="114300" simplePos="0" relativeHeight="251674624" behindDoc="0" locked="0" layoutInCell="1" allowOverlap="1">
                      <wp:simplePos x="0" y="0"/>
                      <wp:positionH relativeFrom="column">
                        <wp:posOffset>4411980</wp:posOffset>
                      </wp:positionH>
                      <wp:positionV relativeFrom="paragraph">
                        <wp:posOffset>88265</wp:posOffset>
                      </wp:positionV>
                      <wp:extent cx="8890" cy="534035"/>
                      <wp:effectExtent l="4445" t="0" r="5715" b="18415"/>
                      <wp:wrapNone/>
                      <wp:docPr id="16" name="直线 264"/>
                      <wp:cNvGraphicFramePr/>
                      <a:graphic xmlns:a="http://schemas.openxmlformats.org/drawingml/2006/main">
                        <a:graphicData uri="http://schemas.microsoft.com/office/word/2010/wordprocessingShape">
                          <wps:wsp>
                            <wps:cNvCnPr/>
                            <wps:spPr>
                              <a:xfrm flipH="1">
                                <a:off x="0" y="0"/>
                                <a:ext cx="8890" cy="5340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64" o:spid="_x0000_s1026" o:spt="20" style="position:absolute;left:0pt;flip:x;margin-left:347.4pt;margin-top:6.95pt;height:42.05pt;width:0.7pt;z-index:251674624;mso-width-relative:page;mso-height-relative:page;" filled="f" stroked="t" coordsize="21600,21600" o:gfxdata="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K/l7dcAAAAJAQAADwAAAAAAAAABACAAAAAiAAAAZHJzL2Rvd25yZXYueG1sUEsBAhQA&#10;FAAAAAgAh07iQPKwH3HzAQAA6gMAAA4AAAAAAAAAAQAgAAAAJgEAAGRycy9lMm9Eb2MueG1sUEsF&#10;BgAAAAAGAAYAWQEAAIsFAAAAAA==&#10;">
                      <v:fill on="f" focussize="0,0"/>
                      <v:stroke color="#000000" joinstyle="round"/>
                      <v:imagedata o:title=""/>
                      <o:lock v:ext="edit" aspectratio="f"/>
                    </v:line>
                  </w:pict>
                </mc:Fallback>
              </mc:AlternateContent>
            </w:r>
          </w:p>
          <w:p w14:paraId="75759193">
            <w:pPr>
              <w:pStyle w:val="2"/>
              <w:keepNext w:val="0"/>
              <w:keepLines w:val="0"/>
              <w:suppressLineNumbers w:val="0"/>
              <w:spacing w:before="0" w:beforeAutospacing="0" w:after="0" w:afterAutospacing="0"/>
              <w:ind w:left="0" w:right="0"/>
              <w:rPr>
                <w:rFonts w:hint="default" w:ascii="Times New Roman" w:hAnsi="Times New Roman" w:eastAsia="Times New Roman" w:cs="Times New Roman"/>
                <w:b/>
                <w:color w:val="auto"/>
                <w:sz w:val="24"/>
                <w:szCs w:val="24"/>
              </w:rPr>
            </w:pPr>
          </w:p>
          <w:p w14:paraId="23E35D7F">
            <w:pPr>
              <w:pStyle w:val="2"/>
              <w:keepNext w:val="0"/>
              <w:keepLines w:val="0"/>
              <w:suppressLineNumbers w:val="0"/>
              <w:spacing w:before="0" w:beforeAutospacing="0" w:after="0" w:afterAutospacing="0"/>
              <w:ind w:left="0" w:right="0"/>
              <w:rPr>
                <w:rFonts w:hint="default" w:ascii="Times New Roman" w:hAnsi="Times New Roman" w:eastAsia="Times New Roman" w:cs="Times New Roman"/>
                <w:b/>
                <w:color w:val="auto"/>
                <w:sz w:val="24"/>
                <w:szCs w:val="24"/>
              </w:rPr>
            </w:pPr>
            <w:r>
              <w:rPr>
                <w:rFonts w:hint="default" w:cs="Times New Roman"/>
                <w:color w:val="auto"/>
                <w:sz w:val="24"/>
              </w:rPr>
              <mc:AlternateContent>
                <mc:Choice Requires="wps">
                  <w:drawing>
                    <wp:anchor distT="0" distB="0" distL="114300" distR="114300" simplePos="0" relativeHeight="251678720" behindDoc="0" locked="0" layoutInCell="1" allowOverlap="1">
                      <wp:simplePos x="0" y="0"/>
                      <wp:positionH relativeFrom="column">
                        <wp:posOffset>3192145</wp:posOffset>
                      </wp:positionH>
                      <wp:positionV relativeFrom="paragraph">
                        <wp:posOffset>16510</wp:posOffset>
                      </wp:positionV>
                      <wp:extent cx="571500" cy="266700"/>
                      <wp:effectExtent l="0" t="0" r="0" b="0"/>
                      <wp:wrapNone/>
                      <wp:docPr id="20" name="文本框 267"/>
                      <wp:cNvGraphicFramePr/>
                      <a:graphic xmlns:a="http://schemas.openxmlformats.org/drawingml/2006/main">
                        <a:graphicData uri="http://schemas.microsoft.com/office/word/2010/wordprocessingShape">
                          <wps:wsp>
                            <wps:cNvSpPr txBox="1"/>
                            <wps:spPr>
                              <a:xfrm>
                                <a:off x="0" y="0"/>
                                <a:ext cx="571500" cy="266700"/>
                              </a:xfrm>
                              <a:prstGeom prst="rect">
                                <a:avLst/>
                              </a:prstGeom>
                              <a:noFill/>
                              <a:ln>
                                <a:noFill/>
                              </a:ln>
                            </wps:spPr>
                            <wps:txbx>
                              <w:txbxContent>
                                <w:p w14:paraId="23BBBD46">
                                  <w:pPr>
                                    <w:rPr>
                                      <w:rFonts w:hint="default" w:eastAsia="宋体"/>
                                      <w:lang w:val="en-US" w:eastAsia="zh-CN"/>
                                    </w:rPr>
                                  </w:pPr>
                                  <w:r>
                                    <w:rPr>
                                      <w:rFonts w:hint="eastAsia"/>
                                      <w:lang w:val="en-US" w:eastAsia="zh-CN"/>
                                    </w:rPr>
                                    <w:t>7.0</w:t>
                                  </w:r>
                                </w:p>
                              </w:txbxContent>
                            </wps:txbx>
                            <wps:bodyPr wrap="square" upright="1"/>
                          </wps:wsp>
                        </a:graphicData>
                      </a:graphic>
                    </wp:anchor>
                  </w:drawing>
                </mc:Choice>
                <mc:Fallback>
                  <w:pict>
                    <v:shape id="文本框 267" o:spid="_x0000_s1026" o:spt="202" type="#_x0000_t202" style="position:absolute;left:0pt;margin-left:251.35pt;margin-top:1.3pt;height:21pt;width:45pt;z-index:251678720;mso-width-relative:page;mso-height-relative:page;" filled="f" stroked="f" coordsize="21600,21600" o:gfxdata="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mYETfVAAAACAEAAA8AAAAAAAAAAQAgAAAAIgAAAGRycy9kb3ducmV2LnhtbFBLAQIUABQAAAAI&#10;AIdO4kCr9BXFtwEAAF4DAAAOAAAAAAAAAAEAIAAAACQBAABkcnMvZTJvRG9jLnhtbFBLBQYAAAAA&#10;BgAGAFkBAABNBQAAAAA=&#10;">
                      <v:fill on="f" focussize="0,0"/>
                      <v:stroke on="f"/>
                      <v:imagedata o:title=""/>
                      <o:lock v:ext="edit" aspectratio="f"/>
                      <v:textbox>
                        <w:txbxContent>
                          <w:p w14:paraId="23BBBD46">
                            <w:pPr>
                              <w:rPr>
                                <w:rFonts w:hint="default" w:eastAsia="宋体"/>
                                <w:lang w:val="en-US" w:eastAsia="zh-CN"/>
                              </w:rPr>
                            </w:pPr>
                            <w:r>
                              <w:rPr>
                                <w:rFonts w:hint="eastAsia"/>
                                <w:lang w:val="en-US" w:eastAsia="zh-CN"/>
                              </w:rPr>
                              <w:t>7.0</w:t>
                            </w:r>
                          </w:p>
                        </w:txbxContent>
                      </v:textbox>
                    </v:shape>
                  </w:pict>
                </mc:Fallback>
              </mc:AlternateContent>
            </w:r>
          </w:p>
          <w:p w14:paraId="028A3726">
            <w:pPr>
              <w:pStyle w:val="2"/>
              <w:keepNext w:val="0"/>
              <w:keepLines w:val="0"/>
              <w:suppressLineNumbers w:val="0"/>
              <w:spacing w:before="0" w:beforeAutospacing="0" w:after="0" w:afterAutospacing="0"/>
              <w:ind w:left="0" w:right="0"/>
              <w:rPr>
                <w:rFonts w:hint="default" w:ascii="Times New Roman" w:hAnsi="Times New Roman" w:eastAsia="Times New Roman" w:cs="Times New Roman"/>
                <w:b/>
                <w:color w:val="auto"/>
                <w:sz w:val="24"/>
                <w:szCs w:val="24"/>
              </w:rPr>
            </w:pPr>
            <w:r>
              <w:rPr>
                <w:rFonts w:hint="default" w:cs="Times New Roman"/>
                <w:color w:val="auto"/>
                <w:sz w:val="24"/>
              </w:rPr>
              <mc:AlternateContent>
                <mc:Choice Requires="wps">
                  <w:drawing>
                    <wp:anchor distT="0" distB="0" distL="114300" distR="114300" simplePos="0" relativeHeight="251675648" behindDoc="0" locked="0" layoutInCell="1" allowOverlap="1">
                      <wp:simplePos x="0" y="0"/>
                      <wp:positionH relativeFrom="column">
                        <wp:posOffset>1174115</wp:posOffset>
                      </wp:positionH>
                      <wp:positionV relativeFrom="paragraph">
                        <wp:posOffset>27940</wp:posOffset>
                      </wp:positionV>
                      <wp:extent cx="3228340" cy="635"/>
                      <wp:effectExtent l="0" t="0" r="0" b="0"/>
                      <wp:wrapNone/>
                      <wp:docPr id="17" name="直线 268"/>
                      <wp:cNvGraphicFramePr/>
                      <a:graphic xmlns:a="http://schemas.openxmlformats.org/drawingml/2006/main">
                        <a:graphicData uri="http://schemas.microsoft.com/office/word/2010/wordprocessingShape">
                          <wps:wsp>
                            <wps:cNvCnPr/>
                            <wps:spPr>
                              <a:xfrm flipH="1" flipV="1">
                                <a:off x="0" y="0"/>
                                <a:ext cx="322834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68" o:spid="_x0000_s1026" o:spt="20" style="position:absolute;left:0pt;flip:x y;margin-left:92.45pt;margin-top:2.2pt;height:0.05pt;width:254.2pt;z-index:251675648;mso-width-relative:page;mso-height-relative:page;" filled="f" stroked="t" coordsize="21600,21600" o:gfxdata="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7tE49IAAAAHAQAADwAAAAAAAAABACAAAAAiAAAAZHJzL2Rvd25yZXYueG1sUEsBAhQA&#10;FAAAAAgAh07iQAXs8tb4AQAA9AMAAA4AAAAAAAAAAQAgAAAAIQEAAGRycy9lMm9Eb2MueG1sUEsF&#10;BgAAAAAGAAYAWQEAAIsFAAAAAA==&#10;">
                      <v:fill on="f" focussize="0,0"/>
                      <v:stroke color="#000000" joinstyle="round"/>
                      <v:imagedata o:title=""/>
                      <o:lock v:ext="edit" aspectratio="f"/>
                    </v:line>
                  </w:pict>
                </mc:Fallback>
              </mc:AlternateContent>
            </w:r>
          </w:p>
          <w:p w14:paraId="4D4CFB2A">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cs="Times New Roman"/>
                <w:b/>
                <w:color w:val="auto"/>
                <w:sz w:val="24"/>
              </w:rPr>
            </w:pPr>
            <w:r>
              <w:rPr>
                <w:rFonts w:hint="eastAsia" w:ascii="Times New Roman" w:hAnsi="Times New Roman" w:cs="Times New Roman"/>
                <w:b/>
                <w:color w:val="auto"/>
                <w:sz w:val="24"/>
              </w:rPr>
              <w:t>图</w:t>
            </w:r>
            <w:r>
              <w:rPr>
                <w:rFonts w:hint="eastAsia" w:ascii="Times New Roman" w:hAnsi="Times New Roman" w:cs="Times New Roman"/>
                <w:b/>
                <w:color w:val="auto"/>
                <w:sz w:val="24"/>
                <w:lang w:val="en-US" w:eastAsia="zh-CN"/>
              </w:rPr>
              <w:t>4-2</w:t>
            </w:r>
            <w:r>
              <w:rPr>
                <w:rFonts w:hint="eastAsia" w:ascii="Times New Roman" w:hAnsi="Times New Roman" w:cs="Times New Roman"/>
                <w:b/>
                <w:color w:val="auto"/>
                <w:sz w:val="24"/>
              </w:rPr>
              <w:t>项目水平衡示意图    单位：m</w:t>
            </w:r>
            <w:r>
              <w:rPr>
                <w:rFonts w:hint="eastAsia" w:ascii="Times New Roman" w:hAnsi="Times New Roman" w:cs="Times New Roman"/>
                <w:b/>
                <w:color w:val="auto"/>
                <w:sz w:val="24"/>
                <w:vertAlign w:val="superscript"/>
              </w:rPr>
              <w:t>3</w:t>
            </w:r>
            <w:r>
              <w:rPr>
                <w:rFonts w:hint="eastAsia" w:ascii="Times New Roman" w:hAnsi="Times New Roman" w:cs="Times New Roman"/>
                <w:b/>
                <w:color w:val="auto"/>
                <w:sz w:val="24"/>
              </w:rPr>
              <w:t>/d</w:t>
            </w:r>
          </w:p>
          <w:p w14:paraId="03BB4039">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2</w:t>
            </w:r>
            <w:r>
              <w:rPr>
                <w:rFonts w:hint="default" w:ascii="Times New Roman" w:hAnsi="Times New Roman" w:eastAsia="宋体" w:cs="Times New Roman"/>
                <w:b w:val="0"/>
                <w:bCs w:val="0"/>
                <w:color w:val="auto"/>
                <w:kern w:val="2"/>
                <w:sz w:val="24"/>
                <w:szCs w:val="24"/>
                <w:highlight w:val="none"/>
                <w:lang w:val="en-US" w:eastAsia="zh-CN" w:bidi="ar-SA"/>
              </w:rPr>
              <w:t>）地表水环境影响及措施可行性分析</w:t>
            </w:r>
          </w:p>
          <w:p w14:paraId="2803F014">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①</w:t>
            </w:r>
            <w:r>
              <w:rPr>
                <w:rFonts w:hint="default" w:ascii="Times New Roman" w:hAnsi="Times New Roman" w:eastAsia="宋体" w:cs="Times New Roman"/>
                <w:b w:val="0"/>
                <w:bCs w:val="0"/>
                <w:color w:val="auto"/>
                <w:kern w:val="2"/>
                <w:sz w:val="24"/>
                <w:szCs w:val="24"/>
                <w:highlight w:val="none"/>
                <w:lang w:val="en-US" w:eastAsia="zh-CN" w:bidi="ar-SA"/>
              </w:rPr>
              <w:t>化粪池</w:t>
            </w:r>
            <w:r>
              <w:rPr>
                <w:rFonts w:hint="eastAsia" w:ascii="Times New Roman" w:hAnsi="Times New Roman" w:eastAsia="宋体" w:cs="Times New Roman"/>
                <w:b w:val="0"/>
                <w:bCs w:val="0"/>
                <w:color w:val="auto"/>
                <w:kern w:val="2"/>
                <w:sz w:val="24"/>
                <w:szCs w:val="24"/>
                <w:highlight w:val="none"/>
                <w:lang w:val="en-US" w:eastAsia="zh-CN" w:bidi="ar-SA"/>
              </w:rPr>
              <w:t>容积合理性</w:t>
            </w:r>
            <w:r>
              <w:rPr>
                <w:rFonts w:hint="default" w:ascii="Times New Roman" w:hAnsi="Times New Roman" w:eastAsia="宋体" w:cs="Times New Roman"/>
                <w:b w:val="0"/>
                <w:bCs w:val="0"/>
                <w:color w:val="auto"/>
                <w:kern w:val="2"/>
                <w:sz w:val="24"/>
                <w:szCs w:val="24"/>
                <w:highlight w:val="none"/>
                <w:lang w:val="en-US" w:eastAsia="zh-CN" w:bidi="ar-SA"/>
              </w:rPr>
              <w:t>分析</w:t>
            </w:r>
          </w:p>
          <w:p w14:paraId="5532634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eastAsia="宋体" w:cs="Times New Roman"/>
                <w:b w:val="0"/>
                <w:bCs w:val="0"/>
                <w:color w:val="auto"/>
                <w:kern w:val="2"/>
                <w:sz w:val="24"/>
                <w:szCs w:val="24"/>
                <w:highlight w:val="none"/>
                <w:vertAlign w:val="baseline"/>
                <w:lang w:val="en-US" w:eastAsia="zh-CN" w:bidi="ar-SA"/>
              </w:rPr>
              <w:t>本项目生活污水最大产生量为6.16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目前依托的化粪池容积为30m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，根据建设单位提供的资料，目前该矿山处于停工状态，在矿区驻守人员较少，因此化粪池有足够的余量可满足本次探矿人员产生的生活污水的停留。只要合理</w:t>
            </w:r>
            <w:bookmarkStart w:id="68" w:name="_GoBack"/>
            <w:bookmarkEnd w:id="68"/>
            <w:r>
              <w:rPr>
                <w:rFonts w:hint="eastAsia" w:ascii="Times New Roman" w:hAnsi="宋体" w:eastAsia="宋体" w:cs="Times New Roman"/>
                <w:color w:val="auto"/>
                <w:sz w:val="24"/>
                <w:lang w:val="en-US" w:eastAsia="zh-CN"/>
              </w:rPr>
              <w:t>安排清掏周期，</w:t>
            </w:r>
            <w:r>
              <w:rPr>
                <w:rFonts w:hint="eastAsia" w:ascii="Times New Roman" w:hAnsi="Times New Roman" w:cs="Times New Roman"/>
                <w:color w:val="auto"/>
                <w:sz w:val="24"/>
                <w:szCs w:val="24"/>
                <w:lang w:val="en-US" w:eastAsia="zh-CN"/>
              </w:rPr>
              <w:t>定期委托附近村民清掏作为农家肥使用，可做到不满溢，不外排。</w:t>
            </w:r>
          </w:p>
          <w:p w14:paraId="5F446A1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宋体" w:eastAsia="宋体" w:cs="Times New Roman"/>
                <w:color w:val="auto"/>
                <w:sz w:val="24"/>
                <w:lang w:val="en-US" w:eastAsia="zh-CN"/>
              </w:rPr>
            </w:pPr>
            <w:r>
              <w:rPr>
                <w:rFonts w:hint="eastAsia" w:ascii="Times New Roman" w:hAnsi="宋体" w:eastAsia="宋体" w:cs="Times New Roman"/>
                <w:color w:val="auto"/>
                <w:sz w:val="24"/>
                <w:lang w:val="en-US" w:eastAsia="zh-CN"/>
              </w:rPr>
              <w:t>②沉淀池容积合理性分析</w:t>
            </w:r>
          </w:p>
          <w:p w14:paraId="3BC516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宋体" w:hAnsi="宋体" w:eastAsia="宋体" w:cs="Times New Roman"/>
                <w:color w:val="auto"/>
                <w:kern w:val="2"/>
                <w:sz w:val="24"/>
                <w:szCs w:val="24"/>
                <w:lang w:val="en-US" w:eastAsia="zh-CN" w:bidi="ar-SA"/>
              </w:rPr>
            </w:pPr>
            <w:r>
              <w:rPr>
                <w:rFonts w:hint="eastAsia" w:ascii="Times New Roman" w:hAnsi="宋体" w:eastAsia="宋体" w:cs="Times New Roman"/>
                <w:color w:val="auto"/>
                <w:sz w:val="24"/>
                <w:lang w:val="en-US" w:eastAsia="zh-CN"/>
              </w:rPr>
              <w:t>本项目每个探矿平台设计1个沉淀池，属于临时性的，采用设计内铺设防水土工布进行防渗漏，容积为1.0m</w:t>
            </w:r>
            <w:r>
              <w:rPr>
                <w:rFonts w:hint="eastAsia" w:ascii="Times New Roman" w:hAnsi="宋体" w:eastAsia="宋体" w:cs="Times New Roman"/>
                <w:color w:val="auto"/>
                <w:sz w:val="24"/>
                <w:vertAlign w:val="superscript"/>
                <w:lang w:val="en-US" w:eastAsia="zh-CN"/>
              </w:rPr>
              <w:t>3</w:t>
            </w:r>
            <w:r>
              <w:rPr>
                <w:rFonts w:hint="eastAsia" w:ascii="Times New Roman" w:hAnsi="宋体" w:eastAsia="宋体" w:cs="Times New Roman"/>
                <w:color w:val="auto"/>
                <w:sz w:val="24"/>
                <w:lang w:val="en-US" w:eastAsia="zh-CN"/>
              </w:rPr>
              <w:t>，根据每个钻探平台产生的废水量约0.125m</w:t>
            </w:r>
            <w:r>
              <w:rPr>
                <w:rFonts w:hint="eastAsia" w:ascii="Times New Roman" w:hAnsi="宋体" w:eastAsia="宋体" w:cs="Times New Roman"/>
                <w:color w:val="auto"/>
                <w:sz w:val="24"/>
                <w:vertAlign w:val="superscript"/>
                <w:lang w:val="en-US" w:eastAsia="zh-CN"/>
              </w:rPr>
              <w:t>3</w:t>
            </w:r>
            <w:r>
              <w:rPr>
                <w:rFonts w:hint="eastAsia" w:ascii="Times New Roman" w:hAnsi="宋体" w:eastAsia="宋体" w:cs="Times New Roman"/>
                <w:color w:val="auto"/>
                <w:sz w:val="24"/>
                <w:lang w:val="en-US" w:eastAsia="zh-CN"/>
              </w:rPr>
              <w:t>/h，可满足废水量，该废水沉淀后循环使用，因此</w:t>
            </w:r>
            <w:r>
              <w:rPr>
                <w:rFonts w:hint="eastAsia" w:ascii="Times New Roman" w:hAnsi="Times New Roman" w:eastAsia="宋体" w:cs="Times New Roman"/>
                <w:color w:val="auto"/>
                <w:sz w:val="24"/>
                <w:highlight w:val="none"/>
                <w:lang w:val="en-US" w:eastAsia="zh-CN"/>
              </w:rPr>
              <w:t>设计沉淀池的池容可满足项目使用需求。</w:t>
            </w:r>
            <w:r>
              <w:rPr>
                <w:rFonts w:hint="eastAsia" w:ascii="宋体" w:hAnsi="宋体" w:eastAsia="宋体" w:cs="Times New Roman"/>
                <w:color w:val="auto"/>
                <w:kern w:val="2"/>
                <w:sz w:val="24"/>
                <w:szCs w:val="24"/>
                <w:lang w:val="en-US" w:eastAsia="zh-CN" w:bidi="ar-SA"/>
              </w:rPr>
              <w:t>待探矿结束后，沉淀池上清液用于场地洒水降尘。本项目不使用含有化学成分的钻探材料进行施工，不会改变泥浆废水的水质，产生的泥浆水水质简单，主要为SS，经过沉淀后，可用于洒水降尘，对地表水环境影响不大。</w:t>
            </w:r>
          </w:p>
          <w:p w14:paraId="2283466B">
            <w:pPr>
              <w:pStyle w:val="10"/>
              <w:keepNext w:val="0"/>
              <w:keepLines w:val="0"/>
              <w:suppressLineNumbers w:val="0"/>
              <w:spacing w:beforeAutospacing="0" w:afterAutospacing="0"/>
              <w:ind w:left="0"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val="en-US" w:eastAsia="zh-CN"/>
              </w:rPr>
              <w:t>）废水环境影响分析结论</w:t>
            </w:r>
          </w:p>
          <w:p w14:paraId="3F4474AA">
            <w:pPr>
              <w:keepNext w:val="0"/>
              <w:keepLines w:val="0"/>
              <w:pageBreakBefore w:val="0"/>
              <w:suppressLineNumbers w:val="0"/>
              <w:tabs>
                <w:tab w:val="left" w:pos="6482"/>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b w:val="0"/>
                <w:bCs w:val="0"/>
                <w:color w:val="auto"/>
                <w:kern w:val="2"/>
                <w:sz w:val="24"/>
                <w:szCs w:val="24"/>
                <w:highlight w:val="none"/>
                <w:lang w:val="en-US" w:eastAsia="zh-CN" w:bidi="ar-SA"/>
              </w:rPr>
              <w:t>场区采用雨污分流系统，</w:t>
            </w:r>
            <w:r>
              <w:rPr>
                <w:rFonts w:hint="default" w:ascii="Times New Roman" w:hAnsi="Times New Roman" w:eastAsia="宋体" w:cs="Times New Roman"/>
                <w:color w:val="auto"/>
                <w:sz w:val="24"/>
                <w:highlight w:val="none"/>
                <w:lang w:val="en-US" w:eastAsia="zh-CN"/>
              </w:rPr>
              <w:t>雨水通过场区内的</w:t>
            </w:r>
            <w:r>
              <w:rPr>
                <w:rFonts w:hint="eastAsia" w:ascii="Times New Roman" w:hAnsi="Times New Roman" w:eastAsia="宋体" w:cs="Times New Roman"/>
                <w:color w:val="auto"/>
                <w:sz w:val="24"/>
                <w:highlight w:val="none"/>
                <w:lang w:val="en-US" w:eastAsia="zh-CN"/>
              </w:rPr>
              <w:t>截排水沟</w:t>
            </w:r>
            <w:r>
              <w:rPr>
                <w:rFonts w:hint="default" w:ascii="Times New Roman" w:hAnsi="Times New Roman" w:eastAsia="宋体" w:cs="Times New Roman"/>
                <w:color w:val="auto"/>
                <w:sz w:val="24"/>
                <w:highlight w:val="none"/>
                <w:lang w:val="en-US" w:eastAsia="zh-CN"/>
              </w:rPr>
              <w:t>引至场区外周边</w:t>
            </w:r>
            <w:r>
              <w:rPr>
                <w:rFonts w:hint="eastAsia" w:ascii="Times New Roman" w:hAnsi="Times New Roman" w:eastAsia="宋体" w:cs="Times New Roman"/>
                <w:color w:val="auto"/>
                <w:sz w:val="24"/>
                <w:highlight w:val="none"/>
                <w:lang w:val="en-US" w:eastAsia="zh-CN"/>
              </w:rPr>
              <w:t>排放</w:t>
            </w:r>
            <w:r>
              <w:rPr>
                <w:rFonts w:hint="default" w:ascii="Times New Roman" w:hAnsi="Times New Roman" w:eastAsia="宋体" w:cs="Times New Roman"/>
                <w:color w:val="auto"/>
                <w:sz w:val="24"/>
                <w:highlight w:val="none"/>
                <w:lang w:val="en-US" w:eastAsia="zh-CN"/>
              </w:rPr>
              <w:t>。</w:t>
            </w:r>
          </w:p>
          <w:p w14:paraId="67C5F7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rPr>
              <w:t>项目</w:t>
            </w:r>
            <w:r>
              <w:rPr>
                <w:rFonts w:hint="eastAsia" w:ascii="Times New Roman" w:hAnsi="Times New Roman" w:eastAsia="宋体" w:cs="Times New Roman"/>
                <w:color w:val="auto"/>
                <w:sz w:val="24"/>
                <w:szCs w:val="24"/>
                <w:highlight w:val="none"/>
                <w:lang w:val="en-US" w:eastAsia="zh-CN"/>
              </w:rPr>
              <w:t>钻探过程中泥浆废水循环使用，不外排；</w:t>
            </w:r>
            <w:r>
              <w:rPr>
                <w:rFonts w:hint="eastAsia" w:ascii="宋体" w:hAnsi="宋体" w:eastAsia="宋体" w:cs="Times New Roman"/>
                <w:color w:val="auto"/>
                <w:kern w:val="2"/>
                <w:sz w:val="24"/>
                <w:szCs w:val="24"/>
                <w:lang w:val="en-US" w:eastAsia="zh-CN" w:bidi="ar-SA"/>
              </w:rPr>
              <w:t>待探矿结束后，沉淀池上清液用于场地洒水降尘</w:t>
            </w:r>
            <w:r>
              <w:rPr>
                <w:rFonts w:hint="eastAsia" w:ascii="Times New Roman" w:hAnsi="Times New Roman" w:eastAsia="宋体" w:cs="Times New Roman"/>
                <w:color w:val="auto"/>
                <w:sz w:val="24"/>
                <w:szCs w:val="24"/>
                <w:highlight w:val="none"/>
                <w:lang w:val="en-US" w:eastAsia="zh-CN"/>
              </w:rPr>
              <w:t>，对地表水环境影响不大；生活污水经过化粪池沉淀</w:t>
            </w:r>
            <w:r>
              <w:rPr>
                <w:rFonts w:hint="default" w:ascii="Times New Roman" w:hAnsi="Times New Roman" w:eastAsia="宋体" w:cs="Times New Roman"/>
                <w:color w:val="auto"/>
                <w:sz w:val="24"/>
                <w:szCs w:val="24"/>
                <w:lang w:val="en-US" w:eastAsia="zh-CN"/>
              </w:rPr>
              <w:t>发酵处理后，定期由</w:t>
            </w:r>
            <w:r>
              <w:rPr>
                <w:rFonts w:hint="eastAsia" w:ascii="Times New Roman" w:hAnsi="Times New Roman" w:eastAsia="宋体" w:cs="Times New Roman"/>
                <w:color w:val="auto"/>
                <w:sz w:val="24"/>
                <w:szCs w:val="24"/>
                <w:lang w:val="en-US" w:eastAsia="zh-CN"/>
              </w:rPr>
              <w:t>清掏作为周边山林施肥使用</w:t>
            </w:r>
            <w:r>
              <w:rPr>
                <w:rFonts w:hint="default" w:ascii="Times New Roman" w:hAnsi="Times New Roman" w:eastAsia="宋体" w:cs="Times New Roman"/>
                <w:color w:val="auto"/>
                <w:sz w:val="24"/>
                <w:szCs w:val="24"/>
                <w:lang w:val="en-US" w:eastAsia="zh-CN"/>
              </w:rPr>
              <w:t>，不外排。</w:t>
            </w:r>
          </w:p>
          <w:p w14:paraId="0B74585D">
            <w:pPr>
              <w:pStyle w:val="10"/>
              <w:keepNext w:val="0"/>
              <w:keepLines w:val="0"/>
              <w:suppressLineNumbers w:val="0"/>
              <w:spacing w:beforeAutospacing="0" w:afterAutospacing="0"/>
              <w:ind w:left="0" w:firstLine="480" w:firstLineChars="200"/>
              <w:rPr>
                <w:rFonts w:hint="eastAsia" w:ascii="Times New Roman" w:hAnsi="Times New Roman" w:eastAsia="宋体" w:cs="Times New Roman"/>
                <w:color w:val="auto"/>
                <w:sz w:val="24"/>
                <w:highlight w:val="none"/>
              </w:rPr>
            </w:pPr>
            <w:r>
              <w:rPr>
                <w:rFonts w:hint="eastAsia" w:ascii="Times New Roman" w:hAnsi="宋体" w:eastAsia="宋体" w:cs="Times New Roman"/>
                <w:color w:val="auto"/>
                <w:sz w:val="24"/>
                <w:szCs w:val="24"/>
                <w:lang w:val="en-US" w:eastAsia="zh-CN"/>
              </w:rPr>
              <w:t>综上分析，</w:t>
            </w:r>
            <w:r>
              <w:rPr>
                <w:rFonts w:hint="default" w:ascii="Times New Roman" w:hAnsi="Times New Roman" w:eastAsia="宋体" w:cs="Times New Roman"/>
                <w:color w:val="auto"/>
                <w:sz w:val="24"/>
                <w:szCs w:val="24"/>
                <w:highlight w:val="none"/>
                <w:lang w:eastAsia="zh-CN"/>
              </w:rPr>
              <w:t>项目运营期可做到</w:t>
            </w:r>
            <w:r>
              <w:rPr>
                <w:rFonts w:hint="default" w:ascii="Times New Roman" w:hAnsi="Times New Roman" w:eastAsia="宋体" w:cs="Times New Roman"/>
                <w:color w:val="auto"/>
                <w:sz w:val="24"/>
                <w:szCs w:val="24"/>
                <w:highlight w:val="none"/>
              </w:rPr>
              <w:t>废水不外排</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rPr>
              <w:t>因此，</w:t>
            </w:r>
            <w:r>
              <w:rPr>
                <w:rFonts w:hint="default" w:ascii="Times New Roman" w:hAnsi="Times New Roman" w:eastAsia="宋体" w:cs="Times New Roman"/>
                <w:color w:val="auto"/>
                <w:sz w:val="24"/>
                <w:szCs w:val="24"/>
                <w:highlight w:val="none"/>
              </w:rPr>
              <w:t>项目对周边水</w:t>
            </w:r>
            <w:r>
              <w:rPr>
                <w:rFonts w:hint="eastAsia" w:ascii="Times New Roman" w:hAnsi="Times New Roman" w:eastAsia="宋体" w:cs="Times New Roman"/>
                <w:color w:val="auto"/>
                <w:sz w:val="24"/>
                <w:szCs w:val="24"/>
                <w:highlight w:val="none"/>
                <w:lang w:eastAsia="zh-CN"/>
              </w:rPr>
              <w:t>环境</w:t>
            </w:r>
            <w:r>
              <w:rPr>
                <w:rFonts w:hint="default" w:ascii="Times New Roman" w:hAnsi="Times New Roman" w:eastAsia="宋体" w:cs="Times New Roman"/>
                <w:color w:val="auto"/>
                <w:sz w:val="24"/>
                <w:szCs w:val="24"/>
                <w:highlight w:val="none"/>
              </w:rPr>
              <w:t>影响</w:t>
            </w:r>
            <w:r>
              <w:rPr>
                <w:rFonts w:hint="default" w:ascii="Times New Roman" w:hAnsi="Times New Roman" w:eastAsia="宋体" w:cs="Times New Roman"/>
                <w:color w:val="auto"/>
                <w:sz w:val="24"/>
                <w:szCs w:val="24"/>
                <w:highlight w:val="none"/>
                <w:lang w:eastAsia="zh-CN"/>
              </w:rPr>
              <w:t>较小</w:t>
            </w:r>
            <w:r>
              <w:rPr>
                <w:rFonts w:hint="default" w:ascii="Times New Roman" w:hAnsi="Times New Roman" w:eastAsia="宋体" w:cs="Times New Roman"/>
                <w:color w:val="auto"/>
                <w:sz w:val="24"/>
                <w:szCs w:val="24"/>
                <w:highlight w:val="none"/>
              </w:rPr>
              <w:t>。</w:t>
            </w:r>
          </w:p>
          <w:p w14:paraId="7C4C459B">
            <w:pPr>
              <w:pStyle w:val="7"/>
              <w:keepNext w:val="0"/>
              <w:keepLines w:val="0"/>
              <w:suppressLineNumbers w:val="0"/>
              <w:spacing w:before="0" w:beforeAutospacing="0" w:after="0" w:afterAutospacing="0" w:line="360" w:lineRule="auto"/>
              <w:ind w:left="0" w:leftChars="0" w:right="0" w:firstLine="0" w:firstLineChars="0"/>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2.3声环境</w:t>
            </w:r>
            <w:r>
              <w:rPr>
                <w:rFonts w:hint="default" w:ascii="Times New Roman" w:hAnsi="Times New Roman" w:eastAsia="宋体" w:cs="Times New Roman"/>
                <w:b/>
                <w:bCs/>
                <w:color w:val="auto"/>
                <w:sz w:val="24"/>
                <w:szCs w:val="24"/>
                <w:highlight w:val="none"/>
                <w:lang w:val="en-US" w:eastAsia="zh-CN"/>
              </w:rPr>
              <w:t>影响</w:t>
            </w:r>
            <w:r>
              <w:rPr>
                <w:rFonts w:hint="eastAsia" w:ascii="Times New Roman" w:hAnsi="Times New Roman" w:eastAsia="宋体" w:cs="Times New Roman"/>
                <w:b/>
                <w:bCs/>
                <w:color w:val="auto"/>
                <w:sz w:val="24"/>
                <w:szCs w:val="24"/>
                <w:highlight w:val="none"/>
                <w:lang w:val="en-US" w:eastAsia="zh-CN"/>
              </w:rPr>
              <w:t>分析</w:t>
            </w:r>
          </w:p>
          <w:p w14:paraId="625A5697">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仿宋"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val="en-US" w:eastAsia="zh-CN"/>
              </w:rPr>
              <w:t>源强及采取的降噪措施</w:t>
            </w:r>
          </w:p>
          <w:p w14:paraId="425B5AD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宋体" w:hAnsi="宋体" w:cs="Times New Roman"/>
                <w:color w:val="auto"/>
                <w:sz w:val="24"/>
              </w:rPr>
              <w:t>本</w:t>
            </w:r>
            <w:r>
              <w:rPr>
                <w:rFonts w:hint="eastAsia" w:ascii="宋体" w:hAnsi="宋体" w:cs="Times New Roman"/>
                <w:color w:val="auto"/>
                <w:sz w:val="24"/>
                <w:lang w:val="en-US" w:eastAsia="zh-CN"/>
              </w:rPr>
              <w:t>次</w:t>
            </w:r>
            <w:r>
              <w:rPr>
                <w:rFonts w:hint="default" w:ascii="宋体" w:hAnsi="宋体" w:cs="Times New Roman"/>
                <w:color w:val="auto"/>
                <w:sz w:val="24"/>
              </w:rPr>
              <w:t>探矿采用钻探，项目在实施过程中产生噪声的主要设备有：</w:t>
            </w:r>
            <w:r>
              <w:rPr>
                <w:rFonts w:hint="eastAsia" w:ascii="宋体" w:hAnsi="宋体" w:cs="Times New Roman"/>
                <w:color w:val="auto"/>
                <w:sz w:val="24"/>
                <w:lang w:val="en-US" w:eastAsia="zh-CN"/>
              </w:rPr>
              <w:t>搅拌机</w:t>
            </w:r>
            <w:r>
              <w:rPr>
                <w:rFonts w:hint="default" w:ascii="宋体" w:hAnsi="宋体" w:cs="Times New Roman"/>
                <w:color w:val="auto"/>
                <w:sz w:val="24"/>
              </w:rPr>
              <w:t>、钻机、柴油发电机、</w:t>
            </w:r>
            <w:r>
              <w:rPr>
                <w:rFonts w:hint="eastAsia" w:ascii="宋体" w:hAnsi="宋体" w:cs="Times New Roman"/>
                <w:color w:val="auto"/>
                <w:sz w:val="24"/>
                <w:lang w:val="en-US" w:eastAsia="zh-CN"/>
              </w:rPr>
              <w:t>泥浆泵、水泵、</w:t>
            </w:r>
            <w:r>
              <w:rPr>
                <w:rFonts w:hint="default" w:ascii="宋体" w:hAnsi="宋体" w:cs="Times New Roman"/>
                <w:color w:val="auto"/>
                <w:sz w:val="24"/>
              </w:rPr>
              <w:t>运输车辆等，</w:t>
            </w:r>
            <w:r>
              <w:rPr>
                <w:rFonts w:hint="eastAsia" w:ascii="Times New Roman" w:hAnsi="Times New Roman" w:eastAsia="宋体" w:cs="Times New Roman"/>
                <w:color w:val="auto"/>
                <w:sz w:val="24"/>
                <w:highlight w:val="none"/>
                <w:lang w:val="en-US" w:eastAsia="zh-CN"/>
              </w:rPr>
              <w:t>参照《污染源源强核算技术指南 锅炉/陶瓷制品制造》</w:t>
            </w:r>
            <w:r>
              <w:rPr>
                <w:rFonts w:hint="default" w:ascii="Times New Roman" w:hAnsi="Times New Roman" w:eastAsia="宋体" w:cs="Times New Roman"/>
                <w:color w:val="auto"/>
                <w:sz w:val="24"/>
                <w:highlight w:val="none"/>
                <w:lang w:eastAsia="zh-CN"/>
              </w:rPr>
              <w:t>设备</w:t>
            </w:r>
            <w:r>
              <w:rPr>
                <w:rFonts w:hint="default" w:ascii="宋体" w:hAnsi="宋体" w:cs="Times New Roman"/>
                <w:color w:val="auto"/>
                <w:sz w:val="24"/>
              </w:rPr>
              <w:t>噪声范围值约为</w:t>
            </w:r>
            <w:r>
              <w:rPr>
                <w:rFonts w:hint="eastAsia" w:ascii="Times New Roman" w:hAnsi="Times New Roman" w:eastAsia="宋体" w:cs="Times New Roman"/>
                <w:color w:val="auto"/>
                <w:sz w:val="24"/>
                <w:lang w:val="en-US" w:eastAsia="zh-CN"/>
              </w:rPr>
              <w:t>70</w:t>
            </w:r>
            <w:r>
              <w:rPr>
                <w:rFonts w:hint="default" w:ascii="宋体" w:hAnsi="宋体" w:cs="Times New Roman"/>
                <w:color w:val="auto"/>
                <w:sz w:val="24"/>
              </w:rPr>
              <w:t>～</w:t>
            </w:r>
            <w:r>
              <w:rPr>
                <w:rFonts w:hint="default" w:ascii="Times New Roman" w:hAnsi="Times New Roman" w:eastAsia="Times New Roman" w:cs="Times New Roman"/>
                <w:color w:val="auto"/>
                <w:sz w:val="24"/>
              </w:rPr>
              <w:t>95dB(A)</w:t>
            </w:r>
            <w:r>
              <w:rPr>
                <w:rFonts w:hint="default" w:ascii="宋体" w:hAnsi="宋体" w:cs="Times New Roman"/>
                <w:color w:val="auto"/>
                <w:sz w:val="24"/>
              </w:rPr>
              <w:t>。</w:t>
            </w:r>
            <w:r>
              <w:rPr>
                <w:rFonts w:hint="eastAsia" w:ascii="Times New Roman" w:hAnsi="Times New Roman" w:eastAsia="宋体" w:cs="Times New Roman"/>
                <w:color w:val="auto"/>
                <w:sz w:val="24"/>
                <w:highlight w:val="none"/>
                <w:lang w:val="en-US" w:eastAsia="zh-CN"/>
              </w:rPr>
              <w:t>除值班车外的生产设备噪声均</w:t>
            </w:r>
            <w:r>
              <w:rPr>
                <w:rFonts w:hint="default" w:ascii="Times New Roman" w:hAnsi="Times New Roman" w:eastAsia="宋体" w:cs="Times New Roman"/>
                <w:color w:val="auto"/>
                <w:sz w:val="24"/>
                <w:highlight w:val="none"/>
              </w:rPr>
              <w:t>为连续性噪声</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具体采取降噪措施为：</w:t>
            </w:r>
            <w:r>
              <w:rPr>
                <w:rFonts w:hint="default" w:ascii="Times New Roman" w:hAnsi="Times New Roman" w:eastAsia="宋体" w:cs="Times New Roman"/>
                <w:color w:val="auto"/>
                <w:sz w:val="24"/>
                <w:highlight w:val="none"/>
                <w:lang w:eastAsia="zh-CN"/>
              </w:rPr>
              <w:t>①</w:t>
            </w:r>
            <w:r>
              <w:rPr>
                <w:rFonts w:hint="default" w:ascii="Times New Roman" w:hAnsi="Times New Roman" w:eastAsia="宋体" w:cs="Times New Roman"/>
                <w:color w:val="auto"/>
                <w:sz w:val="24"/>
                <w:szCs w:val="22"/>
                <w:lang w:val="en-US" w:eastAsia="zh-CN"/>
              </w:rPr>
              <w:t>通过设备选型尽可能选用低噪声电机、振动小的设备；②在高噪声设备底部设置橡胶减震垫；减少高噪声设备同时运行，从源头降低噪声；③</w:t>
            </w:r>
            <w:r>
              <w:rPr>
                <w:rFonts w:hint="eastAsia" w:ascii="Times New Roman" w:hAnsi="Times New Roman" w:eastAsia="宋体" w:cs="Times New Roman"/>
                <w:color w:val="auto"/>
                <w:sz w:val="24"/>
                <w:szCs w:val="22"/>
                <w:lang w:val="en-US" w:eastAsia="zh-CN"/>
              </w:rPr>
              <w:t>泵类设备</w:t>
            </w:r>
            <w:r>
              <w:rPr>
                <w:rFonts w:hint="default" w:ascii="Times New Roman" w:hAnsi="Times New Roman" w:eastAsia="宋体" w:cs="Times New Roman"/>
                <w:color w:val="auto"/>
                <w:sz w:val="24"/>
                <w:szCs w:val="22"/>
                <w:lang w:val="en-US" w:eastAsia="zh-CN"/>
              </w:rPr>
              <w:t>设置隔声罩壳④</w:t>
            </w:r>
            <w:r>
              <w:rPr>
                <w:rFonts w:hint="default" w:ascii="Times New Roman" w:hAnsi="Times New Roman" w:eastAsia="宋体" w:cs="Times New Roman"/>
                <w:color w:val="auto"/>
                <w:sz w:val="24"/>
                <w:highlight w:val="none"/>
                <w:lang w:val="en-US" w:eastAsia="zh-CN"/>
              </w:rPr>
              <w:t>加强对设备的维修保养，避免设备故障产生高</w:t>
            </w:r>
            <w:r>
              <w:rPr>
                <w:rFonts w:hint="eastAsia" w:ascii="Times New Roman" w:hAnsi="Times New Roman" w:eastAsia="宋体" w:cs="Times New Roman"/>
                <w:color w:val="auto"/>
                <w:sz w:val="24"/>
                <w:highlight w:val="none"/>
                <w:lang w:val="en-US" w:eastAsia="zh-CN"/>
              </w:rPr>
              <w:t>噪声扰民。</w:t>
            </w:r>
          </w:p>
          <w:p w14:paraId="0967797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cs="Times New Roman"/>
                <w:color w:val="auto"/>
                <w:sz w:val="24"/>
              </w:rPr>
            </w:pPr>
            <w:r>
              <w:rPr>
                <w:rFonts w:hint="eastAsia" w:ascii="Times New Roman" w:hAnsi="Times New Roman" w:eastAsia="宋体" w:cs="Times New Roman"/>
                <w:color w:val="auto"/>
                <w:sz w:val="24"/>
                <w:highlight w:val="none"/>
                <w:lang w:val="en-US" w:eastAsia="zh-CN"/>
              </w:rPr>
              <w:t>参考《污染源源强核算技术指南 锅炉/陶瓷制品制造》</w:t>
            </w:r>
            <w:r>
              <w:rPr>
                <w:rFonts w:hint="eastAsia" w:ascii="Times New Roman" w:hAnsi="Times New Roman" w:cs="Times New Roman"/>
                <w:color w:val="auto"/>
                <w:sz w:val="24"/>
                <w:szCs w:val="22"/>
                <w:lang w:val="en-US" w:eastAsia="zh-CN"/>
              </w:rPr>
              <w:t>落实以上降噪、隔声治理措施后，可降噪15-20dB(A)。</w:t>
            </w:r>
          </w:p>
          <w:p w14:paraId="65C2E32E">
            <w:pPr>
              <w:pStyle w:val="2"/>
              <w:keepNext w:val="0"/>
              <w:keepLines w:val="0"/>
              <w:suppressLineNumbers w:val="0"/>
              <w:spacing w:before="0" w:beforeAutospacing="0" w:after="0" w:afterAutospacing="0"/>
              <w:ind w:left="0" w:right="0"/>
              <w:jc w:val="center"/>
              <w:rPr>
                <w:rFonts w:hint="default" w:hAnsi="宋体" w:cs="Times New Roman"/>
                <w:color w:val="auto"/>
                <w:sz w:val="24"/>
                <w:szCs w:val="24"/>
              </w:rPr>
            </w:pPr>
            <w:r>
              <w:rPr>
                <w:rFonts w:hint="eastAsia" w:hAnsi="宋体" w:cs="Times New Roman"/>
                <w:b/>
                <w:bCs/>
                <w:color w:val="auto"/>
                <w:sz w:val="24"/>
                <w:szCs w:val="24"/>
              </w:rPr>
              <w:t>表</w:t>
            </w:r>
            <w:r>
              <w:rPr>
                <w:rFonts w:hint="eastAsia" w:hAnsi="宋体" w:cs="Times New Roman"/>
                <w:b/>
                <w:bCs/>
                <w:color w:val="auto"/>
                <w:sz w:val="24"/>
                <w:szCs w:val="24"/>
                <w:lang w:val="en-US" w:eastAsia="zh-CN"/>
              </w:rPr>
              <w:t xml:space="preserve">4-3 </w:t>
            </w:r>
            <w:r>
              <w:rPr>
                <w:rFonts w:hint="eastAsia" w:hAnsi="宋体" w:cs="Times New Roman"/>
                <w:b/>
                <w:bCs/>
                <w:color w:val="auto"/>
                <w:sz w:val="24"/>
                <w:szCs w:val="24"/>
              </w:rPr>
              <w:t>本项目设备噪声源强情况  单位：</w:t>
            </w:r>
            <w:r>
              <w:rPr>
                <w:rFonts w:hint="default" w:ascii="Times New Roman" w:hAnsi="Times New Roman" w:eastAsia="Times New Roman" w:cs="Times New Roman"/>
                <w:b/>
                <w:bCs/>
                <w:color w:val="auto"/>
                <w:sz w:val="24"/>
                <w:szCs w:val="24"/>
              </w:rPr>
              <w:t>dB(A)</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1910"/>
              <w:gridCol w:w="1664"/>
              <w:gridCol w:w="1516"/>
              <w:gridCol w:w="1516"/>
            </w:tblGrid>
            <w:tr w14:paraId="0D561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972" w:type="dxa"/>
                  <w:noWrap w:val="0"/>
                  <w:vAlign w:val="center"/>
                </w:tcPr>
                <w:p w14:paraId="4C1FAB3B">
                  <w:pPr>
                    <w:pStyle w:val="2"/>
                    <w:keepNext w:val="0"/>
                    <w:keepLines w:val="0"/>
                    <w:suppressLineNumbers w:val="0"/>
                    <w:spacing w:before="0" w:beforeAutospacing="0" w:after="0" w:afterAutospacing="0"/>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910" w:type="dxa"/>
                  <w:noWrap w:val="0"/>
                  <w:vAlign w:val="center"/>
                </w:tcPr>
                <w:p w14:paraId="5BAFA1D9">
                  <w:pPr>
                    <w:pStyle w:val="2"/>
                    <w:keepNext w:val="0"/>
                    <w:keepLines w:val="0"/>
                    <w:suppressLineNumbers w:val="0"/>
                    <w:spacing w:before="0" w:beforeAutospacing="0" w:after="0" w:afterAutospacing="0"/>
                    <w:ind w:left="0" w:right="0" w:firstLine="637" w:firstLineChars="302"/>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噪声源</w:t>
                  </w:r>
                </w:p>
              </w:tc>
              <w:tc>
                <w:tcPr>
                  <w:tcW w:w="1664" w:type="dxa"/>
                  <w:noWrap w:val="0"/>
                  <w:vAlign w:val="center"/>
                </w:tcPr>
                <w:p w14:paraId="40BBC70A">
                  <w:pPr>
                    <w:pStyle w:val="2"/>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噪声源强</w:t>
                  </w:r>
                </w:p>
              </w:tc>
              <w:tc>
                <w:tcPr>
                  <w:tcW w:w="1516" w:type="dxa"/>
                  <w:noWrap w:val="0"/>
                  <w:vAlign w:val="center"/>
                </w:tcPr>
                <w:p w14:paraId="765C9DD0">
                  <w:pPr>
                    <w:pStyle w:val="2"/>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治理措施</w:t>
                  </w:r>
                </w:p>
              </w:tc>
              <w:tc>
                <w:tcPr>
                  <w:tcW w:w="1516" w:type="dxa"/>
                  <w:noWrap w:val="0"/>
                  <w:vAlign w:val="center"/>
                </w:tcPr>
                <w:p w14:paraId="0098CB6A">
                  <w:pPr>
                    <w:pStyle w:val="2"/>
                    <w:keepNext w:val="0"/>
                    <w:keepLines w:val="0"/>
                    <w:suppressLineNumbers w:val="0"/>
                    <w:spacing w:before="0" w:beforeAutospacing="0" w:after="0" w:afterAutospacing="0"/>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降噪后噪声源强</w:t>
                  </w:r>
                </w:p>
              </w:tc>
            </w:tr>
            <w:tr w14:paraId="5FB5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2" w:type="dxa"/>
                  <w:noWrap w:val="0"/>
                  <w:vAlign w:val="center"/>
                </w:tcPr>
                <w:p w14:paraId="57C70A18">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910" w:type="dxa"/>
                  <w:noWrap w:val="0"/>
                  <w:vAlign w:val="center"/>
                </w:tcPr>
                <w:p w14:paraId="0276518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搅拌机</w:t>
                  </w:r>
                </w:p>
              </w:tc>
              <w:tc>
                <w:tcPr>
                  <w:tcW w:w="1664" w:type="dxa"/>
                  <w:noWrap w:val="0"/>
                  <w:vAlign w:val="center"/>
                </w:tcPr>
                <w:p w14:paraId="4774B3B5">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75-80</w:t>
                  </w:r>
                </w:p>
              </w:tc>
              <w:tc>
                <w:tcPr>
                  <w:tcW w:w="1516" w:type="dxa"/>
                  <w:noWrap w:val="0"/>
                  <w:vAlign w:val="center"/>
                </w:tcPr>
                <w:p w14:paraId="7C1AEE44">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隔震基础</w:t>
                  </w:r>
                </w:p>
              </w:tc>
              <w:tc>
                <w:tcPr>
                  <w:tcW w:w="1516" w:type="dxa"/>
                  <w:noWrap w:val="0"/>
                  <w:vAlign w:val="center"/>
                </w:tcPr>
                <w:p w14:paraId="0592959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w:t>
                  </w:r>
                </w:p>
              </w:tc>
            </w:tr>
            <w:tr w14:paraId="738FE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972" w:type="dxa"/>
                  <w:noWrap w:val="0"/>
                  <w:vAlign w:val="center"/>
                </w:tcPr>
                <w:p w14:paraId="77CDF688">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910" w:type="dxa"/>
                  <w:noWrap w:val="0"/>
                  <w:vAlign w:val="center"/>
                </w:tcPr>
                <w:p w14:paraId="697F0B01">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钻机</w:t>
                  </w:r>
                </w:p>
              </w:tc>
              <w:tc>
                <w:tcPr>
                  <w:tcW w:w="1664" w:type="dxa"/>
                  <w:noWrap w:val="0"/>
                  <w:vAlign w:val="center"/>
                </w:tcPr>
                <w:p w14:paraId="4888962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85-90</w:t>
                  </w:r>
                </w:p>
              </w:tc>
              <w:tc>
                <w:tcPr>
                  <w:tcW w:w="1516" w:type="dxa"/>
                  <w:noWrap w:val="0"/>
                  <w:vAlign w:val="center"/>
                </w:tcPr>
                <w:p w14:paraId="5A795EB4">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隔震基础</w:t>
                  </w:r>
                </w:p>
              </w:tc>
              <w:tc>
                <w:tcPr>
                  <w:tcW w:w="1516" w:type="dxa"/>
                  <w:noWrap w:val="0"/>
                  <w:vAlign w:val="center"/>
                </w:tcPr>
                <w:p w14:paraId="18420455">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w:t>
                  </w:r>
                </w:p>
              </w:tc>
            </w:tr>
            <w:tr w14:paraId="23E5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2" w:type="dxa"/>
                  <w:noWrap w:val="0"/>
                  <w:vAlign w:val="center"/>
                </w:tcPr>
                <w:p w14:paraId="643624A8">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3</w:t>
                  </w:r>
                </w:p>
              </w:tc>
              <w:tc>
                <w:tcPr>
                  <w:tcW w:w="1910" w:type="dxa"/>
                  <w:noWrap w:val="0"/>
                  <w:vAlign w:val="center"/>
                </w:tcPr>
                <w:p w14:paraId="5E02CC5F">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值班车</w:t>
                  </w:r>
                </w:p>
              </w:tc>
              <w:tc>
                <w:tcPr>
                  <w:tcW w:w="1664" w:type="dxa"/>
                  <w:noWrap w:val="0"/>
                  <w:vAlign w:val="center"/>
                </w:tcPr>
                <w:p w14:paraId="7A38280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70-75</w:t>
                  </w:r>
                </w:p>
              </w:tc>
              <w:tc>
                <w:tcPr>
                  <w:tcW w:w="1516" w:type="dxa"/>
                  <w:noWrap w:val="0"/>
                  <w:vAlign w:val="center"/>
                </w:tcPr>
                <w:p w14:paraId="68BAAA0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加强保养</w:t>
                  </w:r>
                </w:p>
              </w:tc>
              <w:tc>
                <w:tcPr>
                  <w:tcW w:w="1516" w:type="dxa"/>
                  <w:noWrap w:val="0"/>
                  <w:vAlign w:val="center"/>
                </w:tcPr>
                <w:p w14:paraId="7C20CAA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r>
            <w:tr w14:paraId="06F8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72" w:type="dxa"/>
                  <w:noWrap w:val="0"/>
                  <w:vAlign w:val="center"/>
                </w:tcPr>
                <w:p w14:paraId="3671B075">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4</w:t>
                  </w:r>
                </w:p>
              </w:tc>
              <w:tc>
                <w:tcPr>
                  <w:tcW w:w="1910" w:type="dxa"/>
                  <w:noWrap w:val="0"/>
                  <w:vAlign w:val="center"/>
                </w:tcPr>
                <w:p w14:paraId="5A5A2B4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柴油发电机</w:t>
                  </w:r>
                </w:p>
              </w:tc>
              <w:tc>
                <w:tcPr>
                  <w:tcW w:w="1664" w:type="dxa"/>
                  <w:noWrap w:val="0"/>
                  <w:vAlign w:val="center"/>
                </w:tcPr>
                <w:p w14:paraId="23C4242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85-95</w:t>
                  </w:r>
                </w:p>
              </w:tc>
              <w:tc>
                <w:tcPr>
                  <w:tcW w:w="1516" w:type="dxa"/>
                  <w:noWrap w:val="0"/>
                  <w:vAlign w:val="center"/>
                </w:tcPr>
                <w:p w14:paraId="56D9648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隔震基础</w:t>
                  </w:r>
                </w:p>
              </w:tc>
              <w:tc>
                <w:tcPr>
                  <w:tcW w:w="1516" w:type="dxa"/>
                  <w:noWrap w:val="0"/>
                  <w:vAlign w:val="center"/>
                </w:tcPr>
                <w:p w14:paraId="6E9F30D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w:t>
                  </w:r>
                </w:p>
              </w:tc>
            </w:tr>
            <w:tr w14:paraId="1C377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72" w:type="dxa"/>
                  <w:noWrap w:val="0"/>
                  <w:vAlign w:val="center"/>
                </w:tcPr>
                <w:p w14:paraId="4310A8B8">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1910" w:type="dxa"/>
                  <w:noWrap w:val="0"/>
                  <w:vAlign w:val="center"/>
                </w:tcPr>
                <w:p w14:paraId="449F26D1">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泥浆泵</w:t>
                  </w:r>
                </w:p>
              </w:tc>
              <w:tc>
                <w:tcPr>
                  <w:tcW w:w="1664" w:type="dxa"/>
                  <w:noWrap w:val="0"/>
                  <w:vAlign w:val="center"/>
                </w:tcPr>
                <w:p w14:paraId="73F646D5">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75-90</w:t>
                  </w:r>
                </w:p>
              </w:tc>
              <w:tc>
                <w:tcPr>
                  <w:tcW w:w="1516" w:type="dxa"/>
                  <w:noWrap w:val="0"/>
                  <w:vAlign w:val="center"/>
                </w:tcPr>
                <w:p w14:paraId="53E953A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低噪声电机、设置隔声罩壳</w:t>
                  </w:r>
                </w:p>
              </w:tc>
              <w:tc>
                <w:tcPr>
                  <w:tcW w:w="1516" w:type="dxa"/>
                  <w:noWrap w:val="0"/>
                  <w:vAlign w:val="center"/>
                </w:tcPr>
                <w:p w14:paraId="0802AC8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r>
            <w:tr w14:paraId="493AF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72" w:type="dxa"/>
                  <w:noWrap w:val="0"/>
                  <w:vAlign w:val="center"/>
                </w:tcPr>
                <w:p w14:paraId="232FE935">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1910" w:type="dxa"/>
                  <w:noWrap w:val="0"/>
                  <w:vAlign w:val="center"/>
                </w:tcPr>
                <w:p w14:paraId="5ABD8CA5">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水泵</w:t>
                  </w:r>
                </w:p>
              </w:tc>
              <w:tc>
                <w:tcPr>
                  <w:tcW w:w="1664" w:type="dxa"/>
                  <w:noWrap w:val="0"/>
                  <w:vAlign w:val="center"/>
                </w:tcPr>
                <w:p w14:paraId="014676A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70-90</w:t>
                  </w:r>
                </w:p>
              </w:tc>
              <w:tc>
                <w:tcPr>
                  <w:tcW w:w="1516" w:type="dxa"/>
                  <w:noWrap w:val="0"/>
                  <w:vAlign w:val="center"/>
                </w:tcPr>
                <w:p w14:paraId="0F215F0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低噪声电机、设置隔声罩壳</w:t>
                  </w:r>
                </w:p>
              </w:tc>
              <w:tc>
                <w:tcPr>
                  <w:tcW w:w="1516" w:type="dxa"/>
                  <w:noWrap w:val="0"/>
                  <w:vAlign w:val="center"/>
                </w:tcPr>
                <w:p w14:paraId="725B4B7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r>
          </w:tbl>
          <w:p w14:paraId="4BFBFE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auto"/>
                <w:sz w:val="24"/>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eastAsia="zh-CN"/>
              </w:rPr>
              <w:t>项目</w:t>
            </w:r>
            <w:r>
              <w:rPr>
                <w:rFonts w:hint="eastAsia" w:ascii="Times New Roman" w:hAnsi="Times New Roman" w:eastAsia="宋体" w:cs="Times New Roman"/>
                <w:b w:val="0"/>
                <w:bCs w:val="0"/>
                <w:color w:val="auto"/>
                <w:sz w:val="24"/>
                <w:szCs w:val="24"/>
                <w:highlight w:val="none"/>
                <w:lang w:val="en-US" w:eastAsia="zh-CN"/>
              </w:rPr>
              <w:t>噪声</w:t>
            </w:r>
            <w:r>
              <w:rPr>
                <w:rFonts w:hint="default" w:ascii="Times New Roman" w:hAnsi="Times New Roman" w:cs="Times New Roman"/>
                <w:b w:val="0"/>
                <w:bCs w:val="0"/>
                <w:color w:val="auto"/>
                <w:sz w:val="24"/>
              </w:rPr>
              <w:t>预测结果及评价</w:t>
            </w:r>
          </w:p>
          <w:p w14:paraId="42E814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Times New Roman" w:cs="Arial"/>
                <w:color w:val="auto"/>
                <w:sz w:val="24"/>
              </w:rPr>
            </w:pPr>
            <w:r>
              <w:rPr>
                <w:rFonts w:hint="default" w:ascii="Times New Roman" w:hAnsi="Times New Roman" w:eastAsia="宋体" w:cs="Times New Roman"/>
                <w:color w:val="auto"/>
                <w:sz w:val="24"/>
                <w:szCs w:val="24"/>
                <w:highlight w:val="none"/>
                <w:lang w:val="en-US" w:eastAsia="zh-CN"/>
              </w:rPr>
              <w:t xml:space="preserve"> </w:t>
            </w:r>
            <w:r>
              <w:rPr>
                <w:rFonts w:hint="eastAsia" w:ascii="宋体" w:hAnsi="宋体" w:cs="宋体"/>
                <w:color w:val="auto"/>
                <w:kern w:val="0"/>
                <w:sz w:val="24"/>
                <w:lang w:bidi="ar"/>
              </w:rPr>
              <w:t>考虑项目设备噪声源随距离衰减因素，考虑项目周边均为山体，</w:t>
            </w:r>
            <w:r>
              <w:rPr>
                <w:rFonts w:hint="default" w:ascii="Times New Roman" w:hAnsi="Times New Roman" w:eastAsia="宋体" w:cs="Times New Roman"/>
                <w:color w:val="auto"/>
                <w:sz w:val="24"/>
                <w:szCs w:val="24"/>
                <w:highlight w:val="none"/>
              </w:rPr>
              <w:t>根据HJ2.4-2009《环境影响评价技术导则</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声环境》，</w:t>
            </w:r>
            <w:r>
              <w:rPr>
                <w:rFonts w:hint="eastAsia" w:ascii="宋体" w:hAnsi="宋体" w:cs="宋体"/>
                <w:color w:val="auto"/>
                <w:kern w:val="0"/>
                <w:sz w:val="24"/>
                <w:lang w:bidi="ar"/>
              </w:rPr>
              <w:t>采用噪声衰减模型对噪声进行预测。</w:t>
            </w:r>
          </w:p>
          <w:p w14:paraId="46E4FA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Times New Roman" w:cs="Arial"/>
                <w:color w:val="auto"/>
              </w:rPr>
            </w:pPr>
            <w:r>
              <w:rPr>
                <w:rFonts w:hint="eastAsia" w:ascii="宋体" w:hAnsi="宋体" w:cs="宋体"/>
                <w:color w:val="auto"/>
                <w:kern w:val="0"/>
                <w:sz w:val="24"/>
                <w:lang w:bidi="ar"/>
              </w:rPr>
              <w:t>噪声源衰减预测模式如下：</w:t>
            </w:r>
          </w:p>
          <w:p w14:paraId="18057E8C">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2600" w:right="0"/>
              <w:jc w:val="left"/>
              <w:textAlignment w:val="auto"/>
              <w:outlineLvl w:val="0"/>
              <w:rPr>
                <w:rFonts w:hint="default" w:ascii="Times New Roman" w:hAnsi="Times New Roman" w:eastAsia="Times New Roman" w:cs="Arial"/>
                <w:color w:val="auto"/>
                <w:sz w:val="24"/>
              </w:rPr>
            </w:pPr>
            <w:r>
              <w:rPr>
                <w:rFonts w:hint="default" w:ascii="Times New Roman" w:hAnsi="Times New Roman" w:eastAsia="Times New Roman" w:cs="Arial"/>
                <w:color w:val="auto"/>
                <w:kern w:val="0"/>
                <w:sz w:val="24"/>
                <w:lang w:bidi="ar"/>
              </w:rPr>
              <w:t>Lr = Lr</w:t>
            </w:r>
            <w:r>
              <w:rPr>
                <w:rFonts w:hint="default" w:ascii="Times New Roman" w:hAnsi="Times New Roman" w:eastAsia="Times New Roman" w:cs="Arial"/>
                <w:color w:val="auto"/>
                <w:kern w:val="0"/>
                <w:sz w:val="24"/>
                <w:vertAlign w:val="subscript"/>
                <w:lang w:bidi="ar"/>
              </w:rPr>
              <w:t>o</w:t>
            </w:r>
            <w:r>
              <w:rPr>
                <w:rFonts w:hint="default" w:ascii="Times New Roman" w:hAnsi="Times New Roman" w:eastAsia="Times New Roman" w:cs="Arial"/>
                <w:color w:val="auto"/>
                <w:kern w:val="0"/>
                <w:sz w:val="24"/>
                <w:lang w:bidi="ar"/>
              </w:rPr>
              <w:t xml:space="preserve"> - 20log</w:t>
            </w:r>
            <w:r>
              <w:rPr>
                <w:rFonts w:hint="eastAsia" w:ascii="宋体" w:hAnsi="宋体" w:cs="宋体"/>
                <w:color w:val="auto"/>
                <w:kern w:val="0"/>
                <w:sz w:val="24"/>
                <w:lang w:bidi="ar"/>
              </w:rPr>
              <w:t>（</w:t>
            </w:r>
            <w:r>
              <w:rPr>
                <w:rFonts w:hint="default" w:ascii="Times New Roman" w:hAnsi="Times New Roman" w:eastAsia="Times New Roman" w:cs="Arial"/>
                <w:color w:val="auto"/>
                <w:kern w:val="0"/>
                <w:sz w:val="24"/>
                <w:lang w:bidi="ar"/>
              </w:rPr>
              <w:t>r/r</w:t>
            </w:r>
            <w:r>
              <w:rPr>
                <w:rFonts w:hint="default" w:ascii="Times New Roman" w:hAnsi="Times New Roman" w:eastAsia="Times New Roman" w:cs="Arial"/>
                <w:color w:val="auto"/>
                <w:kern w:val="0"/>
                <w:sz w:val="24"/>
                <w:vertAlign w:val="subscript"/>
                <w:lang w:bidi="ar"/>
              </w:rPr>
              <w:t>o</w:t>
            </w:r>
            <w:r>
              <w:rPr>
                <w:rFonts w:hint="eastAsia" w:ascii="宋体" w:hAnsi="宋体" w:cs="宋体"/>
                <w:color w:val="auto"/>
                <w:kern w:val="0"/>
                <w:sz w:val="24"/>
                <w:lang w:bidi="ar"/>
              </w:rPr>
              <w:t>）</w:t>
            </w:r>
            <w:r>
              <w:rPr>
                <w:rFonts w:hint="default" w:ascii="Times New Roman" w:hAnsi="Times New Roman" w:eastAsia="Times New Roman" w:cs="Arial"/>
                <w:color w:val="auto"/>
                <w:kern w:val="0"/>
                <w:sz w:val="24"/>
                <w:lang w:bidi="ar"/>
              </w:rPr>
              <w:t xml:space="preserve">- </w:t>
            </w:r>
            <w:r>
              <w:rPr>
                <w:rFonts w:hint="eastAsia" w:ascii="MS PGothic" w:hAnsi="MS PGothic" w:eastAsia="MS PGothic" w:cs="MS PGothic"/>
                <w:color w:val="auto"/>
                <w:kern w:val="0"/>
                <w:sz w:val="24"/>
                <w:lang w:bidi="ar"/>
              </w:rPr>
              <w:t>△</w:t>
            </w:r>
            <w:r>
              <w:rPr>
                <w:rFonts w:hint="default" w:ascii="Times New Roman" w:hAnsi="Times New Roman" w:eastAsia="Times New Roman" w:cs="Arial"/>
                <w:color w:val="auto"/>
                <w:kern w:val="0"/>
                <w:sz w:val="24"/>
                <w:lang w:bidi="ar"/>
              </w:rPr>
              <w:t>L</w:t>
            </w:r>
          </w:p>
          <w:p w14:paraId="4E35F293">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640" w:right="0"/>
              <w:jc w:val="left"/>
              <w:textAlignment w:val="auto"/>
              <w:rPr>
                <w:rFonts w:hint="default" w:ascii="Times New Roman" w:hAnsi="Times New Roman" w:eastAsia="Times New Roman" w:cs="Arial"/>
                <w:color w:val="auto"/>
                <w:sz w:val="24"/>
              </w:rPr>
            </w:pPr>
            <w:r>
              <w:rPr>
                <w:rFonts w:hint="eastAsia" w:ascii="宋体" w:hAnsi="宋体" w:cs="宋体"/>
                <w:color w:val="auto"/>
                <w:kern w:val="0"/>
                <w:sz w:val="24"/>
                <w:lang w:bidi="ar"/>
              </w:rPr>
              <w:t xml:space="preserve">式中： </w:t>
            </w:r>
            <w:r>
              <w:rPr>
                <w:rFonts w:hint="default" w:ascii="Times New Roman" w:hAnsi="Times New Roman" w:eastAsia="Times New Roman" w:cs="Arial"/>
                <w:color w:val="auto"/>
                <w:kern w:val="0"/>
                <w:sz w:val="24"/>
                <w:lang w:bidi="ar"/>
              </w:rPr>
              <w:t>Lr</w:t>
            </w:r>
            <w:r>
              <w:rPr>
                <w:rFonts w:hint="eastAsia" w:ascii="宋体" w:hAnsi="宋体" w:cs="宋体"/>
                <w:color w:val="auto"/>
                <w:kern w:val="0"/>
                <w:sz w:val="24"/>
                <w:lang w:bidi="ar"/>
              </w:rPr>
              <w:t>、</w:t>
            </w:r>
            <w:r>
              <w:rPr>
                <w:rFonts w:hint="default" w:ascii="Times New Roman" w:hAnsi="Times New Roman" w:eastAsia="Times New Roman" w:cs="Arial"/>
                <w:color w:val="auto"/>
                <w:kern w:val="0"/>
                <w:sz w:val="24"/>
                <w:lang w:bidi="ar"/>
              </w:rPr>
              <w:t>Lr</w:t>
            </w:r>
            <w:r>
              <w:rPr>
                <w:rFonts w:hint="default" w:ascii="Times New Roman" w:hAnsi="Times New Roman" w:eastAsia="Times New Roman" w:cs="Arial"/>
                <w:color w:val="auto"/>
                <w:kern w:val="0"/>
                <w:sz w:val="24"/>
                <w:vertAlign w:val="subscript"/>
                <w:lang w:bidi="ar"/>
              </w:rPr>
              <w:t>o</w:t>
            </w:r>
            <w:r>
              <w:rPr>
                <w:rFonts w:hint="default" w:ascii="Times New Roman" w:hAnsi="Times New Roman" w:eastAsia="Times New Roman" w:cs="Arial"/>
                <w:color w:val="auto"/>
                <w:kern w:val="0"/>
                <w:sz w:val="24"/>
                <w:lang w:bidi="ar"/>
              </w:rPr>
              <w:t>——</w:t>
            </w:r>
            <w:r>
              <w:rPr>
                <w:rFonts w:hint="eastAsia" w:ascii="宋体" w:hAnsi="宋体" w:cs="宋体"/>
                <w:color w:val="auto"/>
                <w:kern w:val="0"/>
                <w:sz w:val="24"/>
                <w:lang w:bidi="ar"/>
              </w:rPr>
              <w:t xml:space="preserve">分别是 </w:t>
            </w:r>
            <w:r>
              <w:rPr>
                <w:rFonts w:hint="default" w:ascii="Times New Roman" w:hAnsi="Times New Roman" w:eastAsia="Times New Roman" w:cs="Arial"/>
                <w:color w:val="auto"/>
                <w:kern w:val="0"/>
                <w:sz w:val="24"/>
                <w:lang w:bidi="ar"/>
              </w:rPr>
              <w:t>r</w:t>
            </w:r>
            <w:r>
              <w:rPr>
                <w:rFonts w:hint="eastAsia" w:ascii="宋体" w:hAnsi="宋体" w:cs="宋体"/>
                <w:color w:val="auto"/>
                <w:kern w:val="0"/>
                <w:sz w:val="24"/>
                <w:lang w:bidi="ar"/>
              </w:rPr>
              <w:t>、</w:t>
            </w:r>
            <w:r>
              <w:rPr>
                <w:rFonts w:hint="default" w:ascii="Times New Roman" w:hAnsi="Times New Roman" w:eastAsia="Times New Roman" w:cs="Arial"/>
                <w:color w:val="auto"/>
                <w:kern w:val="0"/>
                <w:sz w:val="24"/>
                <w:lang w:bidi="ar"/>
              </w:rPr>
              <w:t>r</w:t>
            </w:r>
            <w:r>
              <w:rPr>
                <w:rFonts w:hint="default" w:ascii="Times New Roman" w:hAnsi="Times New Roman" w:eastAsia="Times New Roman" w:cs="Arial"/>
                <w:color w:val="auto"/>
                <w:kern w:val="0"/>
                <w:sz w:val="24"/>
                <w:vertAlign w:val="subscript"/>
                <w:lang w:bidi="ar"/>
              </w:rPr>
              <w:t>o</w:t>
            </w:r>
            <w:r>
              <w:rPr>
                <w:rFonts w:hint="eastAsia" w:ascii="宋体" w:hAnsi="宋体" w:cs="宋体"/>
                <w:color w:val="auto"/>
                <w:kern w:val="0"/>
                <w:sz w:val="24"/>
                <w:lang w:bidi="ar"/>
              </w:rPr>
              <w:t xml:space="preserve"> 处的受声点的噪声 </w:t>
            </w:r>
            <w:r>
              <w:rPr>
                <w:rFonts w:hint="default" w:ascii="Times New Roman" w:hAnsi="Times New Roman" w:eastAsia="Times New Roman" w:cs="Arial"/>
                <w:color w:val="auto"/>
                <w:kern w:val="0"/>
                <w:sz w:val="24"/>
                <w:lang w:bidi="ar"/>
              </w:rPr>
              <w:t>A</w:t>
            </w:r>
            <w:r>
              <w:rPr>
                <w:rFonts w:hint="eastAsia" w:ascii="宋体" w:hAnsi="宋体" w:cs="宋体"/>
                <w:color w:val="auto"/>
                <w:kern w:val="0"/>
                <w:sz w:val="24"/>
                <w:lang w:bidi="ar"/>
              </w:rPr>
              <w:t xml:space="preserve"> 声级；</w:t>
            </w:r>
          </w:p>
          <w:p w14:paraId="5C36141E">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560" w:right="0"/>
              <w:jc w:val="left"/>
              <w:textAlignment w:val="auto"/>
              <w:rPr>
                <w:rFonts w:hint="default" w:ascii="Times New Roman" w:hAnsi="Times New Roman" w:eastAsia="Times New Roman" w:cs="Arial"/>
                <w:color w:val="auto"/>
                <w:sz w:val="24"/>
              </w:rPr>
            </w:pPr>
            <w:r>
              <w:rPr>
                <w:rFonts w:hint="default" w:ascii="Times New Roman" w:hAnsi="Times New Roman" w:eastAsia="Times New Roman" w:cs="Arial"/>
                <w:color w:val="auto"/>
                <w:kern w:val="0"/>
                <w:sz w:val="24"/>
                <w:lang w:bidi="ar"/>
              </w:rPr>
              <w:t>r —</w:t>
            </w:r>
            <w:r>
              <w:rPr>
                <w:rFonts w:hint="eastAsia" w:ascii="宋体" w:hAnsi="宋体" w:cs="宋体"/>
                <w:color w:val="auto"/>
                <w:kern w:val="0"/>
                <w:sz w:val="24"/>
                <w:lang w:bidi="ar"/>
              </w:rPr>
              <w:t>预测点距声源的距离，（</w:t>
            </w:r>
            <w:r>
              <w:rPr>
                <w:rFonts w:hint="default" w:ascii="Times New Roman" w:hAnsi="Times New Roman" w:eastAsia="Times New Roman" w:cs="Arial"/>
                <w:color w:val="auto"/>
                <w:kern w:val="0"/>
                <w:sz w:val="24"/>
                <w:lang w:bidi="ar"/>
              </w:rPr>
              <w:t>m</w:t>
            </w:r>
            <w:r>
              <w:rPr>
                <w:rFonts w:hint="eastAsia" w:ascii="宋体" w:hAnsi="宋体" w:cs="宋体"/>
                <w:color w:val="auto"/>
                <w:kern w:val="0"/>
                <w:sz w:val="24"/>
                <w:lang w:bidi="ar"/>
              </w:rPr>
              <w:t>）；</w:t>
            </w:r>
          </w:p>
          <w:p w14:paraId="264F58A5">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560" w:right="0"/>
              <w:jc w:val="left"/>
              <w:textAlignment w:val="auto"/>
              <w:rPr>
                <w:rFonts w:hint="default" w:ascii="Times New Roman" w:hAnsi="Times New Roman" w:eastAsia="Times New Roman" w:cs="Arial"/>
                <w:color w:val="auto"/>
                <w:sz w:val="24"/>
              </w:rPr>
            </w:pPr>
            <w:r>
              <w:rPr>
                <w:rFonts w:hint="default" w:ascii="Times New Roman" w:hAnsi="Times New Roman" w:eastAsia="Times New Roman" w:cs="Arial"/>
                <w:color w:val="auto"/>
                <w:kern w:val="0"/>
                <w:sz w:val="24"/>
                <w:lang w:bidi="ar"/>
              </w:rPr>
              <w:t>r</w:t>
            </w:r>
            <w:r>
              <w:rPr>
                <w:rFonts w:hint="default" w:ascii="Times New Roman" w:hAnsi="Times New Roman" w:eastAsia="Times New Roman" w:cs="Arial"/>
                <w:color w:val="auto"/>
                <w:kern w:val="0"/>
                <w:sz w:val="24"/>
                <w:vertAlign w:val="subscript"/>
                <w:lang w:bidi="ar"/>
              </w:rPr>
              <w:t>o</w:t>
            </w:r>
            <w:r>
              <w:rPr>
                <w:rFonts w:hint="default" w:ascii="Times New Roman" w:hAnsi="Times New Roman" w:eastAsia="Times New Roman" w:cs="Arial"/>
                <w:color w:val="auto"/>
                <w:kern w:val="0"/>
                <w:sz w:val="24"/>
                <w:lang w:bidi="ar"/>
              </w:rPr>
              <w:t xml:space="preserve"> —</w:t>
            </w:r>
            <w:r>
              <w:rPr>
                <w:rFonts w:hint="eastAsia" w:ascii="宋体" w:hAnsi="宋体" w:cs="宋体"/>
                <w:color w:val="auto"/>
                <w:kern w:val="0"/>
                <w:sz w:val="24"/>
                <w:lang w:bidi="ar"/>
              </w:rPr>
              <w:t>参比距离，（</w:t>
            </w:r>
            <w:r>
              <w:rPr>
                <w:rFonts w:hint="default" w:ascii="Times New Roman" w:hAnsi="Times New Roman" w:eastAsia="Times New Roman" w:cs="Arial"/>
                <w:color w:val="auto"/>
                <w:kern w:val="0"/>
                <w:sz w:val="24"/>
                <w:lang w:bidi="ar"/>
              </w:rPr>
              <w:t>m</w:t>
            </w:r>
            <w:r>
              <w:rPr>
                <w:rFonts w:hint="eastAsia" w:ascii="宋体" w:hAnsi="宋体" w:cs="宋体"/>
                <w:color w:val="auto"/>
                <w:kern w:val="0"/>
                <w:sz w:val="24"/>
                <w:lang w:bidi="ar"/>
              </w:rPr>
              <w:t>）；</w:t>
            </w:r>
          </w:p>
          <w:p w14:paraId="6A5A6609">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560" w:right="0"/>
              <w:jc w:val="left"/>
              <w:textAlignment w:val="auto"/>
              <w:rPr>
                <w:rFonts w:hint="default" w:ascii="Times New Roman" w:hAnsi="Times New Roman" w:eastAsia="Times New Roman" w:cs="Arial"/>
                <w:color w:val="auto"/>
                <w:sz w:val="24"/>
              </w:rPr>
            </w:pPr>
            <w:r>
              <w:rPr>
                <w:rFonts w:hint="eastAsia" w:ascii="MS PGothic" w:hAnsi="MS PGothic" w:eastAsia="MS PGothic" w:cs="MS PGothic"/>
                <w:color w:val="auto"/>
                <w:kern w:val="0"/>
                <w:sz w:val="24"/>
                <w:lang w:bidi="ar"/>
              </w:rPr>
              <w:t>△</w:t>
            </w:r>
            <w:r>
              <w:rPr>
                <w:rFonts w:hint="default" w:ascii="Times New Roman" w:hAnsi="Times New Roman" w:eastAsia="Times New Roman" w:cs="Arial"/>
                <w:color w:val="auto"/>
                <w:kern w:val="0"/>
                <w:sz w:val="24"/>
                <w:lang w:bidi="ar"/>
              </w:rPr>
              <w:t>L —</w:t>
            </w:r>
            <w:r>
              <w:rPr>
                <w:rFonts w:hint="eastAsia" w:ascii="宋体" w:hAnsi="宋体" w:cs="宋体"/>
                <w:color w:val="auto"/>
                <w:kern w:val="0"/>
                <w:sz w:val="24"/>
                <w:lang w:bidi="ar"/>
              </w:rPr>
              <w:t>其他衰减因素，取值</w:t>
            </w:r>
            <w:r>
              <w:rPr>
                <w:rFonts w:hint="default" w:ascii="Times New Roman" w:hAnsi="Times New Roman" w:eastAsia="Times New Roman" w:cs="Arial"/>
                <w:color w:val="auto"/>
                <w:kern w:val="0"/>
                <w:sz w:val="24"/>
                <w:lang w:bidi="ar"/>
              </w:rPr>
              <w:t xml:space="preserve"> 15dB(A)</w:t>
            </w:r>
            <w:r>
              <w:rPr>
                <w:rFonts w:hint="eastAsia" w:ascii="宋体" w:hAnsi="宋体" w:cs="宋体"/>
                <w:color w:val="auto"/>
                <w:kern w:val="0"/>
                <w:sz w:val="24"/>
                <w:lang w:bidi="ar"/>
              </w:rPr>
              <w:t>。</w:t>
            </w:r>
          </w:p>
          <w:p w14:paraId="7F2F8E58">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520" w:right="0"/>
              <w:jc w:val="left"/>
              <w:textAlignment w:val="auto"/>
              <w:rPr>
                <w:rFonts w:hint="eastAsia" w:ascii="宋体" w:hAnsi="宋体" w:cs="宋体"/>
                <w:color w:val="auto"/>
                <w:kern w:val="0"/>
                <w:sz w:val="24"/>
                <w:lang w:bidi="ar"/>
              </w:rPr>
            </w:pPr>
            <w:r>
              <w:rPr>
                <w:rFonts w:hint="eastAsia" w:ascii="宋体" w:hAnsi="宋体" w:cs="宋体"/>
                <w:color w:val="auto"/>
                <w:kern w:val="0"/>
                <w:sz w:val="24"/>
                <w:lang w:bidi="ar"/>
              </w:rPr>
              <w:t>本项目设备噪声随距离衰减后的情况见下表。</w:t>
            </w:r>
          </w:p>
          <w:p w14:paraId="6BED634D">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Calibri" w:cs="Times New Roman"/>
                <w:b/>
                <w:bCs/>
                <w:color w:val="auto"/>
                <w:kern w:val="0"/>
                <w:sz w:val="24"/>
                <w:lang w:val="en-US" w:eastAsia="zh-CN" w:bidi="ar"/>
              </w:rPr>
            </w:pPr>
            <w:r>
              <w:rPr>
                <w:rFonts w:hint="default" w:ascii="Times New Roman" w:hAnsi="Times New Roman" w:cs="Times New Roman"/>
                <w:b/>
                <w:bCs/>
                <w:color w:val="auto"/>
                <w:kern w:val="0"/>
                <w:sz w:val="24"/>
                <w:lang w:val="en-US" w:eastAsia="zh-CN" w:bidi="ar"/>
              </w:rPr>
              <w:t>表</w:t>
            </w:r>
            <w:r>
              <w:rPr>
                <w:rFonts w:hint="eastAsia" w:ascii="Times New Roman" w:hAnsi="Times New Roman" w:cs="Times New Roman"/>
                <w:b/>
                <w:bCs/>
                <w:color w:val="auto"/>
                <w:kern w:val="0"/>
                <w:sz w:val="24"/>
                <w:lang w:val="en-US" w:eastAsia="zh-CN" w:bidi="ar"/>
              </w:rPr>
              <w:t xml:space="preserve">4-4  </w:t>
            </w:r>
            <w:r>
              <w:rPr>
                <w:rFonts w:hint="default" w:ascii="Times New Roman" w:hAnsi="Times New Roman" w:cs="Times New Roman"/>
                <w:b/>
                <w:bCs/>
                <w:color w:val="auto"/>
                <w:kern w:val="0"/>
                <w:sz w:val="24"/>
                <w:lang w:val="en-US" w:eastAsia="zh-CN" w:bidi="ar"/>
              </w:rPr>
              <w:t>设备噪声随距离衰减情况     单位：</w:t>
            </w:r>
            <w:r>
              <w:rPr>
                <w:rFonts w:hint="default" w:ascii="Times New Roman" w:hAnsi="Times New Roman" w:eastAsia="Times New Roman" w:cs="Times New Roman"/>
                <w:b/>
                <w:bCs/>
                <w:color w:val="auto"/>
                <w:kern w:val="0"/>
                <w:sz w:val="24"/>
                <w:lang w:bidi="ar"/>
              </w:rPr>
              <w:t>dB(A)</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354"/>
              <w:gridCol w:w="675"/>
              <w:gridCol w:w="690"/>
              <w:gridCol w:w="795"/>
              <w:gridCol w:w="945"/>
              <w:gridCol w:w="885"/>
              <w:gridCol w:w="915"/>
              <w:gridCol w:w="774"/>
            </w:tblGrid>
            <w:tr w14:paraId="1A9E0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4" w:type="dxa"/>
                  <w:noWrap w:val="0"/>
                  <w:vAlign w:val="center"/>
                </w:tcPr>
                <w:p w14:paraId="66106F44">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序号</w:t>
                  </w:r>
                </w:p>
              </w:tc>
              <w:tc>
                <w:tcPr>
                  <w:tcW w:w="1354" w:type="dxa"/>
                  <w:noWrap w:val="0"/>
                  <w:vAlign w:val="center"/>
                </w:tcPr>
                <w:p w14:paraId="47CCC278">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设备</w:t>
                  </w:r>
                </w:p>
              </w:tc>
              <w:tc>
                <w:tcPr>
                  <w:tcW w:w="675" w:type="dxa"/>
                  <w:noWrap w:val="0"/>
                  <w:vAlign w:val="center"/>
                </w:tcPr>
                <w:p w14:paraId="3292D5DB">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源强</w:t>
                  </w:r>
                </w:p>
              </w:tc>
              <w:tc>
                <w:tcPr>
                  <w:tcW w:w="690" w:type="dxa"/>
                  <w:noWrap w:val="0"/>
                  <w:vAlign w:val="center"/>
                </w:tcPr>
                <w:p w14:paraId="5D255CA0">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10m</w:t>
                  </w:r>
                </w:p>
              </w:tc>
              <w:tc>
                <w:tcPr>
                  <w:tcW w:w="795" w:type="dxa"/>
                  <w:noWrap w:val="0"/>
                  <w:vAlign w:val="center"/>
                </w:tcPr>
                <w:p w14:paraId="5343666C">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kern w:val="0"/>
                      <w:sz w:val="21"/>
                      <w:szCs w:val="21"/>
                      <w:vertAlign w:val="baseline"/>
                      <w:lang w:val="en-US" w:eastAsia="zh-CN" w:bidi="ar"/>
                    </w:rPr>
                  </w:pPr>
                  <w:r>
                    <w:rPr>
                      <w:rFonts w:hint="eastAsia" w:ascii="Times New Roman" w:hAnsi="Times New Roman" w:eastAsia="宋体" w:cs="Times New Roman"/>
                      <w:b/>
                      <w:bCs/>
                      <w:color w:val="auto"/>
                      <w:kern w:val="0"/>
                      <w:sz w:val="21"/>
                      <w:szCs w:val="21"/>
                      <w:vertAlign w:val="baseline"/>
                      <w:lang w:val="en-US" w:eastAsia="zh-CN" w:bidi="ar"/>
                    </w:rPr>
                    <w:t>20m</w:t>
                  </w:r>
                </w:p>
              </w:tc>
              <w:tc>
                <w:tcPr>
                  <w:tcW w:w="945" w:type="dxa"/>
                  <w:noWrap w:val="0"/>
                  <w:vAlign w:val="center"/>
                </w:tcPr>
                <w:p w14:paraId="02ED6C24">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50m</w:t>
                  </w:r>
                </w:p>
              </w:tc>
              <w:tc>
                <w:tcPr>
                  <w:tcW w:w="885" w:type="dxa"/>
                  <w:noWrap w:val="0"/>
                  <w:vAlign w:val="center"/>
                </w:tcPr>
                <w:p w14:paraId="74D7B8DB">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100m</w:t>
                  </w:r>
                </w:p>
              </w:tc>
              <w:tc>
                <w:tcPr>
                  <w:tcW w:w="915" w:type="dxa"/>
                  <w:noWrap w:val="0"/>
                  <w:vAlign w:val="center"/>
                </w:tcPr>
                <w:p w14:paraId="5A56B1DB">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150m</w:t>
                  </w:r>
                </w:p>
              </w:tc>
              <w:tc>
                <w:tcPr>
                  <w:tcW w:w="774" w:type="dxa"/>
                  <w:noWrap w:val="0"/>
                  <w:vAlign w:val="center"/>
                </w:tcPr>
                <w:p w14:paraId="6E87CB4D">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200m</w:t>
                  </w:r>
                </w:p>
              </w:tc>
            </w:tr>
            <w:tr w14:paraId="4CC2D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4" w:type="dxa"/>
                  <w:noWrap w:val="0"/>
                  <w:vAlign w:val="center"/>
                </w:tcPr>
                <w:p w14:paraId="7B1669D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sz w:val="21"/>
                      <w:szCs w:val="21"/>
                    </w:rPr>
                    <w:t>1</w:t>
                  </w:r>
                </w:p>
              </w:tc>
              <w:tc>
                <w:tcPr>
                  <w:tcW w:w="1354" w:type="dxa"/>
                  <w:noWrap w:val="0"/>
                  <w:vAlign w:val="center"/>
                </w:tcPr>
                <w:p w14:paraId="6186578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cs="Times New Roman"/>
                      <w:color w:val="auto"/>
                      <w:sz w:val="21"/>
                      <w:szCs w:val="21"/>
                      <w:lang w:val="en-US" w:eastAsia="zh-CN"/>
                    </w:rPr>
                    <w:t>搅拌机</w:t>
                  </w:r>
                </w:p>
              </w:tc>
              <w:tc>
                <w:tcPr>
                  <w:tcW w:w="675" w:type="dxa"/>
                  <w:noWrap w:val="0"/>
                  <w:vAlign w:val="center"/>
                </w:tcPr>
                <w:p w14:paraId="677D65F5">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cs="Times New Roman"/>
                      <w:color w:val="auto"/>
                      <w:sz w:val="21"/>
                      <w:szCs w:val="21"/>
                      <w:lang w:val="en-US" w:eastAsia="zh-CN"/>
                    </w:rPr>
                    <w:t>65</w:t>
                  </w:r>
                </w:p>
              </w:tc>
              <w:tc>
                <w:tcPr>
                  <w:tcW w:w="690" w:type="dxa"/>
                  <w:noWrap w:val="0"/>
                  <w:vAlign w:val="center"/>
                </w:tcPr>
                <w:p w14:paraId="76734BC2">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45</w:t>
                  </w:r>
                </w:p>
              </w:tc>
              <w:tc>
                <w:tcPr>
                  <w:tcW w:w="795" w:type="dxa"/>
                  <w:noWrap w:val="0"/>
                  <w:vAlign w:val="center"/>
                </w:tcPr>
                <w:p w14:paraId="6746E7A8">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38.97</w:t>
                  </w:r>
                </w:p>
              </w:tc>
              <w:tc>
                <w:tcPr>
                  <w:tcW w:w="945" w:type="dxa"/>
                  <w:noWrap w:val="0"/>
                  <w:vAlign w:val="center"/>
                </w:tcPr>
                <w:p w14:paraId="159DF926">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31.02</w:t>
                  </w:r>
                </w:p>
              </w:tc>
              <w:tc>
                <w:tcPr>
                  <w:tcW w:w="885" w:type="dxa"/>
                  <w:noWrap w:val="0"/>
                  <w:vAlign w:val="center"/>
                </w:tcPr>
                <w:p w14:paraId="2DFDD4B5">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25</w:t>
                  </w:r>
                </w:p>
              </w:tc>
              <w:tc>
                <w:tcPr>
                  <w:tcW w:w="915" w:type="dxa"/>
                  <w:noWrap w:val="0"/>
                  <w:vAlign w:val="center"/>
                </w:tcPr>
                <w:p w14:paraId="5EDFCF8F">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21.47</w:t>
                  </w:r>
                </w:p>
              </w:tc>
              <w:tc>
                <w:tcPr>
                  <w:tcW w:w="774" w:type="dxa"/>
                  <w:noWrap w:val="0"/>
                  <w:vAlign w:val="center"/>
                </w:tcPr>
                <w:p w14:paraId="41F2C2DD">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18.97</w:t>
                  </w:r>
                </w:p>
              </w:tc>
            </w:tr>
            <w:tr w14:paraId="171F9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4" w:type="dxa"/>
                  <w:noWrap w:val="0"/>
                  <w:vAlign w:val="center"/>
                </w:tcPr>
                <w:p w14:paraId="51670E6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sz w:val="21"/>
                      <w:szCs w:val="21"/>
                    </w:rPr>
                    <w:t>2</w:t>
                  </w:r>
                </w:p>
              </w:tc>
              <w:tc>
                <w:tcPr>
                  <w:tcW w:w="1354" w:type="dxa"/>
                  <w:noWrap w:val="0"/>
                  <w:vAlign w:val="center"/>
                </w:tcPr>
                <w:p w14:paraId="6E0F3714">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sz w:val="21"/>
                      <w:szCs w:val="21"/>
                    </w:rPr>
                    <w:t>钻机</w:t>
                  </w:r>
                </w:p>
              </w:tc>
              <w:tc>
                <w:tcPr>
                  <w:tcW w:w="675" w:type="dxa"/>
                  <w:noWrap w:val="0"/>
                  <w:vAlign w:val="center"/>
                </w:tcPr>
                <w:p w14:paraId="5B15E69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cs="Times New Roman"/>
                      <w:color w:val="auto"/>
                      <w:sz w:val="21"/>
                      <w:szCs w:val="21"/>
                      <w:lang w:val="en-US" w:eastAsia="zh-CN"/>
                    </w:rPr>
                    <w:t>75</w:t>
                  </w:r>
                </w:p>
              </w:tc>
              <w:tc>
                <w:tcPr>
                  <w:tcW w:w="690" w:type="dxa"/>
                  <w:noWrap w:val="0"/>
                  <w:vAlign w:val="center"/>
                </w:tcPr>
                <w:p w14:paraId="16FCFC6F">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55</w:t>
                  </w:r>
                </w:p>
              </w:tc>
              <w:tc>
                <w:tcPr>
                  <w:tcW w:w="795" w:type="dxa"/>
                  <w:noWrap w:val="0"/>
                  <w:vAlign w:val="center"/>
                </w:tcPr>
                <w:p w14:paraId="6AD72AC3">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48.97</w:t>
                  </w:r>
                </w:p>
              </w:tc>
              <w:tc>
                <w:tcPr>
                  <w:tcW w:w="945" w:type="dxa"/>
                  <w:noWrap w:val="0"/>
                  <w:vAlign w:val="center"/>
                </w:tcPr>
                <w:p w14:paraId="095BA083">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41.02</w:t>
                  </w:r>
                </w:p>
              </w:tc>
              <w:tc>
                <w:tcPr>
                  <w:tcW w:w="885" w:type="dxa"/>
                  <w:noWrap w:val="0"/>
                  <w:vAlign w:val="center"/>
                </w:tcPr>
                <w:p w14:paraId="2618E6C0">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35</w:t>
                  </w:r>
                </w:p>
              </w:tc>
              <w:tc>
                <w:tcPr>
                  <w:tcW w:w="915" w:type="dxa"/>
                  <w:noWrap w:val="0"/>
                  <w:vAlign w:val="center"/>
                </w:tcPr>
                <w:p w14:paraId="62BC4A97">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31.47</w:t>
                  </w:r>
                </w:p>
              </w:tc>
              <w:tc>
                <w:tcPr>
                  <w:tcW w:w="774" w:type="dxa"/>
                  <w:noWrap w:val="0"/>
                  <w:vAlign w:val="center"/>
                </w:tcPr>
                <w:p w14:paraId="6A6BC306">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28.97</w:t>
                  </w:r>
                </w:p>
              </w:tc>
            </w:tr>
            <w:tr w14:paraId="0DE2A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4" w:type="dxa"/>
                  <w:noWrap w:val="0"/>
                  <w:vAlign w:val="center"/>
                </w:tcPr>
                <w:p w14:paraId="6155253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cs="Times New Roman"/>
                      <w:color w:val="auto"/>
                      <w:sz w:val="21"/>
                      <w:szCs w:val="21"/>
                    </w:rPr>
                    <w:t>3</w:t>
                  </w:r>
                </w:p>
              </w:tc>
              <w:tc>
                <w:tcPr>
                  <w:tcW w:w="1354" w:type="dxa"/>
                  <w:noWrap w:val="0"/>
                  <w:vAlign w:val="center"/>
                </w:tcPr>
                <w:p w14:paraId="78C60CC1">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cs="Times New Roman"/>
                      <w:color w:val="auto"/>
                      <w:sz w:val="21"/>
                      <w:szCs w:val="21"/>
                      <w:lang w:val="en-US" w:eastAsia="zh-CN"/>
                    </w:rPr>
                    <w:t>值班车</w:t>
                  </w:r>
                </w:p>
              </w:tc>
              <w:tc>
                <w:tcPr>
                  <w:tcW w:w="675" w:type="dxa"/>
                  <w:noWrap w:val="0"/>
                  <w:vAlign w:val="center"/>
                </w:tcPr>
                <w:p w14:paraId="6D5BB2C3">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cs="Times New Roman"/>
                      <w:color w:val="auto"/>
                      <w:sz w:val="21"/>
                      <w:szCs w:val="21"/>
                      <w:lang w:val="en-US" w:eastAsia="zh-CN"/>
                    </w:rPr>
                    <w:t>70</w:t>
                  </w:r>
                </w:p>
              </w:tc>
              <w:tc>
                <w:tcPr>
                  <w:tcW w:w="690" w:type="dxa"/>
                  <w:noWrap w:val="0"/>
                  <w:vAlign w:val="center"/>
                </w:tcPr>
                <w:p w14:paraId="79FE127B">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50</w:t>
                  </w:r>
                </w:p>
              </w:tc>
              <w:tc>
                <w:tcPr>
                  <w:tcW w:w="795" w:type="dxa"/>
                  <w:noWrap w:val="0"/>
                  <w:vAlign w:val="center"/>
                </w:tcPr>
                <w:p w14:paraId="301C9532">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43.97</w:t>
                  </w:r>
                </w:p>
              </w:tc>
              <w:tc>
                <w:tcPr>
                  <w:tcW w:w="945" w:type="dxa"/>
                  <w:noWrap w:val="0"/>
                  <w:vAlign w:val="center"/>
                </w:tcPr>
                <w:p w14:paraId="1E14E879">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36.02</w:t>
                  </w:r>
                </w:p>
              </w:tc>
              <w:tc>
                <w:tcPr>
                  <w:tcW w:w="885" w:type="dxa"/>
                  <w:noWrap w:val="0"/>
                  <w:vAlign w:val="center"/>
                </w:tcPr>
                <w:p w14:paraId="1F1B08FB">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30</w:t>
                  </w:r>
                </w:p>
              </w:tc>
              <w:tc>
                <w:tcPr>
                  <w:tcW w:w="915" w:type="dxa"/>
                  <w:noWrap w:val="0"/>
                  <w:vAlign w:val="center"/>
                </w:tcPr>
                <w:p w14:paraId="78C979C9">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26.47</w:t>
                  </w:r>
                </w:p>
              </w:tc>
              <w:tc>
                <w:tcPr>
                  <w:tcW w:w="774" w:type="dxa"/>
                  <w:noWrap w:val="0"/>
                  <w:vAlign w:val="center"/>
                </w:tcPr>
                <w:p w14:paraId="67E8E7E8">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23.97</w:t>
                  </w:r>
                </w:p>
              </w:tc>
            </w:tr>
            <w:tr w14:paraId="1489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64" w:type="dxa"/>
                  <w:noWrap w:val="0"/>
                  <w:vAlign w:val="center"/>
                </w:tcPr>
                <w:p w14:paraId="31929DA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cs="Times New Roman"/>
                      <w:color w:val="auto"/>
                      <w:sz w:val="21"/>
                      <w:szCs w:val="21"/>
                    </w:rPr>
                    <w:t>4</w:t>
                  </w:r>
                </w:p>
              </w:tc>
              <w:tc>
                <w:tcPr>
                  <w:tcW w:w="1354" w:type="dxa"/>
                  <w:noWrap w:val="0"/>
                  <w:vAlign w:val="center"/>
                </w:tcPr>
                <w:p w14:paraId="4984187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sz w:val="21"/>
                      <w:szCs w:val="21"/>
                    </w:rPr>
                    <w:t>柴油发电机</w:t>
                  </w:r>
                </w:p>
              </w:tc>
              <w:tc>
                <w:tcPr>
                  <w:tcW w:w="675" w:type="dxa"/>
                  <w:noWrap w:val="0"/>
                  <w:vAlign w:val="center"/>
                </w:tcPr>
                <w:p w14:paraId="040BE328">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cs="Times New Roman"/>
                      <w:color w:val="auto"/>
                      <w:sz w:val="21"/>
                      <w:szCs w:val="21"/>
                      <w:lang w:val="en-US" w:eastAsia="zh-CN"/>
                    </w:rPr>
                    <w:t>75</w:t>
                  </w:r>
                </w:p>
              </w:tc>
              <w:tc>
                <w:tcPr>
                  <w:tcW w:w="690" w:type="dxa"/>
                  <w:noWrap w:val="0"/>
                  <w:vAlign w:val="center"/>
                </w:tcPr>
                <w:p w14:paraId="4DBFD963">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55</w:t>
                  </w:r>
                </w:p>
              </w:tc>
              <w:tc>
                <w:tcPr>
                  <w:tcW w:w="795" w:type="dxa"/>
                  <w:noWrap w:val="0"/>
                  <w:vAlign w:val="center"/>
                </w:tcPr>
                <w:p w14:paraId="592F0975">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48.97</w:t>
                  </w:r>
                </w:p>
              </w:tc>
              <w:tc>
                <w:tcPr>
                  <w:tcW w:w="945" w:type="dxa"/>
                  <w:noWrap w:val="0"/>
                  <w:vAlign w:val="center"/>
                </w:tcPr>
                <w:p w14:paraId="0D09E359">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41.02</w:t>
                  </w:r>
                </w:p>
              </w:tc>
              <w:tc>
                <w:tcPr>
                  <w:tcW w:w="885" w:type="dxa"/>
                  <w:noWrap w:val="0"/>
                  <w:vAlign w:val="center"/>
                </w:tcPr>
                <w:p w14:paraId="6562F339">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35</w:t>
                  </w:r>
                </w:p>
              </w:tc>
              <w:tc>
                <w:tcPr>
                  <w:tcW w:w="915" w:type="dxa"/>
                  <w:noWrap w:val="0"/>
                  <w:vAlign w:val="center"/>
                </w:tcPr>
                <w:p w14:paraId="6B0D792E">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31.47</w:t>
                  </w:r>
                </w:p>
              </w:tc>
              <w:tc>
                <w:tcPr>
                  <w:tcW w:w="774" w:type="dxa"/>
                  <w:noWrap w:val="0"/>
                  <w:vAlign w:val="center"/>
                </w:tcPr>
                <w:p w14:paraId="47C8F430">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28.97</w:t>
                  </w:r>
                </w:p>
              </w:tc>
            </w:tr>
            <w:tr w14:paraId="2338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64" w:type="dxa"/>
                  <w:noWrap w:val="0"/>
                  <w:vAlign w:val="center"/>
                </w:tcPr>
                <w:p w14:paraId="11BCEE5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cs="Times New Roman"/>
                      <w:color w:val="auto"/>
                      <w:sz w:val="21"/>
                      <w:szCs w:val="21"/>
                      <w:lang w:val="en-US" w:eastAsia="zh-CN"/>
                    </w:rPr>
                    <w:t>5</w:t>
                  </w:r>
                </w:p>
              </w:tc>
              <w:tc>
                <w:tcPr>
                  <w:tcW w:w="1354" w:type="dxa"/>
                  <w:noWrap w:val="0"/>
                  <w:vAlign w:val="center"/>
                </w:tcPr>
                <w:p w14:paraId="43218FB3">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cs="Times New Roman"/>
                      <w:color w:val="auto"/>
                      <w:sz w:val="21"/>
                      <w:szCs w:val="21"/>
                      <w:lang w:val="en-US" w:eastAsia="zh-CN"/>
                    </w:rPr>
                    <w:t>泥浆泵</w:t>
                  </w:r>
                </w:p>
              </w:tc>
              <w:tc>
                <w:tcPr>
                  <w:tcW w:w="675" w:type="dxa"/>
                  <w:noWrap w:val="0"/>
                  <w:vAlign w:val="center"/>
                </w:tcPr>
                <w:p w14:paraId="265FF5D5">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cs="Times New Roman"/>
                      <w:color w:val="auto"/>
                      <w:sz w:val="21"/>
                      <w:szCs w:val="21"/>
                      <w:lang w:val="en-US" w:eastAsia="zh-CN"/>
                    </w:rPr>
                    <w:t>70</w:t>
                  </w:r>
                </w:p>
              </w:tc>
              <w:tc>
                <w:tcPr>
                  <w:tcW w:w="690" w:type="dxa"/>
                  <w:noWrap w:val="0"/>
                  <w:vAlign w:val="center"/>
                </w:tcPr>
                <w:p w14:paraId="37B4634A">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50</w:t>
                  </w:r>
                </w:p>
              </w:tc>
              <w:tc>
                <w:tcPr>
                  <w:tcW w:w="795" w:type="dxa"/>
                  <w:noWrap w:val="0"/>
                  <w:vAlign w:val="center"/>
                </w:tcPr>
                <w:p w14:paraId="16A0355F">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43.97</w:t>
                  </w:r>
                </w:p>
              </w:tc>
              <w:tc>
                <w:tcPr>
                  <w:tcW w:w="945" w:type="dxa"/>
                  <w:noWrap w:val="0"/>
                  <w:vAlign w:val="center"/>
                </w:tcPr>
                <w:p w14:paraId="2A998BC7">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36.02</w:t>
                  </w:r>
                </w:p>
              </w:tc>
              <w:tc>
                <w:tcPr>
                  <w:tcW w:w="885" w:type="dxa"/>
                  <w:noWrap w:val="0"/>
                  <w:vAlign w:val="center"/>
                </w:tcPr>
                <w:p w14:paraId="6D4E7B45">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30</w:t>
                  </w:r>
                </w:p>
              </w:tc>
              <w:tc>
                <w:tcPr>
                  <w:tcW w:w="915" w:type="dxa"/>
                  <w:noWrap w:val="0"/>
                  <w:vAlign w:val="center"/>
                </w:tcPr>
                <w:p w14:paraId="0B14EC48">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26.47</w:t>
                  </w:r>
                </w:p>
              </w:tc>
              <w:tc>
                <w:tcPr>
                  <w:tcW w:w="774" w:type="dxa"/>
                  <w:noWrap w:val="0"/>
                  <w:vAlign w:val="center"/>
                </w:tcPr>
                <w:p w14:paraId="1410B879">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23.97</w:t>
                  </w:r>
                </w:p>
              </w:tc>
            </w:tr>
            <w:tr w14:paraId="59203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64" w:type="dxa"/>
                  <w:noWrap w:val="0"/>
                  <w:vAlign w:val="center"/>
                </w:tcPr>
                <w:p w14:paraId="12A713E3">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cs="Times New Roman"/>
                      <w:color w:val="auto"/>
                      <w:sz w:val="21"/>
                      <w:szCs w:val="21"/>
                      <w:lang w:val="en-US" w:eastAsia="zh-CN"/>
                    </w:rPr>
                    <w:t>6</w:t>
                  </w:r>
                </w:p>
              </w:tc>
              <w:tc>
                <w:tcPr>
                  <w:tcW w:w="1354" w:type="dxa"/>
                  <w:noWrap w:val="0"/>
                  <w:vAlign w:val="center"/>
                </w:tcPr>
                <w:p w14:paraId="5BE10C33">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cs="Times New Roman"/>
                      <w:color w:val="auto"/>
                      <w:sz w:val="21"/>
                      <w:szCs w:val="21"/>
                      <w:lang w:val="en-US" w:eastAsia="zh-CN"/>
                    </w:rPr>
                    <w:t>水泵</w:t>
                  </w:r>
                </w:p>
              </w:tc>
              <w:tc>
                <w:tcPr>
                  <w:tcW w:w="675" w:type="dxa"/>
                  <w:noWrap w:val="0"/>
                  <w:vAlign w:val="center"/>
                </w:tcPr>
                <w:p w14:paraId="3B20980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cs="Times New Roman"/>
                      <w:color w:val="auto"/>
                      <w:sz w:val="21"/>
                      <w:szCs w:val="21"/>
                      <w:lang w:val="en-US" w:eastAsia="zh-CN"/>
                    </w:rPr>
                    <w:t>70</w:t>
                  </w:r>
                </w:p>
              </w:tc>
              <w:tc>
                <w:tcPr>
                  <w:tcW w:w="690" w:type="dxa"/>
                  <w:noWrap w:val="0"/>
                  <w:vAlign w:val="center"/>
                </w:tcPr>
                <w:p w14:paraId="72413677">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50</w:t>
                  </w:r>
                </w:p>
              </w:tc>
              <w:tc>
                <w:tcPr>
                  <w:tcW w:w="795" w:type="dxa"/>
                  <w:noWrap w:val="0"/>
                  <w:vAlign w:val="center"/>
                </w:tcPr>
                <w:p w14:paraId="73C2F5CB">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43.97</w:t>
                  </w:r>
                </w:p>
              </w:tc>
              <w:tc>
                <w:tcPr>
                  <w:tcW w:w="945" w:type="dxa"/>
                  <w:noWrap w:val="0"/>
                  <w:vAlign w:val="center"/>
                </w:tcPr>
                <w:p w14:paraId="367EF3F7">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36.02</w:t>
                  </w:r>
                </w:p>
              </w:tc>
              <w:tc>
                <w:tcPr>
                  <w:tcW w:w="885" w:type="dxa"/>
                  <w:noWrap w:val="0"/>
                  <w:vAlign w:val="center"/>
                </w:tcPr>
                <w:p w14:paraId="4C585423">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30</w:t>
                  </w:r>
                </w:p>
              </w:tc>
              <w:tc>
                <w:tcPr>
                  <w:tcW w:w="915" w:type="dxa"/>
                  <w:noWrap w:val="0"/>
                  <w:vAlign w:val="center"/>
                </w:tcPr>
                <w:p w14:paraId="2482D0ED">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26.47</w:t>
                  </w:r>
                </w:p>
              </w:tc>
              <w:tc>
                <w:tcPr>
                  <w:tcW w:w="774" w:type="dxa"/>
                  <w:noWrap w:val="0"/>
                  <w:vAlign w:val="center"/>
                </w:tcPr>
                <w:p w14:paraId="0ECAA0CF">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23.97</w:t>
                  </w:r>
                </w:p>
              </w:tc>
            </w:tr>
            <w:tr w14:paraId="6E37D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64" w:type="dxa"/>
                  <w:noWrap w:val="0"/>
                  <w:vAlign w:val="center"/>
                </w:tcPr>
                <w:p w14:paraId="3D8AB40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1354" w:type="dxa"/>
                  <w:noWrap w:val="0"/>
                  <w:vAlign w:val="center"/>
                </w:tcPr>
                <w:p w14:paraId="516EF01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多噪声源叠加值</w:t>
                  </w:r>
                </w:p>
              </w:tc>
              <w:tc>
                <w:tcPr>
                  <w:tcW w:w="675" w:type="dxa"/>
                  <w:noWrap w:val="0"/>
                  <w:vAlign w:val="center"/>
                </w:tcPr>
                <w:p w14:paraId="6BDD106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81.71</w:t>
                  </w:r>
                </w:p>
              </w:tc>
              <w:tc>
                <w:tcPr>
                  <w:tcW w:w="690" w:type="dxa"/>
                  <w:noWrap w:val="0"/>
                  <w:vAlign w:val="center"/>
                </w:tcPr>
                <w:p w14:paraId="387D57DA">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61.71</w:t>
                  </w:r>
                </w:p>
              </w:tc>
              <w:tc>
                <w:tcPr>
                  <w:tcW w:w="795" w:type="dxa"/>
                  <w:noWrap w:val="0"/>
                  <w:vAlign w:val="center"/>
                </w:tcPr>
                <w:p w14:paraId="0D7D737F">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55.6</w:t>
                  </w:r>
                </w:p>
              </w:tc>
              <w:tc>
                <w:tcPr>
                  <w:tcW w:w="945" w:type="dxa"/>
                  <w:noWrap w:val="0"/>
                  <w:vAlign w:val="center"/>
                </w:tcPr>
                <w:p w14:paraId="346B9117">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47.73</w:t>
                  </w:r>
                </w:p>
              </w:tc>
              <w:tc>
                <w:tcPr>
                  <w:tcW w:w="885" w:type="dxa"/>
                  <w:noWrap w:val="0"/>
                  <w:vAlign w:val="center"/>
                </w:tcPr>
                <w:p w14:paraId="7AEF1AA2">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41.71</w:t>
                  </w:r>
                </w:p>
              </w:tc>
              <w:tc>
                <w:tcPr>
                  <w:tcW w:w="915" w:type="dxa"/>
                  <w:noWrap w:val="0"/>
                  <w:vAlign w:val="center"/>
                </w:tcPr>
                <w:p w14:paraId="42F4AF8D">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38.1</w:t>
                  </w:r>
                </w:p>
              </w:tc>
              <w:tc>
                <w:tcPr>
                  <w:tcW w:w="774" w:type="dxa"/>
                  <w:noWrap w:val="0"/>
                  <w:vAlign w:val="center"/>
                </w:tcPr>
                <w:p w14:paraId="7030153D">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35.68</w:t>
                  </w:r>
                </w:p>
              </w:tc>
            </w:tr>
          </w:tbl>
          <w:p w14:paraId="6DCD80D7">
            <w:pPr>
              <w:keepNext w:val="0"/>
              <w:keepLines w:val="0"/>
              <w:widowControl/>
              <w:suppressLineNumbers w:val="0"/>
              <w:spacing w:before="0" w:beforeAutospacing="0" w:after="0" w:afterAutospacing="0" w:line="134" w:lineRule="exact"/>
              <w:ind w:left="0" w:right="0"/>
              <w:jc w:val="left"/>
              <w:rPr>
                <w:rFonts w:hint="default" w:ascii="Times New Roman" w:hAnsi="Times New Roman" w:eastAsia="Times New Roman" w:cs="Arial"/>
                <w:color w:val="auto"/>
              </w:rPr>
            </w:pPr>
          </w:p>
          <w:p w14:paraId="004B94EF">
            <w:pPr>
              <w:keepNext w:val="0"/>
              <w:keepLines w:val="0"/>
              <w:widowControl/>
              <w:suppressLineNumbers w:val="0"/>
              <w:adjustRightInd w:val="0"/>
              <w:snapToGrid w:val="0"/>
              <w:spacing w:before="0" w:beforeAutospacing="0" w:after="0" w:afterAutospacing="0" w:line="360" w:lineRule="auto"/>
              <w:ind w:left="0" w:right="0" w:firstLine="480" w:firstLineChars="200"/>
              <w:rPr>
                <w:rFonts w:hint="eastAsia" w:ascii="宋体" w:hAnsi="宋体" w:cs="宋体"/>
                <w:color w:val="auto"/>
                <w:kern w:val="0"/>
                <w:sz w:val="24"/>
                <w:lang w:bidi="ar"/>
              </w:rPr>
            </w:pPr>
            <w:r>
              <w:rPr>
                <w:rFonts w:hint="eastAsia" w:ascii="宋体" w:hAnsi="宋体" w:eastAsia="宋体" w:cs="宋体"/>
                <w:color w:val="auto"/>
                <w:kern w:val="0"/>
                <w:sz w:val="24"/>
                <w:lang w:bidi="ar"/>
              </w:rPr>
              <w:t>由上表可知</w:t>
            </w:r>
            <w:r>
              <w:rPr>
                <w:rFonts w:hint="default" w:ascii="宋体" w:hAnsi="宋体" w:eastAsia="宋体" w:cs="宋体"/>
                <w:color w:val="auto"/>
                <w:kern w:val="0"/>
                <w:sz w:val="24"/>
                <w:lang w:bidi="ar"/>
              </w:rPr>
              <w:t>，仅考虑距离因素，</w:t>
            </w:r>
            <w:r>
              <w:rPr>
                <w:rFonts w:hint="eastAsia" w:ascii="宋体" w:hAnsi="宋体" w:eastAsia="宋体" w:cs="宋体"/>
                <w:color w:val="auto"/>
                <w:kern w:val="0"/>
                <w:sz w:val="24"/>
                <w:lang w:val="en-US" w:eastAsia="zh-CN" w:bidi="ar"/>
              </w:rPr>
              <w:t>多单设备同时工作噪声在20m 距离外均可达到《声环境质量标准》2 类区昼间标准要求，由于夜间不勘探，对环境影响较小</w:t>
            </w:r>
            <w:r>
              <w:rPr>
                <w:rFonts w:hint="eastAsia" w:ascii="宋体" w:hAnsi="宋体" w:eastAsia="宋体" w:cs="宋体"/>
                <w:color w:val="auto"/>
                <w:kern w:val="0"/>
                <w:sz w:val="28"/>
                <w:szCs w:val="28"/>
                <w:lang w:val="en-US" w:eastAsia="zh-CN" w:bidi="ar"/>
              </w:rPr>
              <w:t>。</w:t>
            </w:r>
            <w:r>
              <w:rPr>
                <w:rFonts w:hint="eastAsia" w:ascii="宋体" w:hAnsi="宋体" w:cs="宋体"/>
                <w:color w:val="auto"/>
                <w:kern w:val="0"/>
                <w:sz w:val="24"/>
                <w:lang w:val="en-US" w:eastAsia="zh-CN" w:bidi="ar"/>
              </w:rPr>
              <w:t>根据</w:t>
            </w:r>
            <w:r>
              <w:rPr>
                <w:rFonts w:hint="default" w:ascii="Times New Roman" w:hAnsi="Times New Roman" w:cs="Times New Roman"/>
                <w:color w:val="auto"/>
                <w:kern w:val="0"/>
                <w:sz w:val="24"/>
                <w:szCs w:val="24"/>
                <w:lang w:val="en-US" w:eastAsia="zh-CN" w:bidi="ar"/>
              </w:rPr>
              <w:t>调查</w:t>
            </w:r>
            <w:r>
              <w:rPr>
                <w:rFonts w:hint="default" w:ascii="Times New Roman" w:hAnsi="Times New Roman" w:cs="Times New Roman"/>
                <w:color w:val="auto"/>
                <w:kern w:val="0"/>
                <w:sz w:val="24"/>
                <w:szCs w:val="24"/>
                <w:lang w:bidi="ar"/>
              </w:rPr>
              <w:t>项目周边</w:t>
            </w:r>
            <w:r>
              <w:rPr>
                <w:rFonts w:hint="default" w:ascii="Times New Roman" w:hAnsi="Times New Roman" w:cs="Times New Roman"/>
                <w:color w:val="auto"/>
                <w:kern w:val="0"/>
                <w:sz w:val="24"/>
                <w:szCs w:val="24"/>
                <w:lang w:val="en-US" w:eastAsia="zh-CN" w:bidi="ar"/>
              </w:rPr>
              <w:t>200</w:t>
            </w:r>
            <w:r>
              <w:rPr>
                <w:rFonts w:hint="default" w:ascii="Times New Roman" w:hAnsi="Times New Roman" w:cs="Times New Roman"/>
                <w:color w:val="auto"/>
                <w:kern w:val="0"/>
                <w:sz w:val="24"/>
                <w:szCs w:val="24"/>
                <w:lang w:bidi="ar"/>
              </w:rPr>
              <w:t>m范围内无关心点分布，经距离衰</w:t>
            </w:r>
            <w:r>
              <w:rPr>
                <w:rFonts w:hint="eastAsia" w:ascii="宋体" w:hAnsi="宋体" w:cs="宋体"/>
                <w:color w:val="auto"/>
                <w:kern w:val="0"/>
                <w:sz w:val="24"/>
                <w:lang w:bidi="ar"/>
              </w:rPr>
              <w:t>减后噪声值能达到标准要求，</w:t>
            </w:r>
            <w:r>
              <w:rPr>
                <w:rFonts w:hint="eastAsia" w:ascii="Times New Roman" w:hAnsi="Times New Roman" w:cs="Times New Roman"/>
                <w:color w:val="auto"/>
                <w:sz w:val="24"/>
                <w:szCs w:val="24"/>
              </w:rPr>
              <w:t>因此，项目在勘探过程机械设备噪声对居民敏感点</w:t>
            </w:r>
            <w:r>
              <w:rPr>
                <w:rFonts w:hint="eastAsia" w:ascii="宋体" w:hAnsi="宋体" w:cs="宋体"/>
                <w:color w:val="auto"/>
                <w:kern w:val="0"/>
                <w:sz w:val="24"/>
                <w:lang w:bidi="ar"/>
              </w:rPr>
              <w:t>影响较小。但对工作人员有一定的损害，工作人员在工作中应佩戴耳罩，以降低噪声对人体的影响。</w:t>
            </w:r>
          </w:p>
          <w:p w14:paraId="290A69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eastAsia" w:ascii="Times New Roman" w:hAnsi="Times New Roman" w:cs="Times New Roman"/>
                <w:color w:val="auto"/>
                <w:sz w:val="24"/>
                <w:szCs w:val="24"/>
              </w:rPr>
            </w:pPr>
            <w:bookmarkStart w:id="42" w:name="_Toc495487241"/>
            <w:r>
              <w:rPr>
                <w:rFonts w:hint="eastAsia" w:ascii="Times New Roman" w:hAnsi="Times New Roman" w:cs="Times New Roman"/>
                <w:color w:val="auto"/>
                <w:sz w:val="24"/>
                <w:szCs w:val="24"/>
              </w:rPr>
              <w:t>项目所有物资及机械设备均使用运输车辆输送，运输时产生噪声对运输沿线环境敏感点有一定的影响，因此，为降低对运输沿线环境的影响，评价建议在运输时采取合理安排运输时间，避开午休及夜间运输，运输时实行限速，禁止鸣笛等措施后，不会对运输沿线的声环境造成不利影响。</w:t>
            </w:r>
            <w:bookmarkEnd w:id="42"/>
          </w:p>
          <w:p w14:paraId="2611FB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eastAsia" w:ascii="Times New Roman" w:hAnsi="Times New Roman" w:cs="Times New Roman"/>
                <w:color w:val="auto"/>
                <w:sz w:val="24"/>
                <w:szCs w:val="24"/>
              </w:rPr>
            </w:pPr>
            <w:bookmarkStart w:id="43" w:name="_Toc495487242"/>
            <w:r>
              <w:rPr>
                <w:rFonts w:hint="eastAsia" w:ascii="Times New Roman" w:hAnsi="Times New Roman" w:cs="Times New Roman"/>
                <w:color w:val="auto"/>
                <w:sz w:val="24"/>
                <w:szCs w:val="24"/>
              </w:rPr>
              <w:t>综上所述，项目</w:t>
            </w:r>
            <w:r>
              <w:rPr>
                <w:rFonts w:hint="eastAsia" w:ascii="Times New Roman" w:hAnsi="Times New Roman" w:cs="Times New Roman"/>
                <w:color w:val="auto"/>
                <w:sz w:val="24"/>
                <w:szCs w:val="24"/>
                <w:lang w:val="en-US" w:eastAsia="zh-CN"/>
              </w:rPr>
              <w:t>勘探期间</w:t>
            </w:r>
            <w:r>
              <w:rPr>
                <w:rFonts w:hint="eastAsia" w:ascii="Times New Roman" w:hAnsi="Times New Roman" w:cs="Times New Roman"/>
                <w:color w:val="auto"/>
                <w:sz w:val="24"/>
                <w:szCs w:val="24"/>
              </w:rPr>
              <w:t>产生的噪声对</w:t>
            </w:r>
            <w:r>
              <w:rPr>
                <w:rFonts w:hint="eastAsia" w:ascii="Times New Roman" w:hAnsi="Times New Roman" w:cs="Times New Roman"/>
                <w:color w:val="auto"/>
                <w:sz w:val="24"/>
                <w:szCs w:val="24"/>
                <w:lang w:val="en-US" w:eastAsia="zh-CN"/>
              </w:rPr>
              <w:t>周围</w:t>
            </w:r>
            <w:r>
              <w:rPr>
                <w:rFonts w:hint="eastAsia" w:ascii="Times New Roman" w:hAnsi="Times New Roman" w:cs="Times New Roman"/>
                <w:color w:val="auto"/>
                <w:sz w:val="24"/>
                <w:szCs w:val="24"/>
              </w:rPr>
              <w:t>环境的影响较小。</w:t>
            </w:r>
            <w:bookmarkEnd w:id="43"/>
          </w:p>
          <w:p w14:paraId="0BC913E2">
            <w:pPr>
              <w:pStyle w:val="2"/>
              <w:keepNext w:val="0"/>
              <w:keepLines w:val="0"/>
              <w:suppressLineNumbers w:val="0"/>
              <w:autoSpaceDE w:val="0"/>
              <w:spacing w:before="0" w:beforeAutospacing="0" w:after="0" w:afterAutospacing="0" w:line="360" w:lineRule="auto"/>
              <w:ind w:left="0" w:right="0"/>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2.4固体废物</w:t>
            </w:r>
            <w:r>
              <w:rPr>
                <w:rFonts w:hint="default" w:ascii="Times New Roman" w:hAnsi="Times New Roman" w:eastAsia="宋体" w:cs="Times New Roman"/>
                <w:b/>
                <w:bCs/>
                <w:color w:val="auto"/>
                <w:kern w:val="2"/>
                <w:sz w:val="24"/>
                <w:szCs w:val="24"/>
                <w:highlight w:val="none"/>
                <w:lang w:val="en-US" w:eastAsia="zh-CN" w:bidi="ar-SA"/>
              </w:rPr>
              <w:t>环境影响</w:t>
            </w:r>
            <w:r>
              <w:rPr>
                <w:rFonts w:hint="eastAsia" w:ascii="Times New Roman" w:hAnsi="Times New Roman" w:eastAsia="宋体" w:cs="Times New Roman"/>
                <w:b/>
                <w:bCs/>
                <w:color w:val="auto"/>
                <w:kern w:val="2"/>
                <w:sz w:val="24"/>
                <w:szCs w:val="24"/>
                <w:highlight w:val="none"/>
                <w:lang w:val="en-US" w:eastAsia="zh-CN" w:bidi="ar-SA"/>
              </w:rPr>
              <w:t>分析</w:t>
            </w:r>
          </w:p>
          <w:p w14:paraId="191AF557">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1）项目固体废物产生及处置情况</w:t>
            </w:r>
          </w:p>
          <w:p w14:paraId="35194F44">
            <w:pPr>
              <w:pStyle w:val="2"/>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2"/>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本项目运</w:t>
            </w:r>
            <w:r>
              <w:rPr>
                <w:rFonts w:hint="eastAsia" w:ascii="Times New Roman" w:hAnsi="Times New Roman" w:eastAsia="宋体" w:cs="Times New Roman"/>
                <w:color w:val="auto"/>
                <w:sz w:val="24"/>
                <w:szCs w:val="24"/>
                <w:highlight w:val="none"/>
                <w:lang w:val="en-US" w:eastAsia="zh-CN"/>
              </w:rPr>
              <w:t>行</w:t>
            </w:r>
            <w:r>
              <w:rPr>
                <w:rFonts w:hint="eastAsia" w:ascii="Times New Roman" w:hAnsi="Times New Roman" w:eastAsia="宋体" w:cs="Times New Roman"/>
                <w:color w:val="auto"/>
                <w:sz w:val="24"/>
                <w:szCs w:val="24"/>
                <w:highlight w:val="none"/>
              </w:rPr>
              <w:t>期固体废物主要为</w:t>
            </w:r>
            <w:r>
              <w:rPr>
                <w:rFonts w:hint="eastAsia" w:ascii="Times New Roman" w:hAnsi="Times New Roman" w:eastAsia="宋体" w:cs="Times New Roman"/>
                <w:color w:val="auto"/>
                <w:sz w:val="24"/>
                <w:szCs w:val="24"/>
                <w:highlight w:val="none"/>
                <w:lang w:val="en-US" w:eastAsia="zh-CN"/>
              </w:rPr>
              <w:t>废土石方</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沉淀底泥、</w:t>
            </w:r>
            <w:r>
              <w:rPr>
                <w:rFonts w:hint="eastAsia" w:ascii="Times New Roman" w:hAnsi="Times New Roman" w:eastAsia="宋体" w:cs="Times New Roman"/>
                <w:color w:val="auto"/>
                <w:sz w:val="24"/>
                <w:szCs w:val="24"/>
                <w:highlight w:val="none"/>
              </w:rPr>
              <w:t>废包装</w:t>
            </w:r>
            <w:r>
              <w:rPr>
                <w:rFonts w:hint="eastAsia" w:ascii="Times New Roman" w:hAnsi="Times New Roman" w:eastAsia="宋体" w:cs="Times New Roman"/>
                <w:color w:val="auto"/>
                <w:sz w:val="24"/>
                <w:szCs w:val="24"/>
                <w:highlight w:val="none"/>
                <w:lang w:val="en-US" w:eastAsia="zh-CN"/>
              </w:rPr>
              <w:t>材料</w:t>
            </w:r>
            <w:r>
              <w:rPr>
                <w:rFonts w:hint="eastAsia" w:ascii="Times New Roman" w:hAnsi="Times New Roman" w:eastAsia="宋体" w:cs="Times New Roman"/>
                <w:color w:val="auto"/>
                <w:sz w:val="24"/>
                <w:szCs w:val="24"/>
                <w:highlight w:val="none"/>
              </w:rPr>
              <w:t>、生活垃圾</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废机油及废油桶等</w:t>
            </w:r>
            <w:r>
              <w:rPr>
                <w:rFonts w:hint="eastAsia" w:ascii="Times New Roman" w:hAnsi="Times New Roman" w:eastAsia="宋体" w:cs="Times New Roman"/>
                <w:color w:val="auto"/>
                <w:sz w:val="24"/>
                <w:szCs w:val="24"/>
                <w:highlight w:val="none"/>
              </w:rPr>
              <w:t>。</w:t>
            </w:r>
          </w:p>
          <w:p w14:paraId="0419B654">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项目固体废物产生和排放情况见</w:t>
            </w: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w:t>
            </w:r>
          </w:p>
          <w:p w14:paraId="3DF21843">
            <w:pPr>
              <w:pStyle w:val="108"/>
              <w:keepNext w:val="0"/>
              <w:keepLines w:val="0"/>
              <w:suppressLineNumbers w:val="0"/>
              <w:spacing w:before="0" w:beforeLines="0" w:beforeAutospacing="0" w:after="0" w:afterAutospacing="0" w:line="240" w:lineRule="auto"/>
              <w:ind w:left="0" w:right="0"/>
              <w:rPr>
                <w:rFonts w:hint="default" w:ascii="Times New Roman" w:hAnsi="Times New Roman" w:eastAsia="宋体" w:cs="Times New Roman"/>
                <w:color w:val="auto"/>
                <w:kern w:val="2"/>
                <w:sz w:val="24"/>
                <w:szCs w:val="24"/>
                <w:lang w:val="en-GB"/>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rPr>
              <w:t>-</w:t>
            </w:r>
            <w:r>
              <w:rPr>
                <w:rFonts w:hint="eastAsia" w:ascii="Times New Roman" w:hAnsi="Times New Roman" w:eastAsia="宋体" w:cs="Times New Roman"/>
                <w:color w:val="auto"/>
                <w:sz w:val="24"/>
                <w:szCs w:val="24"/>
                <w:lang w:val="en-US" w:eastAsia="zh-CN"/>
              </w:rPr>
              <w:t xml:space="preserve">5 </w:t>
            </w:r>
            <w:r>
              <w:rPr>
                <w:rFonts w:hint="default" w:ascii="Times New Roman" w:hAnsi="Times New Roman" w:eastAsia="宋体" w:cs="Times New Roman"/>
                <w:color w:val="auto"/>
                <w:sz w:val="24"/>
                <w:szCs w:val="24"/>
              </w:rPr>
              <w:t>项目固体废物产生和排放</w:t>
            </w:r>
            <w:r>
              <w:rPr>
                <w:rFonts w:hint="default" w:ascii="Times New Roman" w:hAnsi="Times New Roman" w:eastAsia="宋体" w:cs="Times New Roman"/>
                <w:color w:val="auto"/>
                <w:kern w:val="2"/>
                <w:sz w:val="24"/>
                <w:szCs w:val="24"/>
                <w:lang w:val="en-GB"/>
              </w:rPr>
              <w:t>情况表</w:t>
            </w:r>
          </w:p>
          <w:tbl>
            <w:tblPr>
              <w:tblStyle w:val="3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1094"/>
              <w:gridCol w:w="942"/>
              <w:gridCol w:w="1062"/>
              <w:gridCol w:w="803"/>
              <w:gridCol w:w="1926"/>
              <w:gridCol w:w="1723"/>
            </w:tblGrid>
            <w:tr w14:paraId="765A6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270" w:type="pct"/>
                  <w:noWrap w:val="0"/>
                  <w:tcMar>
                    <w:left w:w="28" w:type="dxa"/>
                    <w:right w:w="28" w:type="dxa"/>
                  </w:tcMar>
                  <w:vAlign w:val="center"/>
                </w:tcPr>
                <w:p w14:paraId="0763B210">
                  <w:pPr>
                    <w:pStyle w:val="109"/>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val="en-US" w:eastAsia="zh-CN"/>
                    </w:rPr>
                    <w:t>属性</w:t>
                  </w:r>
                </w:p>
              </w:tc>
              <w:tc>
                <w:tcPr>
                  <w:tcW w:w="685" w:type="pct"/>
                  <w:noWrap w:val="0"/>
                  <w:tcMar>
                    <w:left w:w="28" w:type="dxa"/>
                    <w:right w:w="28" w:type="dxa"/>
                  </w:tcMar>
                  <w:vAlign w:val="center"/>
                </w:tcPr>
                <w:p w14:paraId="08D134E8">
                  <w:pPr>
                    <w:pStyle w:val="109"/>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产生环节</w:t>
                  </w:r>
                </w:p>
              </w:tc>
              <w:tc>
                <w:tcPr>
                  <w:tcW w:w="590" w:type="pct"/>
                  <w:noWrap w:val="0"/>
                  <w:tcMar>
                    <w:left w:w="28" w:type="dxa"/>
                    <w:right w:w="28" w:type="dxa"/>
                  </w:tcMar>
                  <w:vAlign w:val="center"/>
                </w:tcPr>
                <w:p w14:paraId="214D576E">
                  <w:pPr>
                    <w:pStyle w:val="109"/>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名称</w:t>
                  </w:r>
                </w:p>
              </w:tc>
              <w:tc>
                <w:tcPr>
                  <w:tcW w:w="665" w:type="pct"/>
                  <w:noWrap w:val="0"/>
                  <w:tcMar>
                    <w:left w:w="28" w:type="dxa"/>
                    <w:right w:w="28" w:type="dxa"/>
                  </w:tcMar>
                  <w:vAlign w:val="center"/>
                </w:tcPr>
                <w:p w14:paraId="22B0687D">
                  <w:pPr>
                    <w:pStyle w:val="109"/>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物理性状</w:t>
                  </w:r>
                </w:p>
              </w:tc>
              <w:tc>
                <w:tcPr>
                  <w:tcW w:w="503" w:type="pct"/>
                  <w:noWrap w:val="0"/>
                  <w:tcMar>
                    <w:left w:w="28" w:type="dxa"/>
                    <w:right w:w="28" w:type="dxa"/>
                  </w:tcMar>
                  <w:vAlign w:val="center"/>
                </w:tcPr>
                <w:p w14:paraId="75B04D28">
                  <w:pPr>
                    <w:pStyle w:val="109"/>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年</w:t>
                  </w:r>
                  <w:r>
                    <w:rPr>
                      <w:rFonts w:hint="default" w:ascii="Times New Roman" w:hAnsi="Times New Roman" w:eastAsia="宋体" w:cs="Times New Roman"/>
                      <w:b/>
                      <w:bCs/>
                      <w:color w:val="auto"/>
                      <w:sz w:val="21"/>
                      <w:szCs w:val="21"/>
                      <w:lang w:eastAsia="zh-CN"/>
                    </w:rPr>
                    <w:t>产生量（</w:t>
                  </w:r>
                  <w:r>
                    <w:rPr>
                      <w:rFonts w:hint="default" w:ascii="Times New Roman" w:hAnsi="Times New Roman" w:eastAsia="宋体" w:cs="Times New Roman"/>
                      <w:b/>
                      <w:bCs/>
                      <w:color w:val="auto"/>
                      <w:sz w:val="21"/>
                      <w:szCs w:val="21"/>
                      <w:lang w:val="en-US" w:eastAsia="zh-CN"/>
                    </w:rPr>
                    <w:t>t/a）</w:t>
                  </w:r>
                </w:p>
              </w:tc>
              <w:tc>
                <w:tcPr>
                  <w:tcW w:w="1206" w:type="pct"/>
                  <w:noWrap w:val="0"/>
                  <w:tcMar>
                    <w:left w:w="28" w:type="dxa"/>
                    <w:right w:w="28" w:type="dxa"/>
                  </w:tcMar>
                  <w:vAlign w:val="center"/>
                </w:tcPr>
                <w:p w14:paraId="20180CD8">
                  <w:pPr>
                    <w:pStyle w:val="109"/>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处置利用、管理情况</w:t>
                  </w:r>
                </w:p>
              </w:tc>
              <w:tc>
                <w:tcPr>
                  <w:tcW w:w="1079" w:type="pct"/>
                  <w:noWrap w:val="0"/>
                  <w:tcMar>
                    <w:left w:w="28" w:type="dxa"/>
                    <w:right w:w="28" w:type="dxa"/>
                  </w:tcMar>
                  <w:vAlign w:val="center"/>
                </w:tcPr>
                <w:p w14:paraId="723C3526">
                  <w:pPr>
                    <w:pStyle w:val="109"/>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lang w:val="en-US" w:eastAsia="zh-CN"/>
                    </w:rPr>
                    <w:t xml:space="preserve">一般固体废物分类与代码 </w:t>
                  </w:r>
                  <w:r>
                    <w:rPr>
                      <w:rFonts w:hint="eastAsia" w:ascii="Times New Roman" w:hAnsi="Times New Roman" w:eastAsia="宋体" w:cs="Times New Roman"/>
                      <w:b/>
                      <w:bCs/>
                      <w:color w:val="auto"/>
                      <w:sz w:val="21"/>
                      <w:szCs w:val="21"/>
                      <w:lang w:val="en-US" w:eastAsia="zh-CN"/>
                    </w:rPr>
                    <w:t>GB_T 39198-2020</w:t>
                  </w:r>
                </w:p>
              </w:tc>
            </w:tr>
            <w:tr w14:paraId="34B2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270" w:type="pct"/>
                  <w:vMerge w:val="restart"/>
                  <w:noWrap w:val="0"/>
                  <w:tcMar>
                    <w:left w:w="28" w:type="dxa"/>
                    <w:right w:w="28" w:type="dxa"/>
                  </w:tcMar>
                  <w:vAlign w:val="center"/>
                </w:tcPr>
                <w:p w14:paraId="54C4FF67">
                  <w:pPr>
                    <w:pStyle w:val="10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一般固体废物</w:t>
                  </w:r>
                </w:p>
              </w:tc>
              <w:tc>
                <w:tcPr>
                  <w:tcW w:w="685" w:type="pct"/>
                  <w:vMerge w:val="restart"/>
                  <w:noWrap w:val="0"/>
                  <w:tcMar>
                    <w:left w:w="28" w:type="dxa"/>
                    <w:right w:w="28" w:type="dxa"/>
                  </w:tcMar>
                  <w:vAlign w:val="center"/>
                </w:tcPr>
                <w:p w14:paraId="4683CFC4">
                  <w:pPr>
                    <w:pStyle w:val="10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钻探过程</w:t>
                  </w:r>
                </w:p>
              </w:tc>
              <w:tc>
                <w:tcPr>
                  <w:tcW w:w="590" w:type="pct"/>
                  <w:noWrap w:val="0"/>
                  <w:tcMar>
                    <w:left w:w="28" w:type="dxa"/>
                    <w:right w:w="28" w:type="dxa"/>
                  </w:tcMar>
                  <w:vAlign w:val="center"/>
                </w:tcPr>
                <w:p w14:paraId="452C06FA">
                  <w:pPr>
                    <w:pStyle w:val="10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废土石方</w:t>
                  </w:r>
                </w:p>
              </w:tc>
              <w:tc>
                <w:tcPr>
                  <w:tcW w:w="665" w:type="pct"/>
                  <w:noWrap w:val="0"/>
                  <w:tcMar>
                    <w:left w:w="28" w:type="dxa"/>
                    <w:right w:w="28" w:type="dxa"/>
                  </w:tcMar>
                  <w:vAlign w:val="center"/>
                </w:tcPr>
                <w:p w14:paraId="3B42F658">
                  <w:pPr>
                    <w:pStyle w:val="10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固态</w:t>
                  </w:r>
                </w:p>
              </w:tc>
              <w:tc>
                <w:tcPr>
                  <w:tcW w:w="503" w:type="pct"/>
                  <w:noWrap w:val="0"/>
                  <w:tcMar>
                    <w:left w:w="28" w:type="dxa"/>
                    <w:right w:w="28" w:type="dxa"/>
                  </w:tcMar>
                  <w:vAlign w:val="center"/>
                </w:tcPr>
                <w:p w14:paraId="7830E443">
                  <w:pPr>
                    <w:pStyle w:val="10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少量</w:t>
                  </w:r>
                </w:p>
              </w:tc>
              <w:tc>
                <w:tcPr>
                  <w:tcW w:w="1206" w:type="pct"/>
                  <w:noWrap w:val="0"/>
                  <w:tcMar>
                    <w:left w:w="28" w:type="dxa"/>
                    <w:right w:w="28" w:type="dxa"/>
                  </w:tcMar>
                  <w:vAlign w:val="center"/>
                </w:tcPr>
                <w:p w14:paraId="7DA370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回填。</w:t>
                  </w:r>
                </w:p>
              </w:tc>
              <w:tc>
                <w:tcPr>
                  <w:tcW w:w="1079" w:type="pct"/>
                  <w:noWrap w:val="0"/>
                  <w:tcMar>
                    <w:left w:w="28" w:type="dxa"/>
                    <w:right w:w="28" w:type="dxa"/>
                  </w:tcMar>
                  <w:vAlign w:val="center"/>
                </w:tcPr>
                <w:p w14:paraId="2CCDACB4">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r w14:paraId="33D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70" w:type="pct"/>
                  <w:vMerge w:val="continue"/>
                  <w:noWrap w:val="0"/>
                  <w:tcMar>
                    <w:left w:w="28" w:type="dxa"/>
                    <w:right w:w="28" w:type="dxa"/>
                  </w:tcMar>
                  <w:vAlign w:val="center"/>
                </w:tcPr>
                <w:p w14:paraId="17039619">
                  <w:pPr>
                    <w:pStyle w:val="109"/>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685" w:type="pct"/>
                  <w:vMerge w:val="continue"/>
                  <w:noWrap w:val="0"/>
                  <w:tcMar>
                    <w:left w:w="28" w:type="dxa"/>
                    <w:right w:w="28" w:type="dxa"/>
                  </w:tcMar>
                  <w:vAlign w:val="center"/>
                </w:tcPr>
                <w:p w14:paraId="795E037A">
                  <w:pPr>
                    <w:pStyle w:val="10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90" w:type="pct"/>
                  <w:noWrap w:val="0"/>
                  <w:tcMar>
                    <w:left w:w="28" w:type="dxa"/>
                    <w:right w:w="28" w:type="dxa"/>
                  </w:tcMar>
                  <w:vAlign w:val="center"/>
                </w:tcPr>
                <w:p w14:paraId="6A313D0A">
                  <w:pPr>
                    <w:pStyle w:val="109"/>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rPr>
                  </w:pPr>
                  <w:r>
                    <w:rPr>
                      <w:rFonts w:hint="eastAsia" w:ascii="Times New Roman" w:hAnsi="Times New Roman" w:eastAsia="宋体" w:cs="Times New Roman"/>
                      <w:color w:val="auto"/>
                      <w:sz w:val="21"/>
                      <w:szCs w:val="21"/>
                      <w:lang w:val="en-US" w:eastAsia="zh-CN"/>
                    </w:rPr>
                    <w:t>沉淀底泥</w:t>
                  </w:r>
                </w:p>
              </w:tc>
              <w:tc>
                <w:tcPr>
                  <w:tcW w:w="665" w:type="pct"/>
                  <w:noWrap w:val="0"/>
                  <w:tcMar>
                    <w:left w:w="28" w:type="dxa"/>
                    <w:right w:w="28" w:type="dxa"/>
                  </w:tcMar>
                  <w:vAlign w:val="center"/>
                </w:tcPr>
                <w:p w14:paraId="287A94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固态</w:t>
                  </w:r>
                </w:p>
              </w:tc>
              <w:tc>
                <w:tcPr>
                  <w:tcW w:w="503" w:type="pct"/>
                  <w:noWrap w:val="0"/>
                  <w:tcMar>
                    <w:left w:w="28" w:type="dxa"/>
                    <w:right w:w="28" w:type="dxa"/>
                  </w:tcMar>
                  <w:vAlign w:val="center"/>
                </w:tcPr>
                <w:p w14:paraId="7AA8AC52">
                  <w:pPr>
                    <w:keepNext w:val="0"/>
                    <w:keepLines w:val="0"/>
                    <w:suppressLineNumbers w:val="0"/>
                    <w:spacing w:before="0" w:beforeAutospacing="0" w:after="0" w:afterAutospacing="0"/>
                    <w:ind w:left="0" w:right="0" w:firstLine="210" w:firstLineChars="100"/>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1.025t</w:t>
                  </w:r>
                </w:p>
              </w:tc>
              <w:tc>
                <w:tcPr>
                  <w:tcW w:w="1206" w:type="pct"/>
                  <w:noWrap w:val="0"/>
                  <w:tcMar>
                    <w:left w:w="28" w:type="dxa"/>
                    <w:right w:w="28" w:type="dxa"/>
                  </w:tcMar>
                  <w:vAlign w:val="center"/>
                </w:tcPr>
                <w:p w14:paraId="0FBB5332">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完孔后用于平整迹地或回填</w:t>
                  </w:r>
                  <w:r>
                    <w:rPr>
                      <w:rFonts w:hint="eastAsia" w:ascii="Times New Roman" w:hAnsi="Times New Roman" w:eastAsia="宋体" w:cs="Times New Roman"/>
                      <w:color w:val="auto"/>
                      <w:kern w:val="2"/>
                      <w:sz w:val="21"/>
                      <w:szCs w:val="21"/>
                      <w:lang w:val="en-US" w:eastAsia="zh-CN" w:bidi="ar-SA"/>
                    </w:rPr>
                    <w:t>。</w:t>
                  </w:r>
                </w:p>
              </w:tc>
              <w:tc>
                <w:tcPr>
                  <w:tcW w:w="1079" w:type="pct"/>
                  <w:noWrap w:val="0"/>
                  <w:tcMar>
                    <w:left w:w="28" w:type="dxa"/>
                    <w:right w:w="28" w:type="dxa"/>
                  </w:tcMar>
                  <w:vAlign w:val="center"/>
                </w:tcPr>
                <w:p w14:paraId="45FD955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r w14:paraId="66ED8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70" w:type="pct"/>
                  <w:vMerge w:val="continue"/>
                  <w:noWrap w:val="0"/>
                  <w:tcMar>
                    <w:left w:w="28" w:type="dxa"/>
                    <w:right w:w="28" w:type="dxa"/>
                  </w:tcMar>
                  <w:vAlign w:val="center"/>
                </w:tcPr>
                <w:p w14:paraId="06AAA40F">
                  <w:pPr>
                    <w:pStyle w:val="109"/>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685" w:type="pct"/>
                  <w:vMerge w:val="continue"/>
                  <w:noWrap w:val="0"/>
                  <w:tcMar>
                    <w:left w:w="28" w:type="dxa"/>
                    <w:right w:w="28" w:type="dxa"/>
                  </w:tcMar>
                  <w:vAlign w:val="center"/>
                </w:tcPr>
                <w:p w14:paraId="6DE75B1A">
                  <w:pPr>
                    <w:pStyle w:val="10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90" w:type="pct"/>
                  <w:noWrap w:val="0"/>
                  <w:tcMar>
                    <w:left w:w="28" w:type="dxa"/>
                    <w:right w:w="28" w:type="dxa"/>
                  </w:tcMar>
                  <w:vAlign w:val="center"/>
                </w:tcPr>
                <w:p w14:paraId="7DF859E5">
                  <w:pPr>
                    <w:pStyle w:val="10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废包装材料</w:t>
                  </w:r>
                </w:p>
              </w:tc>
              <w:tc>
                <w:tcPr>
                  <w:tcW w:w="665" w:type="pct"/>
                  <w:noWrap w:val="0"/>
                  <w:tcMar>
                    <w:left w:w="28" w:type="dxa"/>
                    <w:right w:w="28" w:type="dxa"/>
                  </w:tcMar>
                  <w:vAlign w:val="center"/>
                </w:tcPr>
                <w:p w14:paraId="256CD7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固态</w:t>
                  </w:r>
                </w:p>
              </w:tc>
              <w:tc>
                <w:tcPr>
                  <w:tcW w:w="503" w:type="pct"/>
                  <w:noWrap w:val="0"/>
                  <w:tcMar>
                    <w:left w:w="28" w:type="dxa"/>
                    <w:right w:w="28" w:type="dxa"/>
                  </w:tcMar>
                  <w:vAlign w:val="center"/>
                </w:tcPr>
                <w:p w14:paraId="50FE25A8">
                  <w:pPr>
                    <w:keepNext w:val="0"/>
                    <w:keepLines w:val="0"/>
                    <w:suppressLineNumbers w:val="0"/>
                    <w:spacing w:before="0" w:beforeAutospacing="0" w:after="0" w:afterAutospacing="0"/>
                    <w:ind w:left="0" w:right="0" w:firstLine="210" w:firstLineChars="100"/>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少量</w:t>
                  </w:r>
                </w:p>
              </w:tc>
              <w:tc>
                <w:tcPr>
                  <w:tcW w:w="1206" w:type="pct"/>
                  <w:noWrap w:val="0"/>
                  <w:tcMar>
                    <w:left w:w="28" w:type="dxa"/>
                    <w:right w:w="28" w:type="dxa"/>
                  </w:tcMar>
                  <w:vAlign w:val="center"/>
                </w:tcPr>
                <w:p w14:paraId="21F3FB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集中收集后定期外卖废品回收站。</w:t>
                  </w:r>
                </w:p>
              </w:tc>
              <w:tc>
                <w:tcPr>
                  <w:tcW w:w="1079" w:type="pct"/>
                  <w:noWrap w:val="0"/>
                  <w:tcMar>
                    <w:left w:w="28" w:type="dxa"/>
                    <w:right w:w="28" w:type="dxa"/>
                  </w:tcMar>
                  <w:vAlign w:val="center"/>
                </w:tcPr>
                <w:p w14:paraId="18065756">
                  <w:pPr>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r w14:paraId="7CD3D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70" w:type="pct"/>
                  <w:vMerge w:val="continue"/>
                  <w:noWrap w:val="0"/>
                  <w:tcMar>
                    <w:left w:w="28" w:type="dxa"/>
                    <w:right w:w="28" w:type="dxa"/>
                  </w:tcMar>
                  <w:vAlign w:val="center"/>
                </w:tcPr>
                <w:p w14:paraId="0DF5F1C0">
                  <w:pPr>
                    <w:pStyle w:val="109"/>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685" w:type="pct"/>
                  <w:vMerge w:val="continue"/>
                  <w:noWrap w:val="0"/>
                  <w:tcMar>
                    <w:left w:w="28" w:type="dxa"/>
                    <w:right w:w="28" w:type="dxa"/>
                  </w:tcMar>
                  <w:vAlign w:val="center"/>
                </w:tcPr>
                <w:p w14:paraId="1216D72B">
                  <w:pPr>
                    <w:pStyle w:val="10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90" w:type="pct"/>
                  <w:noWrap w:val="0"/>
                  <w:tcMar>
                    <w:left w:w="28" w:type="dxa"/>
                    <w:right w:w="28" w:type="dxa"/>
                  </w:tcMar>
                  <w:vAlign w:val="center"/>
                </w:tcPr>
                <w:p w14:paraId="5518A2C0">
                  <w:pPr>
                    <w:pStyle w:val="10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废机油、废油桶</w:t>
                  </w:r>
                </w:p>
              </w:tc>
              <w:tc>
                <w:tcPr>
                  <w:tcW w:w="665" w:type="pct"/>
                  <w:noWrap w:val="0"/>
                  <w:tcMar>
                    <w:left w:w="28" w:type="dxa"/>
                    <w:right w:w="28" w:type="dxa"/>
                  </w:tcMar>
                  <w:vAlign w:val="center"/>
                </w:tcPr>
                <w:p w14:paraId="6406CA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液态</w:t>
                  </w:r>
                </w:p>
              </w:tc>
              <w:tc>
                <w:tcPr>
                  <w:tcW w:w="503" w:type="pct"/>
                  <w:noWrap w:val="0"/>
                  <w:tcMar>
                    <w:left w:w="28" w:type="dxa"/>
                    <w:right w:w="28" w:type="dxa"/>
                  </w:tcMar>
                  <w:vAlign w:val="center"/>
                </w:tcPr>
                <w:p w14:paraId="734DD485">
                  <w:pPr>
                    <w:keepNext w:val="0"/>
                    <w:keepLines w:val="0"/>
                    <w:suppressLineNumbers w:val="0"/>
                    <w:spacing w:before="0" w:beforeAutospacing="0" w:after="0" w:afterAutospacing="0"/>
                    <w:ind w:left="0" w:right="0" w:firstLine="210" w:firstLineChars="100"/>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0.005t</w:t>
                  </w:r>
                </w:p>
              </w:tc>
              <w:tc>
                <w:tcPr>
                  <w:tcW w:w="1206" w:type="pct"/>
                  <w:noWrap w:val="0"/>
                  <w:tcMar>
                    <w:left w:w="28" w:type="dxa"/>
                    <w:right w:w="28" w:type="dxa"/>
                  </w:tcMar>
                  <w:vAlign w:val="center"/>
                </w:tcPr>
                <w:p w14:paraId="1D9C60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在办公生活区机修车间旁设置危废暂存间，委托有资质的单位处置</w:t>
                  </w:r>
                </w:p>
              </w:tc>
              <w:tc>
                <w:tcPr>
                  <w:tcW w:w="1079" w:type="pct"/>
                  <w:noWrap w:val="0"/>
                  <w:tcMar>
                    <w:left w:w="28" w:type="dxa"/>
                    <w:right w:w="28" w:type="dxa"/>
                  </w:tcMar>
                  <w:vAlign w:val="center"/>
                </w:tcPr>
                <w:p w14:paraId="4DEA6AF8">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color w:val="auto"/>
                      <w:sz w:val="21"/>
                      <w:szCs w:val="21"/>
                      <w:lang w:val="en-US" w:eastAsia="zh-CN"/>
                    </w:rPr>
                    <w:t>900-214-08</w:t>
                  </w:r>
                </w:p>
              </w:tc>
            </w:tr>
            <w:tr w14:paraId="27F1B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 w:type="pct"/>
                  <w:vMerge w:val="continue"/>
                  <w:noWrap w:val="0"/>
                  <w:tcMar>
                    <w:left w:w="28" w:type="dxa"/>
                    <w:right w:w="28" w:type="dxa"/>
                  </w:tcMar>
                  <w:vAlign w:val="center"/>
                </w:tcPr>
                <w:p w14:paraId="2543588A">
                  <w:pPr>
                    <w:pStyle w:val="109"/>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p>
              </w:tc>
              <w:tc>
                <w:tcPr>
                  <w:tcW w:w="685" w:type="pct"/>
                  <w:noWrap w:val="0"/>
                  <w:tcMar>
                    <w:left w:w="28" w:type="dxa"/>
                    <w:right w:w="28" w:type="dxa"/>
                  </w:tcMar>
                  <w:vAlign w:val="center"/>
                </w:tcPr>
                <w:p w14:paraId="0FF4AFCE">
                  <w:pPr>
                    <w:pStyle w:val="10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办公生活</w:t>
                  </w:r>
                </w:p>
              </w:tc>
              <w:tc>
                <w:tcPr>
                  <w:tcW w:w="590" w:type="pct"/>
                  <w:noWrap w:val="0"/>
                  <w:tcMar>
                    <w:left w:w="28" w:type="dxa"/>
                    <w:right w:w="28" w:type="dxa"/>
                  </w:tcMar>
                  <w:vAlign w:val="center"/>
                </w:tcPr>
                <w:p w14:paraId="5AC015AE">
                  <w:pPr>
                    <w:pStyle w:val="10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生活垃圾</w:t>
                  </w:r>
                </w:p>
              </w:tc>
              <w:tc>
                <w:tcPr>
                  <w:tcW w:w="665" w:type="pct"/>
                  <w:noWrap w:val="0"/>
                  <w:tcMar>
                    <w:left w:w="28" w:type="dxa"/>
                    <w:right w:w="28" w:type="dxa"/>
                  </w:tcMar>
                  <w:vAlign w:val="center"/>
                </w:tcPr>
                <w:p w14:paraId="586270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固态</w:t>
                  </w:r>
                </w:p>
              </w:tc>
              <w:tc>
                <w:tcPr>
                  <w:tcW w:w="503" w:type="pct"/>
                  <w:noWrap w:val="0"/>
                  <w:tcMar>
                    <w:left w:w="28" w:type="dxa"/>
                    <w:right w:w="28" w:type="dxa"/>
                  </w:tcMar>
                  <w:vAlign w:val="center"/>
                </w:tcPr>
                <w:p w14:paraId="417DF304">
                  <w:pPr>
                    <w:pStyle w:val="10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1.617</w:t>
                  </w:r>
                </w:p>
              </w:tc>
              <w:tc>
                <w:tcPr>
                  <w:tcW w:w="1206" w:type="pct"/>
                  <w:noWrap w:val="0"/>
                  <w:tcMar>
                    <w:left w:w="28" w:type="dxa"/>
                    <w:right w:w="28" w:type="dxa"/>
                  </w:tcMar>
                  <w:vAlign w:val="center"/>
                </w:tcPr>
                <w:p w14:paraId="21D77E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52"/>
                      <w:position w:val="-2"/>
                      <w:sz w:val="21"/>
                      <w:szCs w:val="21"/>
                      <w:lang w:val="en-US"/>
                    </w:rPr>
                  </w:pPr>
                  <w:r>
                    <w:rPr>
                      <w:rFonts w:hint="eastAsia" w:ascii="Times New Roman" w:hAnsi="Times New Roman" w:cs="Times New Roman"/>
                      <w:color w:val="auto"/>
                      <w:sz w:val="21"/>
                      <w:szCs w:val="21"/>
                      <w:lang w:val="en-US" w:eastAsia="zh-CN"/>
                    </w:rPr>
                    <w:t>设置环保型垃圾收集桶收集，</w:t>
                  </w:r>
                  <w:r>
                    <w:rPr>
                      <w:rFonts w:hint="eastAsia" w:ascii="Times New Roman" w:hAnsi="Times New Roman" w:cs="Times New Roman"/>
                      <w:color w:val="auto"/>
                      <w:sz w:val="21"/>
                      <w:szCs w:val="21"/>
                    </w:rPr>
                    <w:t>清运至</w:t>
                  </w:r>
                  <w:r>
                    <w:rPr>
                      <w:rFonts w:hint="eastAsia" w:ascii="Times New Roman" w:hAnsi="Times New Roman" w:cs="Times New Roman"/>
                      <w:color w:val="auto"/>
                      <w:sz w:val="21"/>
                      <w:szCs w:val="21"/>
                      <w:lang w:val="en-US" w:eastAsia="zh-CN"/>
                    </w:rPr>
                    <w:t>当地乡镇</w:t>
                  </w:r>
                  <w:r>
                    <w:rPr>
                      <w:rFonts w:hint="eastAsia" w:ascii="Times New Roman" w:hAnsi="Times New Roman" w:cs="Times New Roman"/>
                      <w:color w:val="auto"/>
                      <w:sz w:val="21"/>
                      <w:szCs w:val="21"/>
                    </w:rPr>
                    <w:t>垃圾收集点随着村民生活垃圾一起集中处置</w:t>
                  </w:r>
                  <w:r>
                    <w:rPr>
                      <w:rFonts w:hint="eastAsia" w:ascii="Times New Roman" w:hAnsi="Times New Roman" w:eastAsia="宋体" w:cs="Times New Roman"/>
                      <w:color w:val="auto"/>
                      <w:sz w:val="21"/>
                      <w:szCs w:val="21"/>
                      <w:lang w:eastAsia="zh-CN"/>
                    </w:rPr>
                    <w:t>。</w:t>
                  </w:r>
                </w:p>
              </w:tc>
              <w:tc>
                <w:tcPr>
                  <w:tcW w:w="1079" w:type="pct"/>
                  <w:noWrap w:val="0"/>
                  <w:tcMar>
                    <w:left w:w="28" w:type="dxa"/>
                    <w:right w:w="28" w:type="dxa"/>
                  </w:tcMar>
                  <w:vAlign w:val="center"/>
                </w:tcPr>
                <w:p w14:paraId="7229D2D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bl>
          <w:p w14:paraId="566C2A0E">
            <w:pPr>
              <w:keepNext w:val="0"/>
              <w:keepLines w:val="0"/>
              <w:numPr>
                <w:ilvl w:val="0"/>
                <w:numId w:val="0"/>
              </w:numPr>
              <w:suppressLineNumbers w:val="0"/>
              <w:tabs>
                <w:tab w:val="left" w:pos="845"/>
                <w:tab w:val="left" w:pos="1020"/>
              </w:tabs>
              <w:adjustRightInd w:val="0"/>
              <w:snapToGrid w:val="0"/>
              <w:spacing w:before="0" w:beforeAutospacing="0" w:after="0" w:afterAutospacing="0" w:line="360" w:lineRule="auto"/>
              <w:ind w:left="0" w:right="0" w:firstLine="240" w:firstLineChars="1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固体废物</w:t>
            </w:r>
            <w:r>
              <w:rPr>
                <w:rFonts w:hint="eastAsia" w:ascii="Times New Roman" w:hAnsi="Times New Roman" w:eastAsia="宋体" w:cs="Times New Roman"/>
                <w:b w:val="0"/>
                <w:bCs w:val="0"/>
                <w:color w:val="auto"/>
                <w:sz w:val="24"/>
                <w:szCs w:val="24"/>
                <w:highlight w:val="none"/>
                <w:lang w:val="en-US" w:eastAsia="zh-CN"/>
              </w:rPr>
              <w:t>产生情况简述</w:t>
            </w:r>
          </w:p>
          <w:p w14:paraId="391F8629">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本项目固废</w:t>
            </w:r>
            <w:r>
              <w:rPr>
                <w:rFonts w:hint="eastAsia" w:ascii="Times New Roman" w:hAnsi="Times New Roman" w:eastAsia="宋体" w:cs="Times New Roman"/>
                <w:color w:val="auto"/>
                <w:sz w:val="24"/>
                <w:lang w:val="en-US" w:eastAsia="zh-CN"/>
              </w:rPr>
              <w:t>产生情况具体如下：</w:t>
            </w:r>
          </w:p>
          <w:p w14:paraId="57E5FAC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①钻探工程土石方</w:t>
            </w:r>
          </w:p>
          <w:p w14:paraId="353D1EEE">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钻探平台修建时产生的少量的土石方，分区</w:t>
            </w:r>
            <w:r>
              <w:rPr>
                <w:rFonts w:hint="default" w:ascii="Times New Roman" w:hAnsi="Times New Roman" w:eastAsia="宋体" w:cs="Times New Roman"/>
                <w:color w:val="auto"/>
                <w:sz w:val="24"/>
                <w:lang w:val="en-US" w:eastAsia="zh-CN"/>
              </w:rPr>
              <w:t>暂堆放于</w:t>
            </w:r>
            <w:r>
              <w:rPr>
                <w:rFonts w:hint="eastAsia" w:ascii="Times New Roman" w:hAnsi="Times New Roman" w:eastAsia="宋体" w:cs="Times New Roman"/>
                <w:color w:val="auto"/>
                <w:sz w:val="24"/>
                <w:lang w:val="en-US" w:eastAsia="zh-CN"/>
              </w:rPr>
              <w:t>每个平台的</w:t>
            </w:r>
            <w:r>
              <w:rPr>
                <w:rFonts w:hint="default" w:ascii="Times New Roman" w:hAnsi="Times New Roman" w:eastAsia="宋体" w:cs="Times New Roman"/>
                <w:color w:val="auto"/>
                <w:sz w:val="24"/>
                <w:lang w:val="en-US" w:eastAsia="zh-CN"/>
              </w:rPr>
              <w:t>机械周边，</w:t>
            </w:r>
            <w:r>
              <w:rPr>
                <w:rFonts w:hint="eastAsia" w:ascii="Times New Roman" w:hAnsi="Times New Roman" w:eastAsia="宋体" w:cs="Times New Roman"/>
                <w:color w:val="auto"/>
                <w:sz w:val="24"/>
                <w:lang w:val="en-US" w:eastAsia="zh-CN"/>
              </w:rPr>
              <w:t>采用防雨土工布遮盖，待钻探</w:t>
            </w:r>
            <w:r>
              <w:rPr>
                <w:rFonts w:hint="default" w:ascii="Times New Roman" w:hAnsi="Times New Roman" w:eastAsia="宋体" w:cs="Times New Roman"/>
                <w:color w:val="auto"/>
                <w:sz w:val="24"/>
                <w:lang w:val="en-US" w:eastAsia="zh-CN"/>
              </w:rPr>
              <w:t>工作完</w:t>
            </w:r>
            <w:r>
              <w:rPr>
                <w:rFonts w:hint="eastAsia" w:ascii="Times New Roman" w:hAnsi="Times New Roman" w:eastAsia="宋体" w:cs="Times New Roman"/>
                <w:color w:val="auto"/>
                <w:sz w:val="24"/>
                <w:lang w:val="en-US" w:eastAsia="zh-CN"/>
              </w:rPr>
              <w:t>结束后，</w:t>
            </w:r>
            <w:r>
              <w:rPr>
                <w:rFonts w:hint="default" w:ascii="Times New Roman" w:hAnsi="Times New Roman" w:eastAsia="宋体" w:cs="Times New Roman"/>
                <w:color w:val="auto"/>
                <w:sz w:val="24"/>
                <w:lang w:val="en-US" w:eastAsia="zh-CN"/>
              </w:rPr>
              <w:t xml:space="preserve">及时回填，无废土石方。钻探工程取出的岩芯经编录、取样后，岩矿芯均集中保管。 </w:t>
            </w:r>
          </w:p>
          <w:p w14:paraId="7BE96D5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eastAsia" w:ascii="微软雅黑" w:hAnsi="微软雅黑" w:eastAsia="微软雅黑" w:cs="微软雅黑"/>
                <w:color w:val="auto"/>
                <w:sz w:val="24"/>
                <w:lang w:val="en-US" w:eastAsia="zh-CN"/>
              </w:rPr>
              <w:t>②</w:t>
            </w:r>
            <w:r>
              <w:rPr>
                <w:rFonts w:hint="default" w:ascii="Times New Roman" w:hAnsi="Times New Roman" w:eastAsia="宋体" w:cs="Times New Roman"/>
                <w:color w:val="auto"/>
                <w:sz w:val="24"/>
                <w:lang w:val="en-US" w:eastAsia="zh-CN"/>
              </w:rPr>
              <w:t>沉淀底泥</w:t>
            </w:r>
          </w:p>
          <w:p w14:paraId="75AD35FE">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本项目钻探采用湿式作业法，废水设置</w:t>
            </w:r>
            <w:r>
              <w:rPr>
                <w:rFonts w:hint="eastAsia" w:ascii="Times New Roman" w:hAnsi="Times New Roman" w:eastAsia="宋体" w:cs="Times New Roman"/>
                <w:color w:val="auto"/>
                <w:sz w:val="24"/>
                <w:lang w:val="en-US" w:eastAsia="zh-CN"/>
              </w:rPr>
              <w:t>沉淀池</w:t>
            </w:r>
            <w:r>
              <w:rPr>
                <w:rFonts w:hint="default" w:ascii="Times New Roman" w:hAnsi="Times New Roman" w:eastAsia="宋体" w:cs="Times New Roman"/>
                <w:color w:val="auto"/>
                <w:sz w:val="24"/>
                <w:lang w:val="en-US" w:eastAsia="zh-CN"/>
              </w:rPr>
              <w:t>进行沉淀后循环使用。根据建设单位提供的数据，沉淀后底泥产生量约25kg/孔，</w:t>
            </w:r>
            <w:r>
              <w:rPr>
                <w:rFonts w:hint="eastAsia" w:ascii="Times New Roman" w:hAnsi="Times New Roman" w:eastAsia="宋体" w:cs="Times New Roman"/>
                <w:color w:val="auto"/>
                <w:sz w:val="24"/>
                <w:lang w:val="en-US" w:eastAsia="zh-CN"/>
              </w:rPr>
              <w:t>约1.025t，</w:t>
            </w:r>
            <w:r>
              <w:rPr>
                <w:rFonts w:hint="default" w:ascii="Times New Roman" w:hAnsi="Times New Roman" w:eastAsia="宋体" w:cs="Times New Roman"/>
                <w:color w:val="auto"/>
                <w:sz w:val="24"/>
                <w:lang w:val="en-US" w:eastAsia="zh-CN"/>
              </w:rPr>
              <w:t>泥浆</w:t>
            </w:r>
            <w:r>
              <w:rPr>
                <w:rFonts w:hint="eastAsia" w:ascii="Times New Roman" w:hAnsi="Times New Roman" w:eastAsia="宋体" w:cs="Times New Roman"/>
                <w:color w:val="auto"/>
                <w:sz w:val="24"/>
                <w:lang w:val="en-US" w:eastAsia="zh-CN"/>
              </w:rPr>
              <w:t>中会含有少量的钻孔专用材料，但是</w:t>
            </w:r>
            <w:r>
              <w:rPr>
                <w:rFonts w:hint="default" w:ascii="Times New Roman" w:hAnsi="Times New Roman" w:eastAsia="宋体" w:cs="Times New Roman"/>
                <w:color w:val="auto"/>
                <w:sz w:val="24"/>
                <w:lang w:val="en-US" w:eastAsia="zh-CN"/>
              </w:rPr>
              <w:t>不含任何化学添加剂</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无毒无公害，主要为岩石和泥土，沉淀底泥暂存于</w:t>
            </w:r>
            <w:r>
              <w:rPr>
                <w:rFonts w:hint="eastAsia" w:ascii="Times New Roman" w:hAnsi="Times New Roman" w:eastAsia="宋体" w:cs="Times New Roman"/>
                <w:color w:val="auto"/>
                <w:sz w:val="24"/>
                <w:lang w:val="en-US" w:eastAsia="zh-CN"/>
              </w:rPr>
              <w:t>沉淀池</w:t>
            </w:r>
            <w:r>
              <w:rPr>
                <w:rFonts w:hint="default" w:ascii="Times New Roman" w:hAnsi="Times New Roman" w:eastAsia="宋体" w:cs="Times New Roman"/>
                <w:color w:val="auto"/>
                <w:sz w:val="24"/>
                <w:lang w:val="en-US" w:eastAsia="zh-CN"/>
              </w:rPr>
              <w:t>内，完孔后用于平整迹地或回填</w:t>
            </w:r>
            <w:r>
              <w:rPr>
                <w:rFonts w:hint="eastAsia" w:ascii="Times New Roman" w:hAnsi="Times New Roman" w:eastAsia="宋体" w:cs="Times New Roman"/>
                <w:color w:val="auto"/>
                <w:sz w:val="24"/>
                <w:lang w:val="en-US" w:eastAsia="zh-CN"/>
              </w:rPr>
              <w:t>。</w:t>
            </w:r>
          </w:p>
          <w:p w14:paraId="5151034F">
            <w:pPr>
              <w:keepNext w:val="0"/>
              <w:keepLines w:val="0"/>
              <w:suppressLineNumbers w:val="0"/>
              <w:adjustRightInd w:val="0"/>
              <w:snapToGrid w:val="0"/>
              <w:spacing w:before="0" w:beforeAutospacing="0" w:after="0" w:afterAutospacing="0" w:line="360" w:lineRule="auto"/>
              <w:ind w:left="640" w:right="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③废包装材料</w:t>
            </w:r>
          </w:p>
          <w:p w14:paraId="4EB45A4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本次勘探使用专用的钻探材料，根据成分分析，不含有化学物质，因此废包装袋均属于一般固废，产生量不大，集中收集后，由废品回收商回收利用。</w:t>
            </w:r>
          </w:p>
          <w:p w14:paraId="44308CF6">
            <w:pPr>
              <w:keepNext w:val="0"/>
              <w:keepLines w:val="0"/>
              <w:suppressLineNumbers w:val="0"/>
              <w:adjustRightInd w:val="0"/>
              <w:snapToGrid w:val="0"/>
              <w:spacing w:before="0" w:beforeAutospacing="0" w:after="0" w:afterAutospacing="0" w:line="360" w:lineRule="auto"/>
              <w:ind w:left="640" w:right="0"/>
              <w:rPr>
                <w:rFonts w:hint="eastAsia" w:ascii="Times New Roman" w:hAnsi="Times New Roman" w:cs="Times New Roman"/>
                <w:color w:val="auto"/>
                <w:sz w:val="24"/>
              </w:rPr>
            </w:pPr>
            <w:r>
              <w:rPr>
                <w:rFonts w:hint="eastAsia" w:ascii="仿宋" w:hAnsi="仿宋" w:eastAsia="仿宋" w:cs="仿宋"/>
                <w:color w:val="auto"/>
                <w:sz w:val="24"/>
              </w:rPr>
              <w:t>④</w:t>
            </w:r>
            <w:r>
              <w:rPr>
                <w:rFonts w:hint="eastAsia" w:ascii="Times New Roman" w:hAnsi="Times New Roman" w:cs="Times New Roman"/>
                <w:color w:val="auto"/>
                <w:sz w:val="24"/>
              </w:rPr>
              <w:t>生活垃圾</w:t>
            </w:r>
          </w:p>
          <w:p w14:paraId="28E33E74">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本</w:t>
            </w:r>
            <w:r>
              <w:rPr>
                <w:rFonts w:hint="eastAsia" w:ascii="Times New Roman" w:hAnsi="Times New Roman" w:cs="Times New Roman"/>
                <w:color w:val="auto"/>
                <w:sz w:val="24"/>
                <w:lang w:val="en-US" w:eastAsia="zh-CN"/>
              </w:rPr>
              <w:t>次勘探</w:t>
            </w:r>
            <w:r>
              <w:rPr>
                <w:rFonts w:hint="eastAsia" w:ascii="Times New Roman" w:hAnsi="Times New Roman" w:cs="Times New Roman"/>
                <w:color w:val="auto"/>
                <w:sz w:val="24"/>
              </w:rPr>
              <w:t>劳动定员</w:t>
            </w:r>
            <w:r>
              <w:rPr>
                <w:rFonts w:hint="eastAsia" w:ascii="Times New Roman" w:hAnsi="Times New Roman" w:cs="Times New Roman"/>
                <w:color w:val="auto"/>
                <w:sz w:val="24"/>
                <w:lang w:val="en-US" w:eastAsia="zh-CN"/>
              </w:rPr>
              <w:t>77</w:t>
            </w:r>
            <w:r>
              <w:rPr>
                <w:rFonts w:hint="eastAsia" w:ascii="Times New Roman" w:hAnsi="Times New Roman" w:cs="Times New Roman"/>
                <w:color w:val="auto"/>
                <w:sz w:val="24"/>
              </w:rPr>
              <w:t>人，</w:t>
            </w: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第二次全国污染源普查产排污核算系数手册（试用版）</w:t>
            </w:r>
            <w:r>
              <w:rPr>
                <w:rFonts w:hint="eastAsia" w:ascii="Times New Roman" w:hAnsi="Times New Roman" w:eastAsia="宋体" w:cs="Times New Roman"/>
                <w:color w:val="auto"/>
                <w:sz w:val="24"/>
                <w:szCs w:val="24"/>
                <w:lang w:val="en-US" w:eastAsia="zh-CN"/>
              </w:rPr>
              <w:t>》，本次环评生活垃圾</w:t>
            </w:r>
            <w:r>
              <w:rPr>
                <w:rFonts w:hint="default" w:ascii="Times New Roman" w:hAnsi="Times New Roman" w:eastAsia="宋体" w:cs="Times New Roman"/>
                <w:color w:val="auto"/>
                <w:sz w:val="24"/>
                <w:szCs w:val="24"/>
              </w:rPr>
              <w:t>产生量按每人每天0.</w:t>
            </w:r>
            <w:r>
              <w:rPr>
                <w:rFonts w:hint="eastAsia" w:ascii="Times New Roman" w:hAnsi="Times New Roman" w:eastAsia="宋体" w:cs="Times New Roman"/>
                <w:color w:val="auto"/>
                <w:sz w:val="24"/>
                <w:szCs w:val="24"/>
                <w:lang w:val="en-US" w:eastAsia="zh-CN"/>
              </w:rPr>
              <w:t>35</w:t>
            </w:r>
            <w:r>
              <w:rPr>
                <w:rFonts w:hint="default" w:ascii="Times New Roman" w:hAnsi="Times New Roman" w:eastAsia="宋体" w:cs="Times New Roman"/>
                <w:color w:val="auto"/>
                <w:sz w:val="24"/>
                <w:szCs w:val="24"/>
              </w:rPr>
              <w:t>kg计，</w:t>
            </w:r>
            <w:r>
              <w:rPr>
                <w:rFonts w:hint="eastAsia" w:ascii="Times New Roman" w:hAnsi="Times New Roman" w:cs="Times New Roman"/>
                <w:color w:val="auto"/>
                <w:sz w:val="24"/>
              </w:rPr>
              <w:t>生活垃圾产生的垃圾量</w:t>
            </w:r>
            <w:r>
              <w:rPr>
                <w:rFonts w:hint="eastAsia" w:ascii="Times New Roman" w:hAnsi="Times New Roman" w:cs="Times New Roman"/>
                <w:color w:val="auto"/>
                <w:sz w:val="24"/>
                <w:lang w:val="en-US" w:eastAsia="zh-CN"/>
              </w:rPr>
              <w:t>为26.95</w:t>
            </w:r>
            <w:r>
              <w:rPr>
                <w:rFonts w:hint="eastAsia" w:ascii="Times New Roman" w:hAnsi="Times New Roman" w:cs="Times New Roman"/>
                <w:color w:val="auto"/>
                <w:sz w:val="24"/>
              </w:rPr>
              <w:t>kg/d，探矿期间生活垃圾共计</w:t>
            </w:r>
            <w:r>
              <w:rPr>
                <w:rFonts w:hint="eastAsia" w:ascii="Times New Roman" w:hAnsi="Times New Roman" w:cs="Times New Roman"/>
                <w:color w:val="auto"/>
                <w:sz w:val="24"/>
                <w:lang w:val="en-US" w:eastAsia="zh-CN"/>
              </w:rPr>
              <w:t>1.617</w:t>
            </w:r>
            <w:r>
              <w:rPr>
                <w:rFonts w:hint="eastAsia" w:ascii="Times New Roman" w:hAnsi="Times New Roman" w:cs="Times New Roman"/>
                <w:color w:val="auto"/>
                <w:sz w:val="24"/>
              </w:rPr>
              <w:t>t，由于矿区所在区域离城区较远，因此，项目产生的</w:t>
            </w:r>
            <w:r>
              <w:rPr>
                <w:rFonts w:hint="eastAsia" w:ascii="Times New Roman" w:hAnsi="Times New Roman" w:eastAsia="宋体" w:cs="Times New Roman"/>
                <w:color w:val="auto"/>
                <w:sz w:val="24"/>
                <w:lang w:val="en-US" w:eastAsia="zh-CN"/>
              </w:rPr>
              <w:t>生活垃圾采用环保型垃圾收集桶</w:t>
            </w:r>
            <w:r>
              <w:rPr>
                <w:rFonts w:hint="eastAsia" w:ascii="Times New Roman" w:hAnsi="Times New Roman" w:cs="Times New Roman"/>
                <w:color w:val="auto"/>
                <w:sz w:val="24"/>
              </w:rPr>
              <w:t>统一收集后清运至</w:t>
            </w:r>
            <w:r>
              <w:rPr>
                <w:rFonts w:hint="eastAsia" w:ascii="Times New Roman" w:hAnsi="Times New Roman" w:cs="Times New Roman"/>
                <w:color w:val="auto"/>
                <w:sz w:val="24"/>
                <w:lang w:val="en-US" w:eastAsia="zh-CN"/>
              </w:rPr>
              <w:t>当地乡镇</w:t>
            </w:r>
            <w:r>
              <w:rPr>
                <w:rFonts w:hint="eastAsia" w:ascii="Times New Roman" w:hAnsi="Times New Roman" w:cs="Times New Roman"/>
                <w:color w:val="auto"/>
                <w:sz w:val="24"/>
              </w:rPr>
              <w:t>垃圾收集点随着村民生活垃圾一起集中处置，不能乱堆乱放。</w:t>
            </w:r>
          </w:p>
          <w:p w14:paraId="6A5D6B5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eastAsia" w:ascii="仿宋" w:hAnsi="仿宋" w:eastAsia="仿宋" w:cs="仿宋"/>
                <w:color w:val="auto"/>
                <w:sz w:val="24"/>
                <w:lang w:val="en-US" w:eastAsia="zh-CN"/>
              </w:rPr>
              <w:t>⑤</w:t>
            </w:r>
            <w:r>
              <w:rPr>
                <w:rFonts w:hint="eastAsia" w:ascii="Times New Roman" w:hAnsi="Times New Roman" w:eastAsia="宋体" w:cs="Times New Roman"/>
                <w:color w:val="auto"/>
                <w:sz w:val="24"/>
                <w:lang w:val="en-US" w:eastAsia="zh-CN"/>
              </w:rPr>
              <w:t>废机油、废油桶</w:t>
            </w:r>
          </w:p>
          <w:p w14:paraId="3F8B0E97">
            <w:pPr>
              <w:keepNext w:val="0"/>
              <w:keepLines w:val="0"/>
              <w:suppressLineNumbers w:val="0"/>
              <w:spacing w:before="0" w:beforeAutospacing="0" w:after="0" w:afterAutospacing="0" w:line="360" w:lineRule="auto"/>
              <w:ind w:left="0" w:right="0" w:firstLine="480" w:firstLineChars="200"/>
              <w:rPr>
                <w:rFonts w:hint="default" w:ascii="Times New Roman" w:hAnsi="宋体"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项目探矿设备维护过程中会产生少量废机油，使用防卡剂（润滑油）产生的废油桶，产生量约0.005t/a，属于危废，废物代码900-249-08，按 GB18597-2001《危险废物贮存污染控制标准》要求采用专用收集桶收集暂存，拟在公生活区机修车间旁设置的1间5m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的危废暂存间，再委托有资质的单位处置。</w:t>
            </w:r>
            <w:r>
              <w:rPr>
                <w:rFonts w:hint="eastAsia" w:ascii="Times New Roman" w:hAnsi="宋体" w:cs="Times New Roman"/>
                <w:color w:val="auto"/>
                <w:sz w:val="24"/>
              </w:rPr>
              <w:t>现有办公生活</w:t>
            </w:r>
            <w:r>
              <w:rPr>
                <w:rFonts w:hint="default" w:ascii="Times New Roman" w:hAnsi="宋体" w:cs="Times New Roman"/>
                <w:color w:val="auto"/>
                <w:sz w:val="24"/>
              </w:rPr>
              <w:t>区</w:t>
            </w:r>
            <w:r>
              <w:rPr>
                <w:rFonts w:hint="default" w:ascii="Calibri" w:hAnsi="Calibri" w:eastAsia="Calibri" w:cs="Times New Roman"/>
                <w:color w:val="auto"/>
                <w:sz w:val="24"/>
              </w:rPr>
              <w:t>位于矿区</w:t>
            </w:r>
            <w:r>
              <w:rPr>
                <w:rFonts w:hint="eastAsia" w:ascii="Calibri" w:hAnsi="Calibri" w:eastAsia="Calibri" w:cs="Times New Roman"/>
                <w:color w:val="auto"/>
                <w:sz w:val="24"/>
              </w:rPr>
              <w:t>麦窝坝矿区</w:t>
            </w:r>
            <w:r>
              <w:rPr>
                <w:rFonts w:hint="default" w:ascii="Calibri" w:hAnsi="Calibri" w:eastAsia="Calibri" w:cs="Times New Roman"/>
                <w:color w:val="auto"/>
                <w:sz w:val="24"/>
              </w:rPr>
              <w:t>东北部</w:t>
            </w:r>
            <w:r>
              <w:rPr>
                <w:rFonts w:hint="eastAsia" w:ascii="Calibri" w:hAnsi="Calibri" w:eastAsia="宋体" w:cs="Times New Roman"/>
                <w:color w:val="auto"/>
                <w:sz w:val="24"/>
                <w:lang w:val="en-US" w:eastAsia="zh-CN"/>
              </w:rPr>
              <w:t>500m处</w:t>
            </w:r>
            <w:r>
              <w:rPr>
                <w:rFonts w:hint="eastAsia" w:ascii="Times New Roman" w:hAnsi="宋体" w:eastAsia="宋体" w:cs="Times New Roman"/>
                <w:color w:val="auto"/>
                <w:sz w:val="24"/>
                <w:lang w:eastAsia="zh-CN"/>
              </w:rPr>
              <w:t>，</w:t>
            </w:r>
            <w:r>
              <w:rPr>
                <w:rFonts w:hint="eastAsia" w:ascii="Times New Roman" w:hAnsi="宋体" w:eastAsia="宋体" w:cs="Times New Roman"/>
                <w:color w:val="auto"/>
                <w:sz w:val="24"/>
                <w:lang w:val="en-US" w:eastAsia="zh-CN"/>
              </w:rPr>
              <w:t>距离本项目探矿区域较近，同时由矿区道路相连接，交通方便，只要严格按照危废转运要求，避免遗撒，将危废暂存间设置在办公生活区可行。</w:t>
            </w:r>
          </w:p>
          <w:p w14:paraId="6DA9C641">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（3）环境管理要求</w:t>
            </w:r>
          </w:p>
          <w:p w14:paraId="1CB0E815">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w:t>
            </w:r>
            <w:r>
              <w:rPr>
                <w:rFonts w:hint="default" w:ascii="Times New Roman" w:hAnsi="Times New Roman" w:cs="Times New Roman"/>
                <w:color w:val="auto"/>
                <w:sz w:val="24"/>
                <w:szCs w:val="24"/>
                <w:lang w:val="en-US" w:eastAsia="zh-CN"/>
              </w:rPr>
              <w:t>固体废物贮存、处置场按《环境保护图形标志 固体废物贮存(处置)场(GB15562.2-1995)》设置图形标志。标识标志正确、清晰、完好。</w:t>
            </w:r>
          </w:p>
          <w:p w14:paraId="0E240F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color w:val="auto"/>
                <w:sz w:val="24"/>
                <w:szCs w:val="21"/>
                <w:lang w:val="en-US" w:eastAsia="zh-CN"/>
              </w:rPr>
            </w:pPr>
            <w:r>
              <w:rPr>
                <w:rFonts w:hint="default" w:ascii="Times New Roman" w:hAnsi="Times New Roman" w:eastAsia="宋体" w:cs="Times New Roman"/>
                <w:color w:val="auto"/>
                <w:sz w:val="24"/>
                <w:szCs w:val="24"/>
                <w:lang w:val="en-US" w:eastAsia="zh-CN"/>
              </w:rPr>
              <w:t>②</w:t>
            </w:r>
            <w:r>
              <w:rPr>
                <w:rFonts w:hint="default" w:ascii="Times New Roman" w:hAnsi="Times New Roman" w:cs="Times New Roman"/>
                <w:color w:val="auto"/>
                <w:sz w:val="24"/>
                <w:szCs w:val="21"/>
              </w:rPr>
              <w:t>本环评建议</w:t>
            </w:r>
            <w:r>
              <w:rPr>
                <w:rFonts w:hint="eastAsia" w:ascii="Times New Roman" w:hAnsi="Times New Roman" w:cs="Times New Roman"/>
                <w:color w:val="auto"/>
                <w:sz w:val="24"/>
                <w:szCs w:val="21"/>
                <w:lang w:val="en-US" w:eastAsia="zh-CN"/>
              </w:rPr>
              <w:t>废土石方不得露天存放，分区域堆放在每个探矿平台，采用防雨土工布遮盖，</w:t>
            </w:r>
            <w:r>
              <w:rPr>
                <w:rFonts w:hint="default" w:ascii="Times New Roman" w:hAnsi="Times New Roman" w:cs="Times New Roman"/>
                <w:color w:val="auto"/>
                <w:sz w:val="24"/>
                <w:szCs w:val="21"/>
                <w:lang w:val="en-US" w:eastAsia="zh-CN"/>
              </w:rPr>
              <w:t>减少存放时间，</w:t>
            </w:r>
            <w:r>
              <w:rPr>
                <w:rFonts w:hint="eastAsia" w:ascii="Times New Roman" w:hAnsi="Times New Roman" w:cs="Times New Roman"/>
                <w:color w:val="auto"/>
                <w:sz w:val="24"/>
                <w:szCs w:val="21"/>
                <w:lang w:val="en-US" w:eastAsia="zh-CN"/>
              </w:rPr>
              <w:t>及时回填，</w:t>
            </w:r>
            <w:r>
              <w:rPr>
                <w:rFonts w:hint="default" w:ascii="Times New Roman" w:hAnsi="Times New Roman" w:cs="Times New Roman"/>
                <w:color w:val="auto"/>
                <w:sz w:val="24"/>
                <w:szCs w:val="21"/>
                <w:lang w:val="en-US" w:eastAsia="zh-CN"/>
              </w:rPr>
              <w:t>可避免二次污染。</w:t>
            </w:r>
          </w:p>
          <w:p w14:paraId="23A9AC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③</w:t>
            </w:r>
            <w:r>
              <w:rPr>
                <w:rFonts w:hint="default" w:ascii="Times New Roman" w:hAnsi="Times New Roman" w:cs="Times New Roman"/>
                <w:color w:val="auto"/>
                <w:sz w:val="24"/>
                <w:szCs w:val="21"/>
              </w:rPr>
              <w:t>生活垃圾</w:t>
            </w:r>
            <w:r>
              <w:rPr>
                <w:rFonts w:hint="default" w:ascii="Times New Roman" w:hAnsi="Times New Roman" w:cs="Times New Roman"/>
                <w:color w:val="auto"/>
                <w:sz w:val="24"/>
                <w:szCs w:val="21"/>
                <w:lang w:val="en-US" w:eastAsia="zh-CN"/>
              </w:rPr>
              <w:t>设置</w:t>
            </w:r>
            <w:r>
              <w:rPr>
                <w:rFonts w:hint="eastAsia" w:ascii="Times New Roman" w:hAnsi="Times New Roman" w:cs="Times New Roman"/>
                <w:color w:val="auto"/>
                <w:sz w:val="24"/>
                <w:szCs w:val="21"/>
                <w:lang w:val="en-US" w:eastAsia="zh-CN"/>
              </w:rPr>
              <w:t>2</w:t>
            </w:r>
            <w:r>
              <w:rPr>
                <w:rFonts w:hint="default" w:ascii="Times New Roman" w:hAnsi="Times New Roman" w:cs="Times New Roman"/>
                <w:color w:val="auto"/>
                <w:sz w:val="24"/>
                <w:szCs w:val="21"/>
                <w:lang w:val="en-US" w:eastAsia="zh-CN"/>
              </w:rPr>
              <w:t>个环保型垃圾桶分类收集</w:t>
            </w:r>
            <w:r>
              <w:rPr>
                <w:rFonts w:hint="default" w:ascii="Times New Roman" w:hAnsi="Times New Roman" w:cs="Times New Roman"/>
                <w:color w:val="auto"/>
                <w:sz w:val="24"/>
                <w:szCs w:val="21"/>
              </w:rPr>
              <w:t>，能回收利用部分回收，其余</w:t>
            </w:r>
            <w:r>
              <w:rPr>
                <w:rFonts w:hint="default" w:ascii="Times New Roman" w:hAnsi="Times New Roman" w:eastAsia="宋体" w:cs="Times New Roman"/>
                <w:color w:val="auto"/>
                <w:sz w:val="24"/>
                <w:szCs w:val="21"/>
              </w:rPr>
              <w:t>无法回收部分生活垃圾，如包装废料、白色垃圾等，</w:t>
            </w:r>
            <w:r>
              <w:rPr>
                <w:rFonts w:hint="eastAsia" w:ascii="Times New Roman" w:hAnsi="Times New Roman" w:cs="Times New Roman"/>
                <w:color w:val="auto"/>
                <w:sz w:val="24"/>
              </w:rPr>
              <w:t>清运至</w:t>
            </w:r>
            <w:r>
              <w:rPr>
                <w:rFonts w:hint="eastAsia" w:ascii="Times New Roman" w:hAnsi="Times New Roman" w:cs="Times New Roman"/>
                <w:color w:val="auto"/>
                <w:sz w:val="24"/>
                <w:lang w:val="en-US" w:eastAsia="zh-CN"/>
              </w:rPr>
              <w:t>当地乡镇</w:t>
            </w:r>
            <w:r>
              <w:rPr>
                <w:rFonts w:hint="eastAsia" w:ascii="Times New Roman" w:hAnsi="Times New Roman" w:cs="Times New Roman"/>
                <w:color w:val="auto"/>
                <w:sz w:val="24"/>
              </w:rPr>
              <w:t>垃圾收集点随着村民生活垃圾一起集中处置</w:t>
            </w:r>
            <w:r>
              <w:rPr>
                <w:rFonts w:hint="default" w:ascii="Times New Roman" w:hAnsi="Times New Roman" w:eastAsia="宋体" w:cs="Times New Roman"/>
                <w:color w:val="auto"/>
                <w:sz w:val="24"/>
                <w:szCs w:val="24"/>
              </w:rPr>
              <w:t>。</w:t>
            </w:r>
          </w:p>
          <w:p w14:paraId="12C8D5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color w:val="auto"/>
                <w:sz w:val="24"/>
                <w:szCs w:val="24"/>
                <w:lang w:val="en-US" w:eastAsia="zh-CN"/>
              </w:rPr>
            </w:pPr>
            <w:r>
              <w:rPr>
                <w:rFonts w:hint="eastAsia" w:ascii="仿宋" w:hAnsi="仿宋" w:eastAsia="仿宋" w:cs="仿宋"/>
                <w:color w:val="auto"/>
                <w:sz w:val="24"/>
                <w:szCs w:val="24"/>
                <w:lang w:val="en-US" w:eastAsia="zh-CN"/>
              </w:rPr>
              <w:t>④</w:t>
            </w:r>
            <w:r>
              <w:rPr>
                <w:rFonts w:hint="default" w:ascii="Times New Roman" w:hAnsi="Times New Roman" w:eastAsia="宋体" w:cs="Times New Roman"/>
                <w:color w:val="auto"/>
                <w:sz w:val="24"/>
                <w:szCs w:val="24"/>
                <w:lang w:val="en-US" w:eastAsia="zh-CN"/>
              </w:rPr>
              <w:t>化粪池污泥定期</w:t>
            </w:r>
            <w:r>
              <w:rPr>
                <w:rFonts w:hint="eastAsia" w:ascii="Times New Roman" w:hAnsi="Times New Roman" w:eastAsia="宋体" w:cs="Times New Roman"/>
                <w:color w:val="auto"/>
                <w:sz w:val="24"/>
                <w:szCs w:val="24"/>
                <w:lang w:val="en-US" w:eastAsia="zh-CN"/>
              </w:rPr>
              <w:t>清掏用于周边山林施肥</w:t>
            </w:r>
            <w:r>
              <w:rPr>
                <w:rFonts w:hint="default" w:ascii="Times New Roman" w:hAnsi="Times New Roman" w:eastAsia="宋体" w:cs="Times New Roman"/>
                <w:color w:val="auto"/>
                <w:sz w:val="24"/>
                <w:szCs w:val="24"/>
                <w:lang w:val="en-US" w:eastAsia="zh-CN"/>
              </w:rPr>
              <w:t>，合理安排清掏周期。</w:t>
            </w:r>
          </w:p>
          <w:p w14:paraId="64BFFD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仿宋" w:hAnsi="仿宋" w:eastAsia="仿宋" w:cs="仿宋"/>
                <w:color w:val="auto"/>
                <w:sz w:val="24"/>
                <w:szCs w:val="24"/>
                <w:lang w:val="en-US" w:eastAsia="zh-CN"/>
              </w:rPr>
              <w:t>⑤</w:t>
            </w:r>
            <w:r>
              <w:rPr>
                <w:rFonts w:hint="eastAsia" w:ascii="Times New Roman" w:hAnsi="Times New Roman" w:eastAsia="宋体" w:cs="Times New Roman"/>
                <w:color w:val="auto"/>
                <w:sz w:val="24"/>
                <w:szCs w:val="24"/>
                <w:lang w:val="en-US" w:eastAsia="zh-CN"/>
              </w:rPr>
              <w:t>废包装材料集中收集后统一由废品回收商回收利用。</w:t>
            </w:r>
          </w:p>
          <w:p w14:paraId="277864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lang w:val="en-US" w:eastAsia="zh-CN"/>
              </w:rPr>
            </w:pPr>
            <w:r>
              <w:rPr>
                <w:rFonts w:hint="eastAsia" w:ascii="宋体" w:hAnsi="宋体" w:eastAsia="宋体" w:cs="宋体"/>
                <w:color w:val="auto"/>
                <w:sz w:val="24"/>
                <w:szCs w:val="24"/>
                <w:lang w:val="en-US" w:eastAsia="zh-CN"/>
              </w:rPr>
              <w:t>⑥</w:t>
            </w:r>
            <w:r>
              <w:rPr>
                <w:rFonts w:hint="default" w:ascii="Times New Roman" w:hAnsi="Times New Roman" w:eastAsia="宋体" w:cs="Times New Roman"/>
                <w:color w:val="auto"/>
                <w:sz w:val="24"/>
                <w:lang w:val="en-US" w:eastAsia="zh-CN"/>
              </w:rPr>
              <w:t>沉淀底泥暂存于</w:t>
            </w:r>
            <w:r>
              <w:rPr>
                <w:rFonts w:hint="eastAsia" w:ascii="Times New Roman" w:hAnsi="Times New Roman" w:eastAsia="宋体" w:cs="Times New Roman"/>
                <w:color w:val="auto"/>
                <w:sz w:val="24"/>
                <w:lang w:val="en-US" w:eastAsia="zh-CN"/>
              </w:rPr>
              <w:t>沉淀池</w:t>
            </w:r>
            <w:r>
              <w:rPr>
                <w:rFonts w:hint="default" w:ascii="Times New Roman" w:hAnsi="Times New Roman" w:eastAsia="宋体" w:cs="Times New Roman"/>
                <w:color w:val="auto"/>
                <w:sz w:val="24"/>
                <w:lang w:val="en-US" w:eastAsia="zh-CN"/>
              </w:rPr>
              <w:t>内，完孔后用于平整迹地或回填</w:t>
            </w:r>
            <w:r>
              <w:rPr>
                <w:rFonts w:hint="eastAsia" w:ascii="Times New Roman" w:hAnsi="Times New Roman" w:eastAsia="宋体" w:cs="Times New Roman"/>
                <w:color w:val="auto"/>
                <w:sz w:val="24"/>
                <w:lang w:val="en-US" w:eastAsia="zh-CN"/>
              </w:rPr>
              <w:t>。</w:t>
            </w:r>
          </w:p>
          <w:p w14:paraId="65E454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auto"/>
                <w:sz w:val="24"/>
                <w:szCs w:val="24"/>
                <w:lang w:val="en-US" w:eastAsia="zh-CN"/>
              </w:rPr>
            </w:pPr>
            <w:r>
              <w:rPr>
                <w:rFonts w:hint="eastAsia" w:ascii="宋体" w:hAnsi="宋体" w:eastAsia="宋体" w:cs="宋体"/>
                <w:bCs/>
                <w:color w:val="auto"/>
                <w:kern w:val="0"/>
                <w:sz w:val="24"/>
                <w:szCs w:val="24"/>
                <w:lang w:val="en-US" w:eastAsia="zh-CN"/>
              </w:rPr>
              <w:t>⑦</w:t>
            </w:r>
            <w:r>
              <w:rPr>
                <w:rFonts w:hint="eastAsia" w:ascii="Times New Roman" w:hAnsi="Times New Roman" w:eastAsia="宋体" w:cs="Times New Roman"/>
                <w:bCs/>
                <w:color w:val="auto"/>
                <w:kern w:val="0"/>
                <w:sz w:val="24"/>
                <w:szCs w:val="24"/>
                <w:lang w:val="en-US" w:eastAsia="zh-CN"/>
              </w:rPr>
              <w:t>废机油等危废的</w:t>
            </w:r>
            <w:r>
              <w:rPr>
                <w:rFonts w:hint="default" w:ascii="Times New Roman" w:hAnsi="Times New Roman" w:cs="Times New Roman"/>
                <w:color w:val="auto"/>
                <w:sz w:val="24"/>
                <w:szCs w:val="24"/>
                <w:lang w:val="en-US" w:eastAsia="zh-CN"/>
              </w:rPr>
              <w:t>储存</w:t>
            </w:r>
            <w:r>
              <w:rPr>
                <w:rFonts w:hint="eastAsia" w:ascii="Times New Roman" w:hAnsi="Times New Roman" w:cs="Times New Roman"/>
                <w:color w:val="auto"/>
                <w:sz w:val="24"/>
                <w:szCs w:val="24"/>
                <w:lang w:val="en-US" w:eastAsia="zh-CN"/>
              </w:rPr>
              <w:t>应设置专门危险废物暂存间，采用专用的容器进行储存，应</w:t>
            </w:r>
            <w:r>
              <w:rPr>
                <w:rFonts w:hint="default" w:ascii="Times New Roman" w:hAnsi="Times New Roman" w:cs="Times New Roman"/>
                <w:color w:val="auto"/>
                <w:sz w:val="24"/>
                <w:szCs w:val="24"/>
                <w:lang w:val="en-US" w:eastAsia="zh-CN"/>
              </w:rPr>
              <w:t>符合《危险废物贮存污染控制标准》（GB18597-2001</w:t>
            </w:r>
            <w:r>
              <w:rPr>
                <w:rFonts w:hint="eastAsia" w:ascii="Times New Roman" w:hAnsi="Times New Roman" w:cs="Times New Roman"/>
                <w:color w:val="auto"/>
                <w:sz w:val="24"/>
                <w:szCs w:val="24"/>
                <w:lang w:val="en-US" w:eastAsia="zh-CN"/>
              </w:rPr>
              <w:t>及2013修改清单</w:t>
            </w:r>
            <w:r>
              <w:rPr>
                <w:rFonts w:hint="default" w:ascii="Times New Roman" w:hAnsi="Times New Roman" w:cs="Times New Roman"/>
                <w:color w:val="auto"/>
                <w:sz w:val="24"/>
                <w:szCs w:val="24"/>
                <w:lang w:val="en-US" w:eastAsia="zh-CN"/>
              </w:rPr>
              <w:t>）及《危险废物转移联单管理办法》（国家环保总局令第5号）中的相关要求，</w:t>
            </w:r>
            <w:r>
              <w:rPr>
                <w:rFonts w:hint="eastAsia" w:ascii="Times New Roman" w:hAnsi="Times New Roman" w:cs="Times New Roman"/>
                <w:color w:val="auto"/>
                <w:sz w:val="24"/>
                <w:szCs w:val="24"/>
                <w:lang w:val="en-US" w:eastAsia="zh-CN"/>
              </w:rPr>
              <w:t>加强防渗</w:t>
            </w:r>
            <w:r>
              <w:rPr>
                <w:rFonts w:hint="default" w:ascii="Times New Roman" w:hAnsi="Times New Roman" w:cs="Times New Roman"/>
                <w:color w:val="auto"/>
                <w:sz w:val="24"/>
                <w:szCs w:val="24"/>
                <w:lang w:val="en-US" w:eastAsia="zh-CN"/>
              </w:rPr>
              <w:t>措施符合国家法律法规要求，建立相应台账，相关台账应保存3年以上，以备相关管理部门检查</w:t>
            </w:r>
            <w:r>
              <w:rPr>
                <w:rFonts w:hint="eastAsia" w:ascii="Times New Roman" w:hAnsi="Times New Roman" w:cs="Times New Roman"/>
                <w:color w:val="auto"/>
                <w:sz w:val="24"/>
                <w:szCs w:val="24"/>
                <w:lang w:val="en-US" w:eastAsia="zh-CN"/>
              </w:rPr>
              <w:t>，要尽快委托有资质单位清运处置。</w:t>
            </w:r>
          </w:p>
          <w:p w14:paraId="21ECF669">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4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pacing w:val="-10"/>
                <w:sz w:val="24"/>
                <w:szCs w:val="24"/>
                <w:lang w:val="en-US" w:eastAsia="zh-CN"/>
              </w:rPr>
              <w:t>（4）固体废物环境影响结论</w:t>
            </w:r>
          </w:p>
          <w:p w14:paraId="5B8A12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Cs/>
                <w:color w:val="auto"/>
                <w:sz w:val="24"/>
                <w:szCs w:val="24"/>
                <w:highlight w:val="none"/>
              </w:rPr>
            </w:pPr>
            <w:r>
              <w:rPr>
                <w:rFonts w:hint="eastAsia" w:ascii="宋体" w:hAnsi="宋体" w:eastAsia="宋体" w:cs="宋体"/>
                <w:color w:val="auto"/>
                <w:kern w:val="0"/>
                <w:sz w:val="24"/>
                <w:szCs w:val="24"/>
                <w:lang w:val="en-US" w:eastAsia="zh-CN" w:bidi="ar"/>
              </w:rPr>
              <w:t>综上所述，项目产生的固废能够做到处置率</w:t>
            </w:r>
            <w:r>
              <w:rPr>
                <w:rFonts w:hint="default" w:ascii="Times New Roman" w:hAnsi="Times New Roman" w:eastAsia="宋体" w:cs="Times New Roman"/>
                <w:color w:val="auto"/>
                <w:kern w:val="0"/>
                <w:sz w:val="24"/>
                <w:szCs w:val="24"/>
                <w:lang w:val="en-US" w:eastAsia="zh-CN" w:bidi="ar"/>
              </w:rPr>
              <w:t>100%</w:t>
            </w:r>
            <w:r>
              <w:rPr>
                <w:rFonts w:hint="eastAsia" w:ascii="宋体" w:hAnsi="宋体" w:eastAsia="宋体" w:cs="宋体"/>
                <w:color w:val="auto"/>
                <w:kern w:val="0"/>
                <w:sz w:val="24"/>
                <w:szCs w:val="24"/>
                <w:lang w:val="en-US" w:eastAsia="zh-CN" w:bidi="ar"/>
              </w:rPr>
              <w:t>，固体废弃物对环境影响较小。建设单位在勘探过程中应严格按照环境管理的要求执行，保证固体废物合理处置。</w:t>
            </w:r>
            <w:r>
              <w:rPr>
                <w:rFonts w:hint="default" w:ascii="Times New Roman" w:hAnsi="Times New Roman" w:eastAsia="宋体" w:cs="Times New Roman"/>
                <w:color w:val="auto"/>
                <w:sz w:val="24"/>
                <w:szCs w:val="24"/>
                <w:highlight w:val="none"/>
                <w:lang w:val="en-US" w:eastAsia="zh-CN"/>
              </w:rPr>
              <w:t>项目产生固废均得到</w:t>
            </w:r>
            <w:r>
              <w:rPr>
                <w:rFonts w:hint="default" w:ascii="Times New Roman" w:hAnsi="Times New Roman" w:eastAsia="宋体" w:cs="Times New Roman"/>
                <w:bCs/>
                <w:color w:val="auto"/>
                <w:sz w:val="24"/>
                <w:szCs w:val="24"/>
                <w:highlight w:val="none"/>
              </w:rPr>
              <w:t>妥善处置，</w:t>
            </w:r>
            <w:r>
              <w:rPr>
                <w:rFonts w:hint="default" w:ascii="Times New Roman" w:hAnsi="Times New Roman" w:eastAsia="宋体" w:cs="Times New Roman"/>
                <w:bCs/>
                <w:color w:val="auto"/>
                <w:sz w:val="24"/>
                <w:szCs w:val="24"/>
                <w:highlight w:val="none"/>
                <w:lang w:val="en-US" w:eastAsia="zh-CN"/>
              </w:rPr>
              <w:t>不会对周边环境产生影响</w:t>
            </w:r>
            <w:r>
              <w:rPr>
                <w:rFonts w:hint="default" w:ascii="Times New Roman" w:hAnsi="Times New Roman" w:eastAsia="宋体" w:cs="Times New Roman"/>
                <w:bCs/>
                <w:color w:val="auto"/>
                <w:sz w:val="24"/>
                <w:szCs w:val="24"/>
                <w:highlight w:val="none"/>
              </w:rPr>
              <w:t>。</w:t>
            </w:r>
          </w:p>
          <w:p w14:paraId="6F4B2B3F">
            <w:pPr>
              <w:pStyle w:val="2"/>
              <w:keepNext w:val="0"/>
              <w:keepLines w:val="0"/>
              <w:suppressLineNumbers w:val="0"/>
              <w:autoSpaceDE w:val="0"/>
              <w:spacing w:before="0" w:beforeAutospacing="0" w:after="0" w:afterAutospacing="0" w:line="360" w:lineRule="auto"/>
              <w:ind w:left="0" w:right="0"/>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2.5地下水环境影响分析</w:t>
            </w:r>
          </w:p>
          <w:p w14:paraId="33255B28">
            <w:pPr>
              <w:keepNext w:val="0"/>
              <w:keepLines w:val="0"/>
              <w:suppressLineNumbers w:val="0"/>
              <w:autoSpaceDE w:val="0"/>
              <w:autoSpaceDN w:val="0"/>
              <w:adjustRightInd w:val="0"/>
              <w:snapToGrid w:val="0"/>
              <w:spacing w:before="0" w:beforeAutospacing="0" w:after="0" w:afterAutospacing="0" w:line="360" w:lineRule="auto"/>
              <w:ind w:left="0" w:right="0" w:firstLine="470" w:firstLineChars="196"/>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项目所在区域不属于生活供水水源地保护区等特殊地下水源保护区、补给径流区、场地内无分散居民饮用水源等其他环境敏感区。本项目区地下水没有饮用功能，因此项目场地地下水程度为不敏感。</w:t>
            </w:r>
            <w:r>
              <w:rPr>
                <w:rFonts w:hint="eastAsia" w:ascii="Times New Roman" w:hAnsi="Times New Roman" w:eastAsia="宋体" w:cs="Times New Roman"/>
                <w:color w:val="auto"/>
                <w:sz w:val="24"/>
                <w:szCs w:val="24"/>
                <w:highlight w:val="none"/>
                <w:lang w:val="en-US" w:eastAsia="zh-CN"/>
              </w:rPr>
              <w:t>本次共设置41个钻孔，根据实施方案，本次施工最大深度设计为400m，钻孔施工过程中可能产生涌水。在钻矿施工中出现涌水时，立即停止钻进，用高压喷无化学试剂浆封堵涌水后钻孔方可施工。在钻孔过程中的可能会对矿区范围内含水层产生一定的影响，但是项目钻孔终孔后要用水泥浆进行封孔，孔口应用水泥桩标记，并保证其坚实牢固。因此项目实施过程中对区域地下水影响很小。</w:t>
            </w:r>
          </w:p>
          <w:p w14:paraId="2608F05E">
            <w:pPr>
              <w:pStyle w:val="2"/>
              <w:keepNext w:val="0"/>
              <w:keepLines w:val="0"/>
              <w:suppressLineNumbers w:val="0"/>
              <w:autoSpaceDE w:val="0"/>
              <w:spacing w:before="0" w:beforeAutospacing="0" w:after="0" w:afterAutospacing="0" w:line="360" w:lineRule="auto"/>
              <w:ind w:left="0" w:right="0"/>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2.6土壤</w:t>
            </w:r>
            <w:r>
              <w:rPr>
                <w:rFonts w:hint="default" w:ascii="Times New Roman" w:hAnsi="Times New Roman" w:eastAsia="宋体" w:cs="Times New Roman"/>
                <w:b/>
                <w:bCs/>
                <w:color w:val="auto"/>
                <w:kern w:val="2"/>
                <w:sz w:val="24"/>
                <w:szCs w:val="24"/>
                <w:highlight w:val="none"/>
                <w:lang w:val="en-US" w:eastAsia="zh-CN" w:bidi="ar-SA"/>
              </w:rPr>
              <w:t>环境</w:t>
            </w:r>
            <w:r>
              <w:rPr>
                <w:rFonts w:hint="eastAsia" w:ascii="Times New Roman" w:hAnsi="Times New Roman" w:eastAsia="宋体" w:cs="Times New Roman"/>
                <w:b/>
                <w:bCs/>
                <w:color w:val="auto"/>
                <w:kern w:val="2"/>
                <w:sz w:val="24"/>
                <w:szCs w:val="24"/>
                <w:highlight w:val="none"/>
                <w:lang w:val="en-US" w:eastAsia="zh-CN" w:bidi="ar-SA"/>
              </w:rPr>
              <w:t>影响分析</w:t>
            </w:r>
          </w:p>
          <w:p w14:paraId="071F9DC0">
            <w:pPr>
              <w:keepNext w:val="0"/>
              <w:keepLines w:val="0"/>
              <w:suppressLineNumbers w:val="0"/>
              <w:adjustRightInd/>
              <w:spacing w:before="0" w:beforeAutospacing="0" w:after="0" w:afterAutospacing="0" w:line="360" w:lineRule="auto"/>
              <w:ind w:left="0" w:right="0" w:firstLine="480" w:firstLineChars="200"/>
              <w:rPr>
                <w:rStyle w:val="46"/>
                <w:rFonts w:hint="default" w:ascii="Times New Roman" w:hAnsi="Times New Roman" w:cs="Times New Roman"/>
                <w:b/>
                <w:color w:val="auto"/>
                <w:sz w:val="24"/>
              </w:rPr>
            </w:pPr>
            <w:r>
              <w:rPr>
                <w:rStyle w:val="46"/>
                <w:rFonts w:hint="eastAsia" w:ascii="Times New Roman" w:hAnsi="Times New Roman" w:cs="Times New Roman"/>
                <w:bCs/>
                <w:color w:val="auto"/>
                <w:sz w:val="24"/>
                <w:lang w:eastAsia="zh-CN"/>
              </w:rPr>
              <w:t>根据</w:t>
            </w:r>
            <w:r>
              <w:rPr>
                <w:rStyle w:val="46"/>
                <w:rFonts w:hint="eastAsia" w:ascii="Times New Roman" w:hAnsi="Times New Roman" w:cs="Times New Roman"/>
                <w:bCs/>
                <w:color w:val="auto"/>
                <w:sz w:val="24"/>
              </w:rPr>
              <w:t>《环境影响评价技术导则 土壤环境（试行）》（HJ964-2018）附录A，</w:t>
            </w:r>
            <w:r>
              <w:rPr>
                <w:rStyle w:val="46"/>
                <w:rFonts w:hint="eastAsia" w:ascii="Times New Roman" w:hAnsi="Times New Roman" w:cs="Times New Roman"/>
                <w:bCs/>
                <w:color w:val="auto"/>
                <w:sz w:val="24"/>
                <w:lang w:eastAsia="zh-CN"/>
              </w:rPr>
              <w:t>本项目属于</w:t>
            </w:r>
            <w:r>
              <w:rPr>
                <w:rStyle w:val="46"/>
                <w:rFonts w:hint="eastAsia" w:ascii="Times New Roman" w:hAnsi="Times New Roman" w:cs="Times New Roman"/>
                <w:bCs/>
                <w:color w:val="auto"/>
                <w:sz w:val="24"/>
                <w:lang w:val="en-US" w:eastAsia="zh-CN"/>
              </w:rPr>
              <w:t>其他行业，</w:t>
            </w:r>
            <w:r>
              <w:rPr>
                <w:rStyle w:val="46"/>
                <w:rFonts w:hint="eastAsia" w:ascii="Times New Roman" w:hAnsi="Times New Roman" w:cs="Times New Roman"/>
                <w:bCs/>
                <w:color w:val="auto"/>
                <w:sz w:val="24"/>
              </w:rPr>
              <w:t>土壤环境影响评价类别为</w:t>
            </w:r>
            <w:r>
              <w:rPr>
                <w:rStyle w:val="46"/>
                <w:rFonts w:hint="eastAsia" w:ascii="宋体" w:hAnsi="宋体" w:eastAsia="宋体" w:cs="宋体"/>
                <w:bCs/>
                <w:color w:val="auto"/>
                <w:sz w:val="24"/>
              </w:rPr>
              <w:t>Ⅳ</w:t>
            </w:r>
            <w:r>
              <w:rPr>
                <w:rStyle w:val="46"/>
                <w:rFonts w:hint="eastAsia" w:ascii="Times New Roman" w:hAnsi="Times New Roman" w:cs="Times New Roman"/>
                <w:bCs/>
                <w:color w:val="auto"/>
                <w:sz w:val="24"/>
              </w:rPr>
              <w:t>类，</w:t>
            </w:r>
            <w:r>
              <w:rPr>
                <w:rStyle w:val="46"/>
                <w:rFonts w:hint="eastAsia" w:ascii="Times New Roman" w:hAnsi="Times New Roman" w:cs="Times New Roman"/>
                <w:bCs/>
                <w:color w:val="auto"/>
                <w:sz w:val="24"/>
                <w:lang w:val="en-US" w:eastAsia="zh-CN"/>
              </w:rPr>
              <w:t>对照</w:t>
            </w:r>
            <w:r>
              <w:rPr>
                <w:rStyle w:val="46"/>
                <w:rFonts w:hint="eastAsia" w:ascii="Times New Roman" w:hAnsi="Times New Roman" w:cs="Times New Roman"/>
                <w:bCs/>
                <w:color w:val="auto"/>
                <w:sz w:val="24"/>
              </w:rPr>
              <w:t>《环境影响评价技术导则 土壤环境（试行）》（HJ964-2018）</w:t>
            </w:r>
            <w:r>
              <w:rPr>
                <w:rStyle w:val="46"/>
                <w:rFonts w:hint="eastAsia" w:ascii="Times New Roman" w:hAnsi="Times New Roman" w:cs="Times New Roman"/>
                <w:bCs/>
                <w:color w:val="auto"/>
                <w:sz w:val="24"/>
                <w:lang w:eastAsia="zh-CN"/>
              </w:rPr>
              <w:t>表</w:t>
            </w:r>
            <w:r>
              <w:rPr>
                <w:rStyle w:val="46"/>
                <w:rFonts w:hint="eastAsia" w:ascii="Times New Roman" w:hAnsi="Times New Roman" w:cs="Times New Roman"/>
                <w:bCs/>
                <w:color w:val="auto"/>
                <w:sz w:val="24"/>
                <w:lang w:val="en-US" w:eastAsia="zh-CN"/>
              </w:rPr>
              <w:t>4，本项目</w:t>
            </w:r>
            <w:r>
              <w:rPr>
                <w:rStyle w:val="46"/>
                <w:rFonts w:hint="eastAsia" w:ascii="Times New Roman" w:hAnsi="Times New Roman" w:cs="Times New Roman"/>
                <w:bCs/>
                <w:color w:val="auto"/>
                <w:sz w:val="24"/>
              </w:rPr>
              <w:t>可不开展土壤环境影响评价工作。</w:t>
            </w:r>
          </w:p>
          <w:p w14:paraId="3C6BBA78">
            <w:pPr>
              <w:pStyle w:val="2"/>
              <w:keepNext w:val="0"/>
              <w:keepLines w:val="0"/>
              <w:suppressLineNumbers w:val="0"/>
              <w:autoSpaceDE w:val="0"/>
              <w:spacing w:before="0" w:beforeAutospacing="0" w:after="0" w:afterAutospacing="0" w:line="360" w:lineRule="auto"/>
              <w:ind w:left="0" w:right="0"/>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2.7环境风险分析</w:t>
            </w:r>
          </w:p>
          <w:p w14:paraId="58BE59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2"/>
              <w:rPr>
                <w:rFonts w:hint="default" w:ascii="Times New Roman" w:hAnsi="Times New Roman" w:eastAsia="宋体" w:cs="Times New Roman"/>
                <w:b w:val="0"/>
                <w:bCs w:val="0"/>
                <w:color w:val="auto"/>
                <w:sz w:val="24"/>
                <w:szCs w:val="24"/>
                <w:lang w:val="en-US" w:eastAsia="zh-CN"/>
              </w:rPr>
            </w:pPr>
            <w:bookmarkStart w:id="44" w:name="_Toc185248043"/>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风险源调查</w:t>
            </w:r>
          </w:p>
          <w:p w14:paraId="5B4CCC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9"/>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风险识别对象：包括生产设施风险识别、生产过程所涉及物质风险识别、受影响的环境要素和环境保护目标风险识别。生产设施风险识别包括主要生产装置、贮运系统、公用工程系统、辅助生产设施及环境保护设施等；物质风险识别包括主要原材料及辅助材料、燃料、中间产品、最终产品、“三废”污染物、火灾和爆炸等伴生/次生的危险物质；受影响的环境要素识别应根据有毒有害物质排放途径确定，如大气环境、水环境、土壤、生态等，明确受影响环境保护目标。</w:t>
            </w:r>
          </w:p>
          <w:p w14:paraId="4F64799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600" w:firstLineChars="250"/>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szCs w:val="24"/>
                <w:lang w:val="en-US" w:eastAsia="zh-CN"/>
              </w:rPr>
              <w:t>根据对风险物质调查：</w:t>
            </w:r>
            <w:r>
              <w:rPr>
                <w:rFonts w:hint="eastAsia" w:ascii="Times New Roman" w:hAnsi="Times New Roman" w:eastAsia="宋体" w:cs="Times New Roman"/>
                <w:color w:val="auto"/>
                <w:sz w:val="24"/>
                <w:szCs w:val="24"/>
                <w:lang w:val="en-US" w:eastAsia="zh-CN"/>
              </w:rPr>
              <w:t>本项目涉及的风险物质为柴油、防卡剂、废机油。主要风险为柴油、防卡剂、废机油</w:t>
            </w:r>
            <w:r>
              <w:rPr>
                <w:rFonts w:hint="default" w:ascii="Times New Roman" w:hAnsi="Times New Roman" w:eastAsia="宋体" w:cs="Times New Roman"/>
                <w:color w:val="auto"/>
                <w:sz w:val="24"/>
                <w:szCs w:val="24"/>
              </w:rPr>
              <w:t>暂存引起的</w:t>
            </w:r>
            <w:r>
              <w:rPr>
                <w:rFonts w:hint="eastAsia" w:ascii="Times New Roman" w:hAnsi="Times New Roman" w:eastAsia="宋体" w:cs="Times New Roman"/>
                <w:color w:val="auto"/>
                <w:sz w:val="24"/>
                <w:szCs w:val="24"/>
                <w:lang w:eastAsia="zh-CN"/>
              </w:rPr>
              <w:t>泄漏</w:t>
            </w:r>
            <w:r>
              <w:rPr>
                <w:rFonts w:hint="default" w:ascii="Times New Roman" w:hAnsi="Times New Roman" w:eastAsia="宋体" w:cs="Times New Roman"/>
                <w:color w:val="auto"/>
                <w:sz w:val="24"/>
                <w:szCs w:val="24"/>
              </w:rPr>
              <w:t>、火灾和爆炸</w:t>
            </w:r>
            <w:r>
              <w:rPr>
                <w:rFonts w:hint="eastAsia" w:ascii="Times New Roman" w:hAnsi="Times New Roman" w:eastAsia="宋体" w:cs="Times New Roman"/>
                <w:color w:val="auto"/>
                <w:sz w:val="24"/>
                <w:szCs w:val="24"/>
                <w:lang w:val="en-US" w:eastAsia="zh-CN"/>
              </w:rPr>
              <w:t>事故；</w:t>
            </w:r>
            <w:r>
              <w:rPr>
                <w:rFonts w:hint="eastAsia" w:ascii="Times New Roman" w:hAnsi="Times New Roman" w:eastAsia="宋体" w:cs="Times New Roman"/>
                <w:color w:val="auto"/>
                <w:sz w:val="24"/>
                <w:lang w:val="en-US" w:eastAsia="zh-CN"/>
              </w:rPr>
              <w:t>地质风险事故</w:t>
            </w:r>
            <w:r>
              <w:rPr>
                <w:rFonts w:hint="eastAsia" w:ascii="Times New Roman" w:hAnsi="Times New Roman" w:cs="Times New Roman"/>
                <w:color w:val="auto"/>
                <w:sz w:val="24"/>
                <w:lang w:val="en-US" w:eastAsia="zh-CN"/>
              </w:rPr>
              <w:t>；钻孔涌水风险等</w:t>
            </w:r>
            <w:r>
              <w:rPr>
                <w:rFonts w:hint="eastAsia" w:ascii="Times New Roman" w:hAnsi="Times New Roman" w:cs="Times New Roman"/>
                <w:color w:val="auto"/>
                <w:sz w:val="24"/>
                <w:lang w:eastAsia="zh-CN"/>
              </w:rPr>
              <w:t>。</w:t>
            </w:r>
          </w:p>
          <w:p w14:paraId="48797B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2"/>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风险潜势初判</w:t>
            </w:r>
          </w:p>
          <w:p w14:paraId="395886FA">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建设项目环境风险潜势划分为Ⅰ、Ⅱ、Ⅲ、Ⅳ、Ⅳ</w:t>
            </w:r>
            <w:r>
              <w:rPr>
                <w:rFonts w:hint="default" w:ascii="Times New Roman" w:hAnsi="Times New Roman" w:eastAsia="宋体" w:cs="Times New Roman"/>
                <w:color w:val="auto"/>
                <w:kern w:val="2"/>
                <w:sz w:val="24"/>
                <w:szCs w:val="20"/>
                <w:vertAlign w:val="superscript"/>
                <w:lang w:val="en-US" w:eastAsia="zh-CN" w:bidi="ar-SA"/>
              </w:rPr>
              <w:t>+</w:t>
            </w:r>
            <w:r>
              <w:rPr>
                <w:rFonts w:hint="default" w:ascii="Times New Roman" w:hAnsi="Times New Roman" w:eastAsia="宋体" w:cs="Times New Roman"/>
                <w:color w:val="auto"/>
                <w:kern w:val="2"/>
                <w:sz w:val="24"/>
                <w:szCs w:val="20"/>
                <w:lang w:val="en-US" w:eastAsia="zh-CN" w:bidi="ar-SA"/>
              </w:rPr>
              <w:t>级。</w:t>
            </w:r>
          </w:p>
          <w:p w14:paraId="2D35BCA4">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根据建设项目涉及的物质和工艺系统的危险性及所在地的环境敏感程度，结合事故情形下环境影响途径，对建设项目潜在环境危险程度进行概化分析，按照</w:t>
            </w:r>
            <w:r>
              <w:rPr>
                <w:rFonts w:hint="eastAsia" w:ascii="Times New Roman" w:hAnsi="Times New Roman" w:eastAsia="宋体" w:cs="Times New Roman"/>
                <w:color w:val="auto"/>
                <w:kern w:val="2"/>
                <w:sz w:val="24"/>
                <w:szCs w:val="20"/>
                <w:lang w:val="en-US" w:eastAsia="zh-CN" w:bidi="ar-SA"/>
              </w:rPr>
              <w:t>4-6</w:t>
            </w:r>
            <w:r>
              <w:rPr>
                <w:rFonts w:hint="default" w:ascii="Times New Roman" w:hAnsi="Times New Roman" w:eastAsia="宋体" w:cs="Times New Roman"/>
                <w:color w:val="auto"/>
                <w:kern w:val="2"/>
                <w:sz w:val="24"/>
                <w:szCs w:val="20"/>
                <w:lang w:val="en-US" w:eastAsia="zh-CN" w:bidi="ar-SA"/>
              </w:rPr>
              <w:t>确定环境风险潜势。</w:t>
            </w:r>
          </w:p>
          <w:p w14:paraId="437736B3">
            <w:pPr>
              <w:pStyle w:val="10"/>
              <w:keepNext w:val="0"/>
              <w:keepLines w:val="0"/>
              <w:suppressLineNumbers w:val="0"/>
              <w:spacing w:beforeAutospacing="0" w:afterAutospacing="0"/>
              <w:ind w:left="0" w:firstLine="482" w:firstLineChars="200"/>
              <w:jc w:val="center"/>
              <w:rPr>
                <w:rFonts w:hint="default" w:ascii="Times New Roman" w:hAnsi="Times New Roman" w:eastAsia="宋体" w:cs="Times New Roman"/>
                <w:b/>
                <w:bCs/>
                <w:color w:val="auto"/>
                <w:kern w:val="2"/>
                <w:sz w:val="24"/>
                <w:szCs w:val="20"/>
                <w:lang w:val="en-US" w:eastAsia="zh-CN" w:bidi="ar-SA"/>
              </w:rPr>
            </w:pPr>
            <w:r>
              <w:rPr>
                <w:rFonts w:hint="default" w:ascii="Times New Roman" w:hAnsi="Times New Roman" w:eastAsia="宋体" w:cs="Times New Roman"/>
                <w:b/>
                <w:bCs/>
                <w:color w:val="auto"/>
                <w:kern w:val="2"/>
                <w:sz w:val="24"/>
                <w:szCs w:val="20"/>
                <w:lang w:val="en-US" w:eastAsia="zh-CN" w:bidi="ar-SA"/>
              </w:rPr>
              <w:t>表</w:t>
            </w:r>
            <w:r>
              <w:rPr>
                <w:rFonts w:hint="eastAsia" w:ascii="Times New Roman" w:hAnsi="Times New Roman" w:eastAsia="宋体" w:cs="Times New Roman"/>
                <w:b/>
                <w:bCs/>
                <w:color w:val="auto"/>
                <w:kern w:val="2"/>
                <w:sz w:val="24"/>
                <w:szCs w:val="20"/>
                <w:lang w:val="en-US" w:eastAsia="zh-CN" w:bidi="ar-SA"/>
              </w:rPr>
              <w:t>4-6</w:t>
            </w:r>
            <w:r>
              <w:rPr>
                <w:rFonts w:hint="default" w:ascii="Times New Roman" w:hAnsi="Times New Roman" w:eastAsia="宋体" w:cs="Times New Roman"/>
                <w:b/>
                <w:bCs/>
                <w:color w:val="auto"/>
                <w:kern w:val="2"/>
                <w:sz w:val="24"/>
                <w:szCs w:val="20"/>
                <w:lang w:val="en-US" w:eastAsia="zh-CN" w:bidi="ar-SA"/>
              </w:rPr>
              <w:t xml:space="preserve"> 建设项目环境风险潜势划分</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1511"/>
              <w:gridCol w:w="1511"/>
              <w:gridCol w:w="1512"/>
              <w:gridCol w:w="1514"/>
            </w:tblGrid>
            <w:tr w14:paraId="5CB7D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511" w:type="dxa"/>
                  <w:vMerge w:val="restart"/>
                  <w:noWrap w:val="0"/>
                  <w:vAlign w:val="center"/>
                </w:tcPr>
                <w:p w14:paraId="7AAC0236">
                  <w:pPr>
                    <w:pStyle w:val="10"/>
                    <w:keepNext w:val="0"/>
                    <w:keepLines w:val="0"/>
                    <w:suppressLineNumbers w:val="0"/>
                    <w:spacing w:beforeAutospacing="0" w:afterAutospacing="0"/>
                    <w:ind w:lef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环境敏感程度（E）</w:t>
                  </w:r>
                </w:p>
              </w:tc>
              <w:tc>
                <w:tcPr>
                  <w:tcW w:w="6048" w:type="dxa"/>
                  <w:gridSpan w:val="4"/>
                  <w:noWrap w:val="0"/>
                  <w:vAlign w:val="center"/>
                </w:tcPr>
                <w:p w14:paraId="032B18CE">
                  <w:pPr>
                    <w:pStyle w:val="10"/>
                    <w:keepNext w:val="0"/>
                    <w:keepLines w:val="0"/>
                    <w:suppressLineNumbers w:val="0"/>
                    <w:spacing w:beforeAutospacing="0" w:afterAutospacing="0"/>
                    <w:ind w:lef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危险物质及工艺系统危险性（P）</w:t>
                  </w:r>
                </w:p>
              </w:tc>
            </w:tr>
            <w:tr w14:paraId="0554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511" w:type="dxa"/>
                  <w:vMerge w:val="continue"/>
                  <w:noWrap w:val="0"/>
                  <w:vAlign w:val="center"/>
                </w:tcPr>
                <w:p w14:paraId="61462708">
                  <w:pPr>
                    <w:pStyle w:val="10"/>
                    <w:keepNext w:val="0"/>
                    <w:keepLines w:val="0"/>
                    <w:suppressLineNumbers w:val="0"/>
                    <w:spacing w:beforeAutospacing="0" w:afterAutospacing="0"/>
                    <w:ind w:left="0"/>
                    <w:jc w:val="center"/>
                    <w:rPr>
                      <w:rFonts w:hint="default" w:ascii="Times New Roman" w:hAnsi="Times New Roman" w:eastAsia="宋体" w:cs="Times New Roman"/>
                      <w:color w:val="auto"/>
                      <w:kern w:val="2"/>
                      <w:sz w:val="21"/>
                      <w:szCs w:val="21"/>
                      <w:vertAlign w:val="baseline"/>
                      <w:lang w:val="en-US" w:eastAsia="zh-CN" w:bidi="ar-SA"/>
                    </w:rPr>
                  </w:pPr>
                </w:p>
              </w:tc>
              <w:tc>
                <w:tcPr>
                  <w:tcW w:w="1511" w:type="dxa"/>
                  <w:noWrap w:val="0"/>
                  <w:vAlign w:val="center"/>
                </w:tcPr>
                <w:p w14:paraId="6B37B043">
                  <w:pPr>
                    <w:pStyle w:val="10"/>
                    <w:keepNext w:val="0"/>
                    <w:keepLines w:val="0"/>
                    <w:suppressLineNumbers w:val="0"/>
                    <w:spacing w:beforeAutospacing="0" w:afterAutospacing="0"/>
                    <w:ind w:lef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极高危害（P1）</w:t>
                  </w:r>
                </w:p>
              </w:tc>
              <w:tc>
                <w:tcPr>
                  <w:tcW w:w="1511" w:type="dxa"/>
                  <w:noWrap w:val="0"/>
                  <w:vAlign w:val="center"/>
                </w:tcPr>
                <w:p w14:paraId="5744411B">
                  <w:pPr>
                    <w:pStyle w:val="10"/>
                    <w:keepNext w:val="0"/>
                    <w:keepLines w:val="0"/>
                    <w:suppressLineNumbers w:val="0"/>
                    <w:spacing w:beforeAutospacing="0" w:afterAutospacing="0"/>
                    <w:ind w:lef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高度危害（P2）</w:t>
                  </w:r>
                </w:p>
              </w:tc>
              <w:tc>
                <w:tcPr>
                  <w:tcW w:w="1512" w:type="dxa"/>
                  <w:noWrap w:val="0"/>
                  <w:vAlign w:val="center"/>
                </w:tcPr>
                <w:p w14:paraId="260957BA">
                  <w:pPr>
                    <w:pStyle w:val="10"/>
                    <w:keepNext w:val="0"/>
                    <w:keepLines w:val="0"/>
                    <w:suppressLineNumbers w:val="0"/>
                    <w:spacing w:beforeAutospacing="0" w:afterAutospacing="0"/>
                    <w:ind w:lef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中度危害（P3）</w:t>
                  </w:r>
                </w:p>
              </w:tc>
              <w:tc>
                <w:tcPr>
                  <w:tcW w:w="1514" w:type="dxa"/>
                  <w:noWrap w:val="0"/>
                  <w:vAlign w:val="center"/>
                </w:tcPr>
                <w:p w14:paraId="5B7B5F2C">
                  <w:pPr>
                    <w:pStyle w:val="10"/>
                    <w:keepNext w:val="0"/>
                    <w:keepLines w:val="0"/>
                    <w:suppressLineNumbers w:val="0"/>
                    <w:spacing w:beforeAutospacing="0" w:afterAutospacing="0"/>
                    <w:ind w:lef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轻度危害（P4）</w:t>
                  </w:r>
                </w:p>
              </w:tc>
            </w:tr>
            <w:tr w14:paraId="2AF0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511" w:type="dxa"/>
                  <w:noWrap w:val="0"/>
                  <w:vAlign w:val="center"/>
                </w:tcPr>
                <w:p w14:paraId="71B50523">
                  <w:pPr>
                    <w:pStyle w:val="10"/>
                    <w:keepNext w:val="0"/>
                    <w:keepLines w:val="0"/>
                    <w:suppressLineNumbers w:val="0"/>
                    <w:spacing w:beforeAutospacing="0" w:afterAutospacing="0"/>
                    <w:ind w:lef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环境高度敏感区（E1）</w:t>
                  </w:r>
                </w:p>
              </w:tc>
              <w:tc>
                <w:tcPr>
                  <w:tcW w:w="1511" w:type="dxa"/>
                  <w:noWrap w:val="0"/>
                  <w:vAlign w:val="center"/>
                </w:tcPr>
                <w:p w14:paraId="3C7B4356">
                  <w:pPr>
                    <w:pStyle w:val="10"/>
                    <w:keepNext w:val="0"/>
                    <w:keepLines w:val="0"/>
                    <w:suppressLineNumbers w:val="0"/>
                    <w:spacing w:beforeAutospacing="0" w:afterAutospacing="0"/>
                    <w:ind w:lef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lang w:eastAsia="zh-CN"/>
                    </w:rPr>
                    <w:t>Ⅳ</w:t>
                  </w:r>
                  <w:r>
                    <w:rPr>
                      <w:rFonts w:hint="default" w:ascii="Times New Roman" w:hAnsi="Times New Roman" w:eastAsia="宋体" w:cs="Times New Roman"/>
                      <w:b/>
                      <w:bCs/>
                      <w:color w:val="auto"/>
                      <w:sz w:val="21"/>
                      <w:szCs w:val="21"/>
                      <w:vertAlign w:val="superscript"/>
                      <w:lang w:val="en-US" w:eastAsia="zh-CN"/>
                    </w:rPr>
                    <w:t>+</w:t>
                  </w:r>
                </w:p>
              </w:tc>
              <w:tc>
                <w:tcPr>
                  <w:tcW w:w="1511" w:type="dxa"/>
                  <w:noWrap w:val="0"/>
                  <w:vAlign w:val="center"/>
                </w:tcPr>
                <w:p w14:paraId="73AE4BC8">
                  <w:pPr>
                    <w:pStyle w:val="10"/>
                    <w:keepNext w:val="0"/>
                    <w:keepLines w:val="0"/>
                    <w:suppressLineNumbers w:val="0"/>
                    <w:spacing w:beforeAutospacing="0" w:afterAutospacing="0"/>
                    <w:ind w:lef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rPr>
                    <w:t>Ⅳ</w:t>
                  </w:r>
                </w:p>
              </w:tc>
              <w:tc>
                <w:tcPr>
                  <w:tcW w:w="1512" w:type="dxa"/>
                  <w:noWrap w:val="0"/>
                  <w:vAlign w:val="center"/>
                </w:tcPr>
                <w:p w14:paraId="24A292A0">
                  <w:pPr>
                    <w:pStyle w:val="10"/>
                    <w:keepNext w:val="0"/>
                    <w:keepLines w:val="0"/>
                    <w:suppressLineNumbers w:val="0"/>
                    <w:spacing w:beforeAutospacing="0" w:afterAutospacing="0"/>
                    <w:ind w:lef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rPr>
                    <w:t>Ⅲ</w:t>
                  </w:r>
                </w:p>
              </w:tc>
              <w:tc>
                <w:tcPr>
                  <w:tcW w:w="1514" w:type="dxa"/>
                  <w:noWrap w:val="0"/>
                  <w:vAlign w:val="center"/>
                </w:tcPr>
                <w:p w14:paraId="225CE619">
                  <w:pPr>
                    <w:pStyle w:val="10"/>
                    <w:keepNext w:val="0"/>
                    <w:keepLines w:val="0"/>
                    <w:suppressLineNumbers w:val="0"/>
                    <w:spacing w:beforeAutospacing="0" w:afterAutospacing="0"/>
                    <w:ind w:lef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rPr>
                    <w:t>Ⅲ</w:t>
                  </w:r>
                </w:p>
              </w:tc>
            </w:tr>
            <w:tr w14:paraId="7F16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511" w:type="dxa"/>
                  <w:noWrap w:val="0"/>
                  <w:vAlign w:val="center"/>
                </w:tcPr>
                <w:p w14:paraId="7DEF4E11">
                  <w:pPr>
                    <w:pStyle w:val="10"/>
                    <w:keepNext w:val="0"/>
                    <w:keepLines w:val="0"/>
                    <w:suppressLineNumbers w:val="0"/>
                    <w:spacing w:beforeAutospacing="0" w:afterAutospacing="0"/>
                    <w:ind w:lef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环境中度敏感区（E2）</w:t>
                  </w:r>
                </w:p>
              </w:tc>
              <w:tc>
                <w:tcPr>
                  <w:tcW w:w="1511" w:type="dxa"/>
                  <w:noWrap w:val="0"/>
                  <w:vAlign w:val="center"/>
                </w:tcPr>
                <w:p w14:paraId="6C091427">
                  <w:pPr>
                    <w:pStyle w:val="10"/>
                    <w:keepNext w:val="0"/>
                    <w:keepLines w:val="0"/>
                    <w:suppressLineNumbers w:val="0"/>
                    <w:spacing w:beforeAutospacing="0" w:afterAutospacing="0"/>
                    <w:ind w:lef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rPr>
                    <w:t>Ⅳ</w:t>
                  </w:r>
                </w:p>
              </w:tc>
              <w:tc>
                <w:tcPr>
                  <w:tcW w:w="1511" w:type="dxa"/>
                  <w:noWrap w:val="0"/>
                  <w:vAlign w:val="center"/>
                </w:tcPr>
                <w:p w14:paraId="7B38F6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rPr>
                    <w:t>Ⅲ</w:t>
                  </w:r>
                </w:p>
              </w:tc>
              <w:tc>
                <w:tcPr>
                  <w:tcW w:w="1512" w:type="dxa"/>
                  <w:noWrap w:val="0"/>
                  <w:vAlign w:val="center"/>
                </w:tcPr>
                <w:p w14:paraId="673592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rPr>
                    <w:t>Ⅲ</w:t>
                  </w:r>
                </w:p>
              </w:tc>
              <w:tc>
                <w:tcPr>
                  <w:tcW w:w="1514" w:type="dxa"/>
                  <w:noWrap w:val="0"/>
                  <w:vAlign w:val="center"/>
                </w:tcPr>
                <w:p w14:paraId="479B290A">
                  <w:pPr>
                    <w:pStyle w:val="10"/>
                    <w:keepNext w:val="0"/>
                    <w:keepLines w:val="0"/>
                    <w:suppressLineNumbers w:val="0"/>
                    <w:spacing w:beforeAutospacing="0" w:afterAutospacing="0"/>
                    <w:ind w:lef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rPr>
                    <w:t>Ⅱ</w:t>
                  </w:r>
                </w:p>
              </w:tc>
            </w:tr>
            <w:tr w14:paraId="1B0A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511" w:type="dxa"/>
                  <w:noWrap w:val="0"/>
                  <w:vAlign w:val="center"/>
                </w:tcPr>
                <w:p w14:paraId="16FC96FA">
                  <w:pPr>
                    <w:pStyle w:val="10"/>
                    <w:keepNext w:val="0"/>
                    <w:keepLines w:val="0"/>
                    <w:suppressLineNumbers w:val="0"/>
                    <w:spacing w:beforeAutospacing="0" w:afterAutospacing="0"/>
                    <w:ind w:lef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环境低度敏感区（E3）</w:t>
                  </w:r>
                </w:p>
              </w:tc>
              <w:tc>
                <w:tcPr>
                  <w:tcW w:w="1511" w:type="dxa"/>
                  <w:noWrap w:val="0"/>
                  <w:vAlign w:val="center"/>
                </w:tcPr>
                <w:p w14:paraId="30E7AE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rPr>
                    <w:t>Ⅲ</w:t>
                  </w:r>
                </w:p>
              </w:tc>
              <w:tc>
                <w:tcPr>
                  <w:tcW w:w="1511" w:type="dxa"/>
                  <w:noWrap w:val="0"/>
                  <w:vAlign w:val="center"/>
                </w:tcPr>
                <w:p w14:paraId="37DC1D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rPr>
                    <w:t>Ⅲ</w:t>
                  </w:r>
                </w:p>
              </w:tc>
              <w:tc>
                <w:tcPr>
                  <w:tcW w:w="1512" w:type="dxa"/>
                  <w:noWrap w:val="0"/>
                  <w:vAlign w:val="center"/>
                </w:tcPr>
                <w:p w14:paraId="60FB3810">
                  <w:pPr>
                    <w:pStyle w:val="10"/>
                    <w:keepNext w:val="0"/>
                    <w:keepLines w:val="0"/>
                    <w:suppressLineNumbers w:val="0"/>
                    <w:spacing w:beforeAutospacing="0" w:afterAutospacing="0"/>
                    <w:ind w:lef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rPr>
                    <w:t>Ⅱ</w:t>
                  </w:r>
                </w:p>
              </w:tc>
              <w:tc>
                <w:tcPr>
                  <w:tcW w:w="1514" w:type="dxa"/>
                  <w:noWrap w:val="0"/>
                  <w:vAlign w:val="center"/>
                </w:tcPr>
                <w:p w14:paraId="2F6A573F">
                  <w:pPr>
                    <w:pStyle w:val="10"/>
                    <w:keepNext w:val="0"/>
                    <w:keepLines w:val="0"/>
                    <w:suppressLineNumbers w:val="0"/>
                    <w:spacing w:beforeAutospacing="0" w:afterAutospacing="0"/>
                    <w:ind w:lef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rPr>
                    <w:t>Ⅰ</w:t>
                  </w:r>
                </w:p>
              </w:tc>
            </w:tr>
            <w:tr w14:paraId="298E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559" w:type="dxa"/>
                  <w:gridSpan w:val="5"/>
                  <w:noWrap w:val="0"/>
                  <w:vAlign w:val="center"/>
                </w:tcPr>
                <w:p w14:paraId="6B499120">
                  <w:pPr>
                    <w:pStyle w:val="10"/>
                    <w:keepNext w:val="0"/>
                    <w:keepLines w:val="0"/>
                    <w:suppressLineNumbers w:val="0"/>
                    <w:spacing w:beforeAutospacing="0" w:afterAutospacing="0"/>
                    <w:ind w:left="0"/>
                    <w:jc w:val="both"/>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val="0"/>
                      <w:bCs w:val="0"/>
                      <w:color w:val="auto"/>
                      <w:kern w:val="2"/>
                      <w:sz w:val="21"/>
                      <w:szCs w:val="21"/>
                      <w:vertAlign w:val="baseline"/>
                      <w:lang w:val="en-US" w:eastAsia="zh-CN" w:bidi="ar-SA"/>
                    </w:rPr>
                    <w:t>注：</w:t>
                  </w:r>
                  <w:r>
                    <w:rPr>
                      <w:rFonts w:hint="default" w:ascii="Times New Roman" w:hAnsi="Times New Roman" w:eastAsia="宋体" w:cs="Times New Roman"/>
                      <w:b w:val="0"/>
                      <w:bCs w:val="0"/>
                      <w:color w:val="auto"/>
                      <w:sz w:val="21"/>
                      <w:szCs w:val="21"/>
                      <w:lang w:eastAsia="zh-CN"/>
                    </w:rPr>
                    <w:t>Ⅳ</w:t>
                  </w:r>
                  <w:r>
                    <w:rPr>
                      <w:rFonts w:hint="default" w:ascii="Times New Roman" w:hAnsi="Times New Roman" w:eastAsia="宋体" w:cs="Times New Roman"/>
                      <w:b w:val="0"/>
                      <w:bCs w:val="0"/>
                      <w:color w:val="auto"/>
                      <w:sz w:val="21"/>
                      <w:szCs w:val="21"/>
                      <w:vertAlign w:val="superscript"/>
                      <w:lang w:val="en-US" w:eastAsia="zh-CN"/>
                    </w:rPr>
                    <w:t>+</w:t>
                  </w:r>
                  <w:r>
                    <w:rPr>
                      <w:rFonts w:hint="default" w:ascii="Times New Roman" w:hAnsi="Times New Roman" w:eastAsia="宋体" w:cs="Times New Roman"/>
                      <w:b w:val="0"/>
                      <w:bCs w:val="0"/>
                      <w:color w:val="auto"/>
                      <w:sz w:val="21"/>
                      <w:szCs w:val="21"/>
                      <w:vertAlign w:val="baseline"/>
                      <w:lang w:val="en-US" w:eastAsia="zh-CN"/>
                    </w:rPr>
                    <w:t>为极高环境风险</w:t>
                  </w:r>
                </w:p>
              </w:tc>
            </w:tr>
          </w:tbl>
          <w:p w14:paraId="568DF1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kern w:val="2"/>
                <w:sz w:val="24"/>
                <w:szCs w:val="20"/>
                <w:lang w:val="en-US" w:eastAsia="zh-CN" w:bidi="ar-SA"/>
              </w:rPr>
              <w:t>经对照《建设项目环境风险评价技术导则》（HJ169-2018）中附录B.1，</w:t>
            </w:r>
            <w:r>
              <w:rPr>
                <w:rFonts w:hint="eastAsia" w:ascii="Times New Roman" w:hAnsi="Times New Roman" w:eastAsia="宋体" w:cs="Times New Roman"/>
                <w:color w:val="auto"/>
                <w:sz w:val="24"/>
                <w:szCs w:val="24"/>
                <w:lang w:val="en-US" w:eastAsia="zh-CN"/>
              </w:rPr>
              <w:t>废机油、柴油、润滑油临界量为2500t</w:t>
            </w:r>
            <w:r>
              <w:rPr>
                <w:rFonts w:hint="default" w:ascii="Times New Roman" w:hAnsi="Times New Roman" w:eastAsia="宋体" w:cs="Times New Roman"/>
                <w:color w:val="auto"/>
                <w:sz w:val="24"/>
                <w:szCs w:val="24"/>
              </w:rPr>
              <w:t>。</w:t>
            </w:r>
            <w:r>
              <w:rPr>
                <w:rFonts w:hint="default" w:ascii="Times New Roman" w:hAnsi="Times New Roman" w:eastAsia="宋体" w:cs="Times New Roman"/>
                <w:bCs/>
                <w:color w:val="auto"/>
                <w:sz w:val="24"/>
                <w:szCs w:val="24"/>
                <w:lang w:val="en-US" w:eastAsia="zh-CN"/>
              </w:rPr>
              <w:t>经过分析，Q＜1，因此确定风险潜</w:t>
            </w:r>
            <w:r>
              <w:rPr>
                <w:rFonts w:hint="default" w:ascii="Times New Roman" w:hAnsi="Times New Roman" w:eastAsia="宋体" w:cs="Times New Roman"/>
                <w:b w:val="0"/>
                <w:bCs/>
                <w:color w:val="auto"/>
                <w:sz w:val="24"/>
                <w:szCs w:val="24"/>
                <w:lang w:val="en-US" w:eastAsia="zh-CN"/>
              </w:rPr>
              <w:t>势为</w:t>
            </w:r>
            <w:r>
              <w:rPr>
                <w:rFonts w:hint="default" w:ascii="Times New Roman" w:hAnsi="Times New Roman" w:eastAsia="宋体" w:cs="Times New Roman"/>
                <w:b w:val="0"/>
                <w:bCs/>
                <w:color w:val="auto"/>
                <w:sz w:val="24"/>
                <w:szCs w:val="24"/>
              </w:rPr>
              <w:t>Ⅰ</w:t>
            </w:r>
            <w:r>
              <w:rPr>
                <w:rFonts w:hint="default" w:ascii="Times New Roman" w:hAnsi="Times New Roman" w:eastAsia="宋体" w:cs="Times New Roman"/>
                <w:b w:val="0"/>
                <w:bCs/>
                <w:color w:val="auto"/>
                <w:sz w:val="24"/>
                <w:szCs w:val="24"/>
                <w:lang w:eastAsia="zh-CN"/>
              </w:rPr>
              <w:t>。</w:t>
            </w:r>
          </w:p>
          <w:p w14:paraId="4810ECAD">
            <w:pPr>
              <w:pStyle w:val="10"/>
              <w:keepNext w:val="0"/>
              <w:keepLines w:val="0"/>
              <w:suppressLineNumbers w:val="0"/>
              <w:spacing w:beforeAutospacing="0" w:afterAutospacing="0"/>
              <w:ind w:left="0" w:firstLine="482" w:firstLineChars="200"/>
              <w:jc w:val="center"/>
              <w:rPr>
                <w:rFonts w:hint="default" w:ascii="Times New Roman" w:hAnsi="Times New Roman" w:eastAsia="宋体" w:cs="Times New Roman"/>
                <w:b/>
                <w:bCs/>
                <w:color w:val="auto"/>
                <w:kern w:val="2"/>
                <w:sz w:val="24"/>
                <w:szCs w:val="20"/>
                <w:lang w:val="en-US" w:eastAsia="zh-CN" w:bidi="ar-SA"/>
              </w:rPr>
            </w:pPr>
            <w:r>
              <w:rPr>
                <w:rFonts w:hint="default" w:ascii="Times New Roman" w:hAnsi="Times New Roman" w:eastAsia="宋体" w:cs="Times New Roman"/>
                <w:b/>
                <w:bCs/>
                <w:color w:val="auto"/>
                <w:kern w:val="2"/>
                <w:sz w:val="24"/>
                <w:szCs w:val="20"/>
                <w:lang w:val="en-US" w:eastAsia="zh-CN" w:bidi="ar-SA"/>
              </w:rPr>
              <w:t>表</w:t>
            </w:r>
            <w:r>
              <w:rPr>
                <w:rFonts w:hint="eastAsia" w:ascii="Times New Roman" w:hAnsi="Times New Roman" w:eastAsia="宋体" w:cs="Times New Roman"/>
                <w:b/>
                <w:bCs/>
                <w:color w:val="auto"/>
                <w:kern w:val="2"/>
                <w:sz w:val="24"/>
                <w:szCs w:val="20"/>
                <w:lang w:val="en-US" w:eastAsia="zh-CN" w:bidi="ar-SA"/>
              </w:rPr>
              <w:t>4-7</w:t>
            </w:r>
            <w:r>
              <w:rPr>
                <w:rFonts w:hint="default" w:ascii="Times New Roman" w:hAnsi="Times New Roman" w:eastAsia="宋体" w:cs="Times New Roman"/>
                <w:b/>
                <w:bCs/>
                <w:color w:val="auto"/>
                <w:kern w:val="2"/>
                <w:sz w:val="24"/>
                <w:szCs w:val="20"/>
                <w:lang w:val="en-US" w:eastAsia="zh-CN" w:bidi="ar-SA"/>
              </w:rPr>
              <w:t xml:space="preserve"> 危险物质数量与临界量比值（Q）</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2186"/>
              <w:gridCol w:w="1531"/>
              <w:gridCol w:w="1532"/>
              <w:gridCol w:w="1532"/>
            </w:tblGrid>
            <w:tr w14:paraId="22AB1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877" w:type="dxa"/>
                  <w:noWrap w:val="0"/>
                  <w:vAlign w:val="top"/>
                </w:tcPr>
                <w:p w14:paraId="38F74D75">
                  <w:pPr>
                    <w:pStyle w:val="10"/>
                    <w:keepNext w:val="0"/>
                    <w:keepLines w:val="0"/>
                    <w:suppressLineNumbers w:val="0"/>
                    <w:spacing w:beforeAutospacing="0" w:afterAutospacing="0"/>
                    <w:ind w:left="0"/>
                    <w:jc w:val="center"/>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kern w:val="2"/>
                      <w:sz w:val="21"/>
                      <w:szCs w:val="21"/>
                      <w:vertAlign w:val="baseline"/>
                      <w:lang w:val="en-US" w:eastAsia="zh-CN" w:bidi="ar-SA"/>
                    </w:rPr>
                    <w:t>序号</w:t>
                  </w:r>
                </w:p>
              </w:tc>
              <w:tc>
                <w:tcPr>
                  <w:tcW w:w="2186" w:type="dxa"/>
                  <w:noWrap w:val="0"/>
                  <w:vAlign w:val="top"/>
                </w:tcPr>
                <w:p w14:paraId="7EC329A3">
                  <w:pPr>
                    <w:pStyle w:val="10"/>
                    <w:keepNext w:val="0"/>
                    <w:keepLines w:val="0"/>
                    <w:suppressLineNumbers w:val="0"/>
                    <w:spacing w:beforeAutospacing="0" w:afterAutospacing="0"/>
                    <w:ind w:left="0"/>
                    <w:jc w:val="center"/>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kern w:val="2"/>
                      <w:sz w:val="21"/>
                      <w:szCs w:val="21"/>
                      <w:vertAlign w:val="baseline"/>
                      <w:lang w:val="en-US" w:eastAsia="zh-CN" w:bidi="ar-SA"/>
                    </w:rPr>
                    <w:t>物质名称</w:t>
                  </w:r>
                </w:p>
              </w:tc>
              <w:tc>
                <w:tcPr>
                  <w:tcW w:w="1531" w:type="dxa"/>
                  <w:noWrap w:val="0"/>
                  <w:vAlign w:val="top"/>
                </w:tcPr>
                <w:p w14:paraId="5C1A488D">
                  <w:pPr>
                    <w:pStyle w:val="10"/>
                    <w:keepNext w:val="0"/>
                    <w:keepLines w:val="0"/>
                    <w:suppressLineNumbers w:val="0"/>
                    <w:spacing w:beforeAutospacing="0" w:afterAutospacing="0"/>
                    <w:ind w:left="0"/>
                    <w:jc w:val="center"/>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kern w:val="2"/>
                      <w:sz w:val="21"/>
                      <w:szCs w:val="21"/>
                      <w:vertAlign w:val="baseline"/>
                      <w:lang w:val="en-US" w:eastAsia="zh-CN" w:bidi="ar-SA"/>
                    </w:rPr>
                    <w:t>临界量t</w:t>
                  </w:r>
                </w:p>
              </w:tc>
              <w:tc>
                <w:tcPr>
                  <w:tcW w:w="1532" w:type="dxa"/>
                  <w:noWrap w:val="0"/>
                  <w:vAlign w:val="top"/>
                </w:tcPr>
                <w:p w14:paraId="5821DB45">
                  <w:pPr>
                    <w:pStyle w:val="10"/>
                    <w:keepNext w:val="0"/>
                    <w:keepLines w:val="0"/>
                    <w:suppressLineNumbers w:val="0"/>
                    <w:spacing w:beforeAutospacing="0" w:afterAutospacing="0"/>
                    <w:ind w:left="0"/>
                    <w:jc w:val="center"/>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kern w:val="2"/>
                      <w:sz w:val="21"/>
                      <w:szCs w:val="21"/>
                      <w:vertAlign w:val="baseline"/>
                      <w:lang w:val="en-US" w:eastAsia="zh-CN" w:bidi="ar-SA"/>
                    </w:rPr>
                    <w:t>储存量t</w:t>
                  </w:r>
                </w:p>
              </w:tc>
              <w:tc>
                <w:tcPr>
                  <w:tcW w:w="1532" w:type="dxa"/>
                  <w:noWrap w:val="0"/>
                  <w:vAlign w:val="top"/>
                </w:tcPr>
                <w:p w14:paraId="48EFD71E">
                  <w:pPr>
                    <w:pStyle w:val="10"/>
                    <w:keepNext w:val="0"/>
                    <w:keepLines w:val="0"/>
                    <w:suppressLineNumbers w:val="0"/>
                    <w:spacing w:beforeAutospacing="0" w:afterAutospacing="0"/>
                    <w:ind w:left="0"/>
                    <w:jc w:val="center"/>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kern w:val="2"/>
                      <w:sz w:val="21"/>
                      <w:szCs w:val="21"/>
                      <w:vertAlign w:val="baseline"/>
                      <w:lang w:val="en-US" w:eastAsia="zh-CN" w:bidi="ar-SA"/>
                    </w:rPr>
                    <w:t>Q</w:t>
                  </w:r>
                </w:p>
              </w:tc>
            </w:tr>
            <w:tr w14:paraId="14A1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77" w:type="dxa"/>
                  <w:noWrap w:val="0"/>
                  <w:vAlign w:val="top"/>
                </w:tcPr>
                <w:p w14:paraId="6FD3052C">
                  <w:pPr>
                    <w:pStyle w:val="10"/>
                    <w:keepNext w:val="0"/>
                    <w:keepLines w:val="0"/>
                    <w:suppressLineNumbers w:val="0"/>
                    <w:spacing w:beforeAutospacing="0" w:afterAutospacing="0"/>
                    <w:ind w:lef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1</w:t>
                  </w:r>
                </w:p>
              </w:tc>
              <w:tc>
                <w:tcPr>
                  <w:tcW w:w="2186" w:type="dxa"/>
                  <w:noWrap w:val="0"/>
                  <w:vAlign w:val="center"/>
                </w:tcPr>
                <w:p w14:paraId="14B024CE">
                  <w:pPr>
                    <w:pStyle w:val="10"/>
                    <w:keepNext w:val="0"/>
                    <w:keepLines w:val="0"/>
                    <w:suppressLineNumbers w:val="0"/>
                    <w:spacing w:beforeAutospacing="0" w:afterAutospacing="0"/>
                    <w:ind w:lef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废机油</w:t>
                  </w:r>
                </w:p>
              </w:tc>
              <w:tc>
                <w:tcPr>
                  <w:tcW w:w="1531" w:type="dxa"/>
                  <w:vMerge w:val="restart"/>
                  <w:noWrap w:val="0"/>
                  <w:vAlign w:val="center"/>
                </w:tcPr>
                <w:p w14:paraId="509B34DA">
                  <w:pPr>
                    <w:pStyle w:val="10"/>
                    <w:keepNext w:val="0"/>
                    <w:keepLines w:val="0"/>
                    <w:suppressLineNumbers w:val="0"/>
                    <w:spacing w:beforeAutospacing="0" w:afterAutospacing="0"/>
                    <w:ind w:lef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2500</w:t>
                  </w:r>
                </w:p>
              </w:tc>
              <w:tc>
                <w:tcPr>
                  <w:tcW w:w="1532" w:type="dxa"/>
                  <w:noWrap w:val="0"/>
                  <w:vAlign w:val="center"/>
                </w:tcPr>
                <w:p w14:paraId="567EF30A">
                  <w:pPr>
                    <w:pStyle w:val="10"/>
                    <w:keepNext w:val="0"/>
                    <w:keepLines w:val="0"/>
                    <w:suppressLineNumbers w:val="0"/>
                    <w:spacing w:beforeAutospacing="0" w:afterAutospacing="0"/>
                    <w:ind w:lef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0.005</w:t>
                  </w:r>
                </w:p>
              </w:tc>
              <w:tc>
                <w:tcPr>
                  <w:tcW w:w="1532" w:type="dxa"/>
                  <w:vMerge w:val="restart"/>
                  <w:noWrap w:val="0"/>
                  <w:vAlign w:val="center"/>
                </w:tcPr>
                <w:p w14:paraId="5F59FAAE">
                  <w:pPr>
                    <w:pStyle w:val="10"/>
                    <w:keepNext w:val="0"/>
                    <w:keepLines w:val="0"/>
                    <w:suppressLineNumbers w:val="0"/>
                    <w:spacing w:beforeAutospacing="0" w:afterAutospacing="0"/>
                    <w:ind w:lef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0.0002356</w:t>
                  </w:r>
                </w:p>
              </w:tc>
            </w:tr>
            <w:tr w14:paraId="46DE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77" w:type="dxa"/>
                  <w:noWrap w:val="0"/>
                  <w:vAlign w:val="top"/>
                </w:tcPr>
                <w:p w14:paraId="2C73DC8A">
                  <w:pPr>
                    <w:pStyle w:val="10"/>
                    <w:keepNext w:val="0"/>
                    <w:keepLines w:val="0"/>
                    <w:suppressLineNumbers w:val="0"/>
                    <w:spacing w:beforeAutospacing="0" w:afterAutospacing="0"/>
                    <w:ind w:lef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2</w:t>
                  </w:r>
                </w:p>
              </w:tc>
              <w:tc>
                <w:tcPr>
                  <w:tcW w:w="2186" w:type="dxa"/>
                  <w:noWrap w:val="0"/>
                  <w:vAlign w:val="center"/>
                </w:tcPr>
                <w:p w14:paraId="36A453BE">
                  <w:pPr>
                    <w:pStyle w:val="10"/>
                    <w:keepNext w:val="0"/>
                    <w:keepLines w:val="0"/>
                    <w:suppressLineNumbers w:val="0"/>
                    <w:spacing w:beforeAutospacing="0" w:afterAutospacing="0"/>
                    <w:ind w:lef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柴油</w:t>
                  </w:r>
                </w:p>
              </w:tc>
              <w:tc>
                <w:tcPr>
                  <w:tcW w:w="1531" w:type="dxa"/>
                  <w:vMerge w:val="continue"/>
                  <w:noWrap w:val="0"/>
                  <w:vAlign w:val="center"/>
                </w:tcPr>
                <w:p w14:paraId="42914B95">
                  <w:pPr>
                    <w:pStyle w:val="10"/>
                    <w:keepNext w:val="0"/>
                    <w:keepLines w:val="0"/>
                    <w:suppressLineNumbers w:val="0"/>
                    <w:spacing w:beforeAutospacing="0" w:afterAutospacing="0"/>
                    <w:ind w:left="0"/>
                    <w:jc w:val="center"/>
                    <w:rPr>
                      <w:rFonts w:hint="default" w:ascii="Times New Roman" w:hAnsi="Times New Roman" w:eastAsia="宋体" w:cs="Times New Roman"/>
                      <w:b w:val="0"/>
                      <w:bCs w:val="0"/>
                      <w:color w:val="auto"/>
                      <w:kern w:val="2"/>
                      <w:sz w:val="21"/>
                      <w:szCs w:val="21"/>
                      <w:vertAlign w:val="baseline"/>
                      <w:lang w:val="en-US" w:eastAsia="zh-CN" w:bidi="ar-SA"/>
                    </w:rPr>
                  </w:pPr>
                </w:p>
              </w:tc>
              <w:tc>
                <w:tcPr>
                  <w:tcW w:w="1532" w:type="dxa"/>
                  <w:noWrap w:val="0"/>
                  <w:vAlign w:val="center"/>
                </w:tcPr>
                <w:p w14:paraId="3A6097DF">
                  <w:pPr>
                    <w:pStyle w:val="10"/>
                    <w:keepNext w:val="0"/>
                    <w:keepLines w:val="0"/>
                    <w:suppressLineNumbers w:val="0"/>
                    <w:spacing w:beforeAutospacing="0" w:afterAutospacing="0"/>
                    <w:ind w:lef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0.334</w:t>
                  </w:r>
                </w:p>
              </w:tc>
              <w:tc>
                <w:tcPr>
                  <w:tcW w:w="1532" w:type="dxa"/>
                  <w:vMerge w:val="continue"/>
                  <w:noWrap w:val="0"/>
                  <w:vAlign w:val="center"/>
                </w:tcPr>
                <w:p w14:paraId="0F247B76">
                  <w:pPr>
                    <w:pStyle w:val="10"/>
                    <w:keepNext w:val="0"/>
                    <w:keepLines w:val="0"/>
                    <w:suppressLineNumbers w:val="0"/>
                    <w:spacing w:beforeAutospacing="0" w:afterAutospacing="0"/>
                    <w:ind w:left="0"/>
                    <w:jc w:val="center"/>
                    <w:rPr>
                      <w:rFonts w:hint="eastAsia" w:ascii="Times New Roman" w:hAnsi="Times New Roman" w:eastAsia="宋体" w:cs="Times New Roman"/>
                      <w:b w:val="0"/>
                      <w:bCs w:val="0"/>
                      <w:color w:val="auto"/>
                      <w:kern w:val="2"/>
                      <w:sz w:val="21"/>
                      <w:szCs w:val="21"/>
                      <w:vertAlign w:val="baseline"/>
                      <w:lang w:val="en-US" w:eastAsia="zh-CN" w:bidi="ar-SA"/>
                    </w:rPr>
                  </w:pPr>
                </w:p>
              </w:tc>
            </w:tr>
            <w:tr w14:paraId="23955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77" w:type="dxa"/>
                  <w:noWrap w:val="0"/>
                  <w:vAlign w:val="top"/>
                </w:tcPr>
                <w:p w14:paraId="24323755">
                  <w:pPr>
                    <w:pStyle w:val="10"/>
                    <w:keepNext w:val="0"/>
                    <w:keepLines w:val="0"/>
                    <w:suppressLineNumbers w:val="0"/>
                    <w:spacing w:beforeAutospacing="0" w:afterAutospacing="0"/>
                    <w:ind w:lef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3</w:t>
                  </w:r>
                </w:p>
              </w:tc>
              <w:tc>
                <w:tcPr>
                  <w:tcW w:w="2186" w:type="dxa"/>
                  <w:noWrap w:val="0"/>
                  <w:vAlign w:val="center"/>
                </w:tcPr>
                <w:p w14:paraId="71F2B86E">
                  <w:pPr>
                    <w:pStyle w:val="10"/>
                    <w:keepNext w:val="0"/>
                    <w:keepLines w:val="0"/>
                    <w:suppressLineNumbers w:val="0"/>
                    <w:spacing w:beforeAutospacing="0" w:afterAutospacing="0"/>
                    <w:ind w:lef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润滑油</w:t>
                  </w:r>
                </w:p>
              </w:tc>
              <w:tc>
                <w:tcPr>
                  <w:tcW w:w="1531" w:type="dxa"/>
                  <w:vMerge w:val="continue"/>
                  <w:noWrap w:val="0"/>
                  <w:vAlign w:val="center"/>
                </w:tcPr>
                <w:p w14:paraId="78EDE67C">
                  <w:pPr>
                    <w:pStyle w:val="10"/>
                    <w:keepNext w:val="0"/>
                    <w:keepLines w:val="0"/>
                    <w:suppressLineNumbers w:val="0"/>
                    <w:spacing w:beforeAutospacing="0" w:afterAutospacing="0"/>
                    <w:ind w:left="0"/>
                    <w:jc w:val="center"/>
                    <w:rPr>
                      <w:rFonts w:hint="default" w:ascii="Times New Roman" w:hAnsi="Times New Roman" w:eastAsia="宋体" w:cs="Times New Roman"/>
                      <w:b w:val="0"/>
                      <w:bCs w:val="0"/>
                      <w:color w:val="auto"/>
                      <w:kern w:val="2"/>
                      <w:sz w:val="21"/>
                      <w:szCs w:val="21"/>
                      <w:vertAlign w:val="baseline"/>
                      <w:lang w:val="en-US" w:eastAsia="zh-CN" w:bidi="ar-SA"/>
                    </w:rPr>
                  </w:pPr>
                </w:p>
              </w:tc>
              <w:tc>
                <w:tcPr>
                  <w:tcW w:w="1532" w:type="dxa"/>
                  <w:noWrap w:val="0"/>
                  <w:vAlign w:val="center"/>
                </w:tcPr>
                <w:p w14:paraId="6232C2E5">
                  <w:pPr>
                    <w:pStyle w:val="10"/>
                    <w:keepNext w:val="0"/>
                    <w:keepLines w:val="0"/>
                    <w:suppressLineNumbers w:val="0"/>
                    <w:spacing w:beforeAutospacing="0" w:afterAutospacing="0"/>
                    <w:ind w:lef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0.25</w:t>
                  </w:r>
                </w:p>
              </w:tc>
              <w:tc>
                <w:tcPr>
                  <w:tcW w:w="1532" w:type="dxa"/>
                  <w:vMerge w:val="continue"/>
                  <w:noWrap w:val="0"/>
                  <w:vAlign w:val="center"/>
                </w:tcPr>
                <w:p w14:paraId="789B767C">
                  <w:pPr>
                    <w:pStyle w:val="10"/>
                    <w:keepNext w:val="0"/>
                    <w:keepLines w:val="0"/>
                    <w:suppressLineNumbers w:val="0"/>
                    <w:spacing w:beforeAutospacing="0" w:afterAutospacing="0"/>
                    <w:ind w:left="0"/>
                    <w:jc w:val="center"/>
                    <w:rPr>
                      <w:rFonts w:hint="eastAsia" w:ascii="Times New Roman" w:hAnsi="Times New Roman" w:eastAsia="宋体" w:cs="Times New Roman"/>
                      <w:b w:val="0"/>
                      <w:bCs w:val="0"/>
                      <w:color w:val="auto"/>
                      <w:kern w:val="2"/>
                      <w:sz w:val="21"/>
                      <w:szCs w:val="21"/>
                      <w:vertAlign w:val="baseline"/>
                      <w:lang w:val="en-US" w:eastAsia="zh-CN" w:bidi="ar-SA"/>
                    </w:rPr>
                  </w:pPr>
                </w:p>
              </w:tc>
            </w:tr>
          </w:tbl>
          <w:p w14:paraId="349554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2"/>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环境风险评价工作等级</w:t>
            </w:r>
          </w:p>
          <w:p w14:paraId="5B55B254">
            <w:pPr>
              <w:pStyle w:val="10"/>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firstLine="482"/>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环境风险评价工作等级划分为一级、二级、三级。根据建设项目涉及的物质及工艺系统危险性和所在地的环境敏感性确定环境风险潜势，按照下表确定评价等级。</w:t>
            </w:r>
            <w:r>
              <w:rPr>
                <w:rFonts w:hint="default" w:ascii="Times New Roman" w:hAnsi="Times New Roman" w:eastAsia="宋体" w:cs="Times New Roman"/>
                <w:color w:val="auto"/>
                <w:sz w:val="24"/>
                <w:szCs w:val="24"/>
              </w:rPr>
              <w:t>根据《建设项目环境风险评价技术导则》（</w:t>
            </w:r>
            <w:r>
              <w:rPr>
                <w:rFonts w:hint="default" w:ascii="Times New Roman" w:hAnsi="Times New Roman" w:eastAsia="宋体" w:cs="Times New Roman"/>
                <w:color w:val="auto"/>
                <w:sz w:val="24"/>
                <w:szCs w:val="24"/>
                <w:lang w:eastAsia="zh-CN"/>
              </w:rPr>
              <w:t>HJ169-2018</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风险潜势为</w:t>
            </w:r>
            <w:r>
              <w:rPr>
                <w:rFonts w:hint="default" w:ascii="Times New Roman" w:hAnsi="Times New Roman" w:eastAsia="宋体" w:cs="Times New Roman"/>
                <w:color w:val="auto"/>
                <w:sz w:val="24"/>
                <w:szCs w:val="24"/>
              </w:rPr>
              <w:t>Ⅰ</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确定本项目风险评价</w:t>
            </w:r>
            <w:r>
              <w:rPr>
                <w:rFonts w:hint="default" w:ascii="Times New Roman" w:hAnsi="Times New Roman" w:eastAsia="宋体" w:cs="Times New Roman"/>
                <w:color w:val="auto"/>
                <w:sz w:val="24"/>
                <w:szCs w:val="24"/>
                <w:lang w:val="en-US" w:eastAsia="zh-CN"/>
              </w:rPr>
              <w:t>为简单分析。</w:t>
            </w:r>
          </w:p>
          <w:p w14:paraId="2BEEE3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本项目环境风险评价等级判定详见表</w:t>
            </w:r>
            <w:r>
              <w:rPr>
                <w:rFonts w:hint="eastAsia" w:ascii="Times New Roman" w:hAnsi="Times New Roman" w:eastAsia="宋体" w:cs="Times New Roman"/>
                <w:color w:val="auto"/>
                <w:sz w:val="24"/>
                <w:szCs w:val="24"/>
                <w:lang w:val="en-US" w:eastAsia="zh-CN"/>
              </w:rPr>
              <w:t>4-8</w:t>
            </w:r>
            <w:r>
              <w:rPr>
                <w:rFonts w:hint="default" w:ascii="Times New Roman" w:hAnsi="Times New Roman" w:eastAsia="宋体" w:cs="Times New Roman"/>
                <w:color w:val="auto"/>
                <w:sz w:val="24"/>
                <w:szCs w:val="24"/>
              </w:rPr>
              <w:t>。</w:t>
            </w:r>
          </w:p>
          <w:p w14:paraId="54AC22E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lang w:val="en-US" w:eastAsia="zh-CN"/>
              </w:rPr>
              <w:t xml:space="preserve">4-8 </w:t>
            </w:r>
            <w:r>
              <w:rPr>
                <w:rFonts w:hint="default" w:ascii="Times New Roman" w:hAnsi="Times New Roman" w:eastAsia="宋体" w:cs="Times New Roman"/>
                <w:b/>
                <w:bCs/>
                <w:color w:val="auto"/>
                <w:sz w:val="24"/>
                <w:szCs w:val="24"/>
              </w:rPr>
              <w:t>本项目环境风险评价等级判定表</w:t>
            </w:r>
          </w:p>
          <w:tbl>
            <w:tblPr>
              <w:tblStyle w:val="31"/>
              <w:tblW w:w="7697"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1484"/>
              <w:gridCol w:w="1363"/>
              <w:gridCol w:w="1743"/>
              <w:gridCol w:w="1531"/>
            </w:tblGrid>
            <w:tr w14:paraId="7937CE6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576" w:type="dxa"/>
                  <w:tcBorders>
                    <w:tl2br w:val="nil"/>
                    <w:tr2bl w:val="nil"/>
                  </w:tcBorders>
                  <w:noWrap w:val="0"/>
                  <w:vAlign w:val="center"/>
                </w:tcPr>
                <w:p w14:paraId="4289437B">
                  <w:pPr>
                    <w:pStyle w:val="10"/>
                    <w:keepNext w:val="0"/>
                    <w:keepLines w:val="0"/>
                    <w:widowControl w:val="0"/>
                    <w:suppressLineNumbers w:val="0"/>
                    <w:spacing w:beforeAutospacing="0" w:afterAutospacing="0"/>
                    <w:ind w:left="0" w:firstLine="0" w:firstLineChars="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环境风险潜势</w:t>
                  </w:r>
                </w:p>
              </w:tc>
              <w:tc>
                <w:tcPr>
                  <w:tcW w:w="1484" w:type="dxa"/>
                  <w:tcBorders>
                    <w:tl2br w:val="nil"/>
                    <w:tr2bl w:val="nil"/>
                  </w:tcBorders>
                  <w:noWrap w:val="0"/>
                  <w:vAlign w:val="center"/>
                </w:tcPr>
                <w:p w14:paraId="14952454">
                  <w:pPr>
                    <w:pStyle w:val="10"/>
                    <w:keepNext w:val="0"/>
                    <w:keepLines w:val="0"/>
                    <w:widowControl w:val="0"/>
                    <w:suppressLineNumbers w:val="0"/>
                    <w:spacing w:beforeAutospacing="0" w:afterAutospacing="0"/>
                    <w:ind w:left="0" w:firstLine="0" w:firstLineChars="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rPr>
                    <w:t>Ⅳ</w:t>
                  </w:r>
                  <w:r>
                    <w:rPr>
                      <w:rFonts w:hint="default" w:ascii="Times New Roman" w:hAnsi="Times New Roman" w:eastAsia="宋体" w:cs="Times New Roman"/>
                      <w:b/>
                      <w:bCs/>
                      <w:color w:val="auto"/>
                      <w:szCs w:val="21"/>
                      <w:lang w:eastAsia="zh-CN"/>
                    </w:rPr>
                    <w:t>、Ⅳ</w:t>
                  </w:r>
                  <w:r>
                    <w:rPr>
                      <w:rFonts w:hint="default" w:ascii="Times New Roman" w:hAnsi="Times New Roman" w:eastAsia="宋体" w:cs="Times New Roman"/>
                      <w:b/>
                      <w:bCs/>
                      <w:color w:val="auto"/>
                      <w:szCs w:val="21"/>
                      <w:vertAlign w:val="superscript"/>
                      <w:lang w:val="en-US" w:eastAsia="zh-CN"/>
                    </w:rPr>
                    <w:t>+</w:t>
                  </w:r>
                </w:p>
              </w:tc>
              <w:tc>
                <w:tcPr>
                  <w:tcW w:w="1363" w:type="dxa"/>
                  <w:tcBorders>
                    <w:tl2br w:val="nil"/>
                    <w:tr2bl w:val="nil"/>
                  </w:tcBorders>
                  <w:noWrap w:val="0"/>
                  <w:vAlign w:val="center"/>
                </w:tcPr>
                <w:p w14:paraId="1FB30AF2">
                  <w:pPr>
                    <w:pStyle w:val="10"/>
                    <w:keepNext w:val="0"/>
                    <w:keepLines w:val="0"/>
                    <w:widowControl w:val="0"/>
                    <w:suppressLineNumbers w:val="0"/>
                    <w:spacing w:beforeAutospacing="0" w:afterAutospacing="0"/>
                    <w:ind w:left="0" w:firstLine="0" w:firstLineChars="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Ⅲ</w:t>
                  </w:r>
                </w:p>
              </w:tc>
              <w:tc>
                <w:tcPr>
                  <w:tcW w:w="1743" w:type="dxa"/>
                  <w:tcBorders>
                    <w:tl2br w:val="nil"/>
                    <w:tr2bl w:val="nil"/>
                  </w:tcBorders>
                  <w:noWrap w:val="0"/>
                  <w:vAlign w:val="center"/>
                </w:tcPr>
                <w:p w14:paraId="7966DA34">
                  <w:pPr>
                    <w:pStyle w:val="10"/>
                    <w:keepNext w:val="0"/>
                    <w:keepLines w:val="0"/>
                    <w:widowControl w:val="0"/>
                    <w:suppressLineNumbers w:val="0"/>
                    <w:spacing w:beforeAutospacing="0" w:afterAutospacing="0"/>
                    <w:ind w:left="0" w:firstLine="0" w:firstLineChars="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Ⅱ</w:t>
                  </w:r>
                </w:p>
              </w:tc>
              <w:tc>
                <w:tcPr>
                  <w:tcW w:w="1531" w:type="dxa"/>
                  <w:tcBorders>
                    <w:tl2br w:val="nil"/>
                    <w:tr2bl w:val="nil"/>
                  </w:tcBorders>
                  <w:noWrap w:val="0"/>
                  <w:vAlign w:val="center"/>
                </w:tcPr>
                <w:p w14:paraId="7A98BE8C">
                  <w:pPr>
                    <w:pStyle w:val="10"/>
                    <w:keepNext w:val="0"/>
                    <w:keepLines w:val="0"/>
                    <w:widowControl w:val="0"/>
                    <w:suppressLineNumbers w:val="0"/>
                    <w:spacing w:beforeAutospacing="0" w:afterAutospacing="0"/>
                    <w:ind w:left="0" w:firstLine="0" w:firstLineChars="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Ⅰ</w:t>
                  </w:r>
                </w:p>
              </w:tc>
            </w:tr>
            <w:tr w14:paraId="52213B2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576" w:type="dxa"/>
                  <w:tcBorders>
                    <w:tl2br w:val="nil"/>
                    <w:tr2bl w:val="nil"/>
                  </w:tcBorders>
                  <w:noWrap w:val="0"/>
                  <w:vAlign w:val="center"/>
                </w:tcPr>
                <w:p w14:paraId="1F8825A5">
                  <w:pPr>
                    <w:pStyle w:val="10"/>
                    <w:keepNext w:val="0"/>
                    <w:keepLines w:val="0"/>
                    <w:widowControl w:val="0"/>
                    <w:suppressLineNumbers w:val="0"/>
                    <w:spacing w:beforeAutospacing="0" w:afterAutospacing="0"/>
                    <w:ind w:lef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评价工作等级</w:t>
                  </w:r>
                </w:p>
              </w:tc>
              <w:tc>
                <w:tcPr>
                  <w:tcW w:w="1484" w:type="dxa"/>
                  <w:tcBorders>
                    <w:tl2br w:val="nil"/>
                    <w:tr2bl w:val="nil"/>
                  </w:tcBorders>
                  <w:noWrap w:val="0"/>
                  <w:vAlign w:val="center"/>
                </w:tcPr>
                <w:p w14:paraId="2949BCC5">
                  <w:pPr>
                    <w:pStyle w:val="10"/>
                    <w:keepNext w:val="0"/>
                    <w:keepLines w:val="0"/>
                    <w:widowControl w:val="0"/>
                    <w:suppressLineNumbers w:val="0"/>
                    <w:spacing w:beforeAutospacing="0" w:afterAutospacing="0"/>
                    <w:ind w:lef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1363" w:type="dxa"/>
                  <w:tcBorders>
                    <w:tl2br w:val="nil"/>
                    <w:tr2bl w:val="nil"/>
                  </w:tcBorders>
                  <w:noWrap w:val="0"/>
                  <w:vAlign w:val="center"/>
                </w:tcPr>
                <w:p w14:paraId="07E64AC7">
                  <w:pPr>
                    <w:pStyle w:val="10"/>
                    <w:keepNext w:val="0"/>
                    <w:keepLines w:val="0"/>
                    <w:widowControl w:val="0"/>
                    <w:suppressLineNumbers w:val="0"/>
                    <w:spacing w:beforeAutospacing="0" w:afterAutospacing="0"/>
                    <w:ind w:lef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c>
                <w:tcPr>
                  <w:tcW w:w="1743" w:type="dxa"/>
                  <w:tcBorders>
                    <w:tl2br w:val="nil"/>
                    <w:tr2bl w:val="nil"/>
                  </w:tcBorders>
                  <w:noWrap w:val="0"/>
                  <w:vAlign w:val="center"/>
                </w:tcPr>
                <w:p w14:paraId="01451AC1">
                  <w:pPr>
                    <w:pStyle w:val="10"/>
                    <w:keepNext w:val="0"/>
                    <w:keepLines w:val="0"/>
                    <w:widowControl w:val="0"/>
                    <w:suppressLineNumbers w:val="0"/>
                    <w:spacing w:beforeAutospacing="0" w:afterAutospacing="0"/>
                    <w:ind w:lef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三</w:t>
                  </w:r>
                </w:p>
              </w:tc>
              <w:tc>
                <w:tcPr>
                  <w:tcW w:w="1531" w:type="dxa"/>
                  <w:tcBorders>
                    <w:tl2br w:val="nil"/>
                    <w:tr2bl w:val="nil"/>
                  </w:tcBorders>
                  <w:noWrap w:val="0"/>
                  <w:vAlign w:val="center"/>
                </w:tcPr>
                <w:p w14:paraId="30B6D914">
                  <w:pPr>
                    <w:pStyle w:val="10"/>
                    <w:keepNext w:val="0"/>
                    <w:keepLines w:val="0"/>
                    <w:widowControl w:val="0"/>
                    <w:suppressLineNumbers w:val="0"/>
                    <w:spacing w:beforeAutospacing="0" w:afterAutospacing="0"/>
                    <w:ind w:lef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简单分析</w:t>
                  </w:r>
                  <w:r>
                    <w:rPr>
                      <w:rFonts w:hint="default" w:ascii="Times New Roman" w:hAnsi="Times New Roman" w:eastAsia="宋体" w:cs="Times New Roman"/>
                      <w:color w:val="auto"/>
                      <w:sz w:val="21"/>
                      <w:szCs w:val="21"/>
                      <w:vertAlign w:val="superscript"/>
                      <w:lang w:val="en-US" w:eastAsia="zh-CN"/>
                    </w:rPr>
                    <w:t>a</w:t>
                  </w:r>
                </w:p>
              </w:tc>
            </w:tr>
            <w:tr w14:paraId="37E0E5C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576" w:type="dxa"/>
                  <w:tcBorders>
                    <w:tl2br w:val="nil"/>
                    <w:tr2bl w:val="nil"/>
                  </w:tcBorders>
                  <w:noWrap w:val="0"/>
                  <w:vAlign w:val="center"/>
                </w:tcPr>
                <w:p w14:paraId="70FB6594">
                  <w:pPr>
                    <w:pStyle w:val="10"/>
                    <w:keepNext w:val="0"/>
                    <w:keepLines w:val="0"/>
                    <w:widowControl w:val="0"/>
                    <w:suppressLineNumbers w:val="0"/>
                    <w:spacing w:beforeAutospacing="0" w:afterAutospacing="0"/>
                    <w:ind w:lef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本项目环境风险</w:t>
                  </w:r>
                </w:p>
              </w:tc>
              <w:tc>
                <w:tcPr>
                  <w:tcW w:w="6121" w:type="dxa"/>
                  <w:gridSpan w:val="4"/>
                  <w:tcBorders>
                    <w:tl2br w:val="nil"/>
                    <w:tr2bl w:val="nil"/>
                  </w:tcBorders>
                  <w:noWrap w:val="0"/>
                  <w:vAlign w:val="center"/>
                </w:tcPr>
                <w:p w14:paraId="00BE4644">
                  <w:pPr>
                    <w:pStyle w:val="10"/>
                    <w:keepNext w:val="0"/>
                    <w:keepLines w:val="0"/>
                    <w:widowControl w:val="0"/>
                    <w:suppressLineNumbers w:val="0"/>
                    <w:spacing w:beforeAutospacing="0" w:afterAutospacing="0"/>
                    <w:ind w:lef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简单分析</w:t>
                  </w:r>
                  <w:r>
                    <w:rPr>
                      <w:rFonts w:hint="default" w:ascii="Times New Roman" w:hAnsi="Times New Roman" w:eastAsia="宋体" w:cs="Times New Roman"/>
                      <w:color w:val="auto"/>
                      <w:sz w:val="21"/>
                      <w:szCs w:val="21"/>
                      <w:vertAlign w:val="superscript"/>
                      <w:lang w:val="en-US" w:eastAsia="zh-CN"/>
                    </w:rPr>
                    <w:t>a</w:t>
                  </w:r>
                </w:p>
              </w:tc>
            </w:tr>
          </w:tbl>
          <w:p w14:paraId="4E330F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2"/>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（4）风险影响分析</w:t>
            </w:r>
          </w:p>
          <w:p w14:paraId="7C7D3D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eastAsia" w:ascii="Times New Roman" w:hAnsi="宋体" w:cs="Times New Roman"/>
                <w:color w:val="auto"/>
                <w:sz w:val="24"/>
                <w:szCs w:val="24"/>
              </w:rPr>
            </w:pPr>
            <w:r>
              <w:rPr>
                <w:rFonts w:hint="eastAsia" w:ascii="Times New Roman" w:hAnsi="宋体" w:cs="Times New Roman"/>
                <w:color w:val="auto"/>
                <w:sz w:val="24"/>
                <w:szCs w:val="24"/>
                <w:lang w:val="en-US" w:eastAsia="zh-CN"/>
              </w:rPr>
              <w:t>本</w:t>
            </w:r>
            <w:r>
              <w:rPr>
                <w:rFonts w:hint="eastAsia" w:ascii="Times New Roman" w:hAnsi="宋体" w:cs="Times New Roman"/>
                <w:color w:val="auto"/>
                <w:sz w:val="24"/>
                <w:szCs w:val="24"/>
              </w:rPr>
              <w:t>项目</w:t>
            </w:r>
            <w:r>
              <w:rPr>
                <w:rFonts w:hint="eastAsia" w:ascii="Times New Roman" w:hAnsi="宋体" w:cs="Times New Roman"/>
                <w:color w:val="auto"/>
                <w:sz w:val="24"/>
                <w:szCs w:val="24"/>
                <w:lang w:val="en-US" w:eastAsia="zh-CN"/>
              </w:rPr>
              <w:t>勘探</w:t>
            </w:r>
            <w:r>
              <w:rPr>
                <w:rFonts w:hint="eastAsia" w:ascii="Times New Roman" w:hAnsi="宋体" w:cs="Times New Roman"/>
                <w:color w:val="auto"/>
                <w:sz w:val="24"/>
                <w:szCs w:val="24"/>
              </w:rPr>
              <w:t>期间</w:t>
            </w:r>
            <w:r>
              <w:rPr>
                <w:rFonts w:hint="eastAsia" w:ascii="Times New Roman" w:hAnsi="宋体" w:cs="Times New Roman"/>
                <w:color w:val="auto"/>
                <w:sz w:val="24"/>
                <w:szCs w:val="24"/>
                <w:lang w:val="en-US" w:eastAsia="zh-CN"/>
              </w:rPr>
              <w:t>不构成</w:t>
            </w:r>
            <w:r>
              <w:rPr>
                <w:rFonts w:hint="eastAsia" w:ascii="Times New Roman" w:hAnsi="宋体" w:cs="Times New Roman"/>
                <w:color w:val="auto"/>
                <w:sz w:val="24"/>
                <w:szCs w:val="24"/>
              </w:rPr>
              <w:t>重大危险源</w:t>
            </w:r>
            <w:r>
              <w:rPr>
                <w:rFonts w:hint="eastAsia" w:ascii="Times New Roman" w:hAnsi="宋体" w:cs="Times New Roman"/>
                <w:color w:val="auto"/>
                <w:sz w:val="24"/>
                <w:szCs w:val="24"/>
                <w:lang w:eastAsia="zh-CN"/>
              </w:rPr>
              <w:t>，</w:t>
            </w:r>
            <w:r>
              <w:rPr>
                <w:rFonts w:hint="eastAsia" w:ascii="Times New Roman" w:hAnsi="宋体" w:cs="Times New Roman"/>
                <w:color w:val="auto"/>
                <w:sz w:val="24"/>
                <w:szCs w:val="24"/>
              </w:rPr>
              <w:t>本项目在探矿过程中存在的环境风险主要为探矿诱发的</w:t>
            </w:r>
            <w:r>
              <w:rPr>
                <w:rFonts w:hint="eastAsia" w:ascii="Times New Roman" w:hAnsi="宋体" w:cs="Times New Roman"/>
                <w:color w:val="auto"/>
                <w:sz w:val="24"/>
                <w:szCs w:val="24"/>
                <w:lang w:val="en-US" w:eastAsia="zh-CN"/>
              </w:rPr>
              <w:t>地质</w:t>
            </w:r>
            <w:r>
              <w:rPr>
                <w:rFonts w:hint="eastAsia" w:ascii="Times New Roman" w:hAnsi="宋体" w:cs="Times New Roman"/>
                <w:color w:val="auto"/>
                <w:sz w:val="24"/>
                <w:szCs w:val="24"/>
              </w:rPr>
              <w:t>灾害、森林火灾风险。</w:t>
            </w:r>
          </w:p>
          <w:p w14:paraId="54CACAEF">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宋体" w:cs="Times New Roman"/>
                <w:color w:val="auto"/>
                <w:sz w:val="24"/>
                <w:szCs w:val="24"/>
              </w:rPr>
            </w:pPr>
            <w:r>
              <w:rPr>
                <w:rFonts w:hint="eastAsia" w:ascii="宋体" w:hAnsi="宋体" w:eastAsia="宋体" w:cs="宋体"/>
                <w:color w:val="auto"/>
                <w:sz w:val="24"/>
                <w:szCs w:val="24"/>
              </w:rPr>
              <w:t>①</w:t>
            </w:r>
            <w:r>
              <w:rPr>
                <w:rFonts w:hint="eastAsia" w:ascii="Times New Roman" w:hAnsi="宋体" w:cs="Times New Roman"/>
                <w:color w:val="auto"/>
                <w:sz w:val="24"/>
                <w:szCs w:val="24"/>
              </w:rPr>
              <w:t>环境</w:t>
            </w:r>
            <w:r>
              <w:rPr>
                <w:rFonts w:hint="eastAsia" w:ascii="Times New Roman" w:hAnsi="宋体" w:cs="Times New Roman"/>
                <w:color w:val="auto"/>
                <w:sz w:val="24"/>
                <w:szCs w:val="24"/>
                <w:lang w:val="en-US" w:eastAsia="zh-CN"/>
              </w:rPr>
              <w:t>地质</w:t>
            </w:r>
            <w:r>
              <w:rPr>
                <w:rFonts w:hint="eastAsia" w:ascii="Times New Roman" w:hAnsi="宋体" w:cs="Times New Roman"/>
                <w:color w:val="auto"/>
                <w:sz w:val="24"/>
                <w:szCs w:val="24"/>
              </w:rPr>
              <w:t>风险因素分析</w:t>
            </w:r>
          </w:p>
          <w:p w14:paraId="1C53F975">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宋体" w:cs="Times New Roman"/>
                <w:color w:val="auto"/>
                <w:sz w:val="24"/>
                <w:szCs w:val="24"/>
              </w:rPr>
            </w:pPr>
            <w:r>
              <w:rPr>
                <w:rFonts w:hint="eastAsia" w:ascii="Times New Roman" w:hAnsi="宋体" w:cs="Times New Roman"/>
                <w:color w:val="auto"/>
                <w:sz w:val="24"/>
                <w:szCs w:val="24"/>
              </w:rPr>
              <w:t>工程建设的弃渣、开挖形成的高陡边坡，如果处理不当或不处理，以及布置的区域选择不合适，都将造成水土流失，甚至造成崩塌、泥石流等山地灾害。</w:t>
            </w:r>
          </w:p>
          <w:p w14:paraId="3BFA595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②森林火灾风险因素分析</w:t>
            </w:r>
            <w:r>
              <w:rPr>
                <w:rFonts w:hint="eastAsia" w:ascii="宋体" w:hAnsi="宋体" w:eastAsia="宋体" w:cs="宋体"/>
                <w:color w:val="auto"/>
                <w:sz w:val="24"/>
                <w:szCs w:val="24"/>
              </w:rPr>
              <w:tab/>
            </w:r>
          </w:p>
          <w:p w14:paraId="7D4A79DF">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宋体" w:cs="Times New Roman"/>
                <w:color w:val="auto"/>
                <w:sz w:val="24"/>
                <w:szCs w:val="24"/>
              </w:rPr>
            </w:pPr>
            <w:r>
              <w:rPr>
                <w:rFonts w:hint="eastAsia" w:ascii="Times New Roman" w:hAnsi="宋体" w:cs="Times New Roman"/>
                <w:color w:val="auto"/>
                <w:sz w:val="24"/>
                <w:szCs w:val="24"/>
              </w:rPr>
              <w:t>本项目</w:t>
            </w:r>
            <w:r>
              <w:rPr>
                <w:rFonts w:hint="eastAsia" w:ascii="Times New Roman" w:hAnsi="宋体" w:cs="Times New Roman"/>
                <w:color w:val="auto"/>
                <w:sz w:val="24"/>
                <w:szCs w:val="24"/>
                <w:lang w:val="en-US" w:eastAsia="zh-CN"/>
              </w:rPr>
              <w:t>勘探区域</w:t>
            </w:r>
            <w:r>
              <w:rPr>
                <w:rFonts w:hint="eastAsia" w:ascii="Times New Roman" w:hAnsi="宋体" w:cs="Times New Roman"/>
                <w:color w:val="auto"/>
                <w:sz w:val="24"/>
                <w:szCs w:val="24"/>
              </w:rPr>
              <w:t>植被较好，主要为荒草、灌木</w:t>
            </w:r>
            <w:r>
              <w:rPr>
                <w:rFonts w:hint="eastAsia" w:ascii="Times New Roman" w:hAnsi="宋体" w:cs="Times New Roman"/>
                <w:color w:val="auto"/>
                <w:sz w:val="24"/>
                <w:szCs w:val="24"/>
                <w:lang w:val="en-US" w:eastAsia="zh-CN"/>
              </w:rPr>
              <w:t>林</w:t>
            </w:r>
            <w:r>
              <w:rPr>
                <w:rFonts w:hint="eastAsia" w:ascii="Times New Roman" w:hAnsi="宋体" w:cs="Times New Roman"/>
                <w:color w:val="auto"/>
                <w:sz w:val="24"/>
                <w:szCs w:val="24"/>
              </w:rPr>
              <w:t>，本项目</w:t>
            </w:r>
            <w:r>
              <w:rPr>
                <w:rFonts w:hint="eastAsia" w:ascii="Times New Roman" w:hAnsi="宋体" w:cs="Times New Roman"/>
                <w:color w:val="auto"/>
                <w:sz w:val="24"/>
                <w:szCs w:val="24"/>
                <w:lang w:val="en-US" w:eastAsia="zh-CN"/>
              </w:rPr>
              <w:t>勘探</w:t>
            </w:r>
            <w:r>
              <w:rPr>
                <w:rFonts w:hint="eastAsia" w:ascii="Times New Roman" w:hAnsi="宋体" w:cs="Times New Roman"/>
                <w:color w:val="auto"/>
                <w:sz w:val="24"/>
                <w:szCs w:val="24"/>
              </w:rPr>
              <w:t>期间，如果</w:t>
            </w:r>
            <w:r>
              <w:rPr>
                <w:rFonts w:hint="eastAsia" w:ascii="Times New Roman" w:hAnsi="宋体" w:cs="Times New Roman"/>
                <w:color w:val="auto"/>
                <w:sz w:val="24"/>
                <w:szCs w:val="24"/>
                <w:lang w:val="en-US" w:eastAsia="zh-CN"/>
              </w:rPr>
              <w:t>勘探</w:t>
            </w:r>
            <w:r>
              <w:rPr>
                <w:rFonts w:hint="eastAsia" w:ascii="Times New Roman" w:hAnsi="宋体" w:cs="Times New Roman"/>
                <w:color w:val="auto"/>
                <w:sz w:val="24"/>
                <w:szCs w:val="24"/>
              </w:rPr>
              <w:t>工作人员用火不当，有可能引发森林火灾，将会对周围的生态环境造成严重的灾害。</w:t>
            </w:r>
          </w:p>
          <w:p w14:paraId="3DFB727D">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宋体" w:cs="Times New Roman"/>
                <w:color w:val="auto"/>
                <w:sz w:val="24"/>
                <w:szCs w:val="24"/>
              </w:rPr>
            </w:pPr>
            <w:r>
              <w:rPr>
                <w:rFonts w:hint="eastAsia" w:ascii="宋体" w:hAnsi="宋体" w:eastAsia="宋体" w:cs="宋体"/>
                <w:color w:val="auto"/>
                <w:sz w:val="24"/>
                <w:szCs w:val="24"/>
              </w:rPr>
              <w:t>③</w:t>
            </w:r>
            <w:r>
              <w:rPr>
                <w:rFonts w:hint="eastAsia" w:ascii="Times New Roman" w:hAnsi="宋体" w:cs="Times New Roman"/>
                <w:color w:val="auto"/>
                <w:sz w:val="24"/>
                <w:szCs w:val="24"/>
              </w:rPr>
              <w:t>储存柴油</w:t>
            </w:r>
            <w:r>
              <w:rPr>
                <w:rFonts w:hint="eastAsia" w:ascii="Times New Roman" w:hAnsi="宋体" w:cs="Times New Roman"/>
                <w:color w:val="auto"/>
                <w:sz w:val="24"/>
                <w:szCs w:val="24"/>
                <w:lang w:eastAsia="zh-CN"/>
              </w:rPr>
              <w:t>、</w:t>
            </w:r>
            <w:r>
              <w:rPr>
                <w:rFonts w:hint="eastAsia" w:ascii="Times New Roman" w:hAnsi="宋体" w:cs="Times New Roman"/>
                <w:color w:val="auto"/>
                <w:sz w:val="24"/>
                <w:szCs w:val="24"/>
                <w:lang w:val="en-US" w:eastAsia="zh-CN"/>
              </w:rPr>
              <w:t>润滑油等的</w:t>
            </w:r>
            <w:r>
              <w:rPr>
                <w:rFonts w:hint="eastAsia" w:ascii="Times New Roman" w:hAnsi="宋体" w:cs="Times New Roman"/>
                <w:color w:val="auto"/>
                <w:sz w:val="24"/>
                <w:szCs w:val="24"/>
              </w:rPr>
              <w:t>容器发生倾倒泄漏风险分析</w:t>
            </w:r>
          </w:p>
          <w:p w14:paraId="256FDC19">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宋体" w:cs="Times New Roman"/>
                <w:color w:val="auto"/>
                <w:sz w:val="24"/>
                <w:szCs w:val="24"/>
              </w:rPr>
            </w:pPr>
            <w:r>
              <w:rPr>
                <w:rFonts w:hint="eastAsia" w:ascii="Times New Roman" w:hAnsi="宋体" w:cs="Times New Roman"/>
                <w:color w:val="auto"/>
                <w:sz w:val="24"/>
                <w:szCs w:val="24"/>
              </w:rPr>
              <w:t>本项目</w:t>
            </w:r>
            <w:r>
              <w:rPr>
                <w:rFonts w:hint="eastAsia" w:ascii="Times New Roman" w:hAnsi="宋体" w:cs="Times New Roman"/>
                <w:color w:val="auto"/>
                <w:sz w:val="24"/>
                <w:szCs w:val="24"/>
                <w:lang w:val="en-US" w:eastAsia="zh-CN"/>
              </w:rPr>
              <w:t>勘探</w:t>
            </w:r>
            <w:r>
              <w:rPr>
                <w:rFonts w:hint="eastAsia" w:ascii="Times New Roman" w:hAnsi="宋体" w:cs="Times New Roman"/>
                <w:color w:val="auto"/>
                <w:sz w:val="24"/>
                <w:szCs w:val="24"/>
              </w:rPr>
              <w:t>期间，</w:t>
            </w:r>
            <w:r>
              <w:rPr>
                <w:rFonts w:hint="eastAsia" w:ascii="Times New Roman" w:hAnsi="宋体" w:cs="Times New Roman"/>
                <w:color w:val="auto"/>
                <w:sz w:val="24"/>
                <w:szCs w:val="24"/>
                <w:lang w:val="en-US" w:eastAsia="zh-CN"/>
              </w:rPr>
              <w:t>矿区不大量的进行柴油、润滑油的储存，仅存放当日所需的用量，若探矿人员</w:t>
            </w:r>
            <w:r>
              <w:rPr>
                <w:rFonts w:hint="eastAsia" w:ascii="Times New Roman" w:hAnsi="宋体" w:cs="Times New Roman"/>
                <w:color w:val="auto"/>
                <w:sz w:val="24"/>
                <w:szCs w:val="24"/>
              </w:rPr>
              <w:t>给设备加油后，忘记将</w:t>
            </w:r>
            <w:r>
              <w:rPr>
                <w:rFonts w:hint="eastAsia" w:ascii="Times New Roman" w:hAnsi="宋体" w:cs="Times New Roman"/>
                <w:color w:val="auto"/>
                <w:sz w:val="24"/>
                <w:szCs w:val="24"/>
                <w:lang w:val="en-US" w:eastAsia="zh-CN"/>
              </w:rPr>
              <w:t>储存</w:t>
            </w:r>
            <w:r>
              <w:rPr>
                <w:rFonts w:hint="eastAsia" w:ascii="Times New Roman" w:hAnsi="宋体" w:cs="Times New Roman"/>
                <w:color w:val="auto"/>
                <w:sz w:val="24"/>
                <w:szCs w:val="24"/>
              </w:rPr>
              <w:t>容器密封，被碰倒后，</w:t>
            </w:r>
            <w:r>
              <w:rPr>
                <w:rFonts w:hint="eastAsia" w:ascii="Times New Roman" w:hAnsi="宋体" w:cs="Times New Roman"/>
                <w:color w:val="auto"/>
                <w:sz w:val="24"/>
                <w:szCs w:val="24"/>
                <w:lang w:val="en-US" w:eastAsia="zh-CN"/>
              </w:rPr>
              <w:t>油类</w:t>
            </w:r>
            <w:r>
              <w:rPr>
                <w:rFonts w:hint="eastAsia" w:ascii="Times New Roman" w:hAnsi="宋体" w:cs="Times New Roman"/>
                <w:color w:val="auto"/>
                <w:sz w:val="24"/>
                <w:szCs w:val="24"/>
              </w:rPr>
              <w:t>会泄漏，皮肤接触柴油可引起接触性皮炎、油性座疮；泄漏后将会对周围的生态环境造成危害。</w:t>
            </w:r>
          </w:p>
          <w:p w14:paraId="693A330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Times New Roman"/>
                <w:color w:val="auto"/>
                <w:sz w:val="24"/>
                <w:szCs w:val="21"/>
                <w:lang w:val="en-US" w:eastAsia="zh-CN"/>
              </w:rPr>
            </w:pPr>
            <w:r>
              <w:rPr>
                <w:rFonts w:hint="eastAsia" w:ascii="宋体" w:hAnsi="宋体" w:eastAsia="宋体" w:cs="宋体"/>
                <w:color w:val="auto"/>
                <w:sz w:val="24"/>
                <w:szCs w:val="24"/>
              </w:rPr>
              <w:t>④</w:t>
            </w:r>
            <w:r>
              <w:rPr>
                <w:rFonts w:hint="eastAsia" w:ascii="宋体" w:hAnsi="宋体" w:eastAsia="宋体" w:cs="Times New Roman"/>
                <w:color w:val="auto"/>
                <w:sz w:val="24"/>
                <w:szCs w:val="21"/>
                <w:lang w:val="en-US" w:eastAsia="zh-CN"/>
              </w:rPr>
              <w:t>废机油泄漏风险事故</w:t>
            </w:r>
          </w:p>
          <w:p w14:paraId="4C4D112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Times New Roman"/>
                <w:color w:val="auto"/>
                <w:sz w:val="24"/>
                <w:szCs w:val="21"/>
              </w:rPr>
            </w:pPr>
            <w:r>
              <w:rPr>
                <w:rFonts w:hint="default" w:ascii="宋体" w:hAnsi="宋体" w:eastAsia="宋体" w:cs="Times New Roman"/>
                <w:color w:val="auto"/>
                <w:sz w:val="24"/>
                <w:szCs w:val="21"/>
              </w:rPr>
              <w:t>项目</w:t>
            </w:r>
            <w:r>
              <w:rPr>
                <w:rFonts w:hint="eastAsia" w:ascii="宋体" w:hAnsi="宋体" w:eastAsia="宋体" w:cs="Times New Roman"/>
                <w:color w:val="auto"/>
                <w:sz w:val="24"/>
                <w:szCs w:val="21"/>
                <w:lang w:val="en-US" w:eastAsia="zh-CN"/>
              </w:rPr>
              <w:t>设置1间危险废物暂存间对废机油进行暂存，采用油桶储存</w:t>
            </w:r>
            <w:r>
              <w:rPr>
                <w:rFonts w:hint="eastAsia" w:ascii="宋体" w:hAnsi="宋体" w:eastAsia="宋体" w:cs="Times New Roman"/>
                <w:color w:val="auto"/>
                <w:sz w:val="24"/>
                <w:szCs w:val="21"/>
                <w:lang w:eastAsia="zh-CN"/>
              </w:rPr>
              <w:t>，</w:t>
            </w:r>
            <w:r>
              <w:rPr>
                <w:rFonts w:hint="default" w:ascii="宋体" w:hAnsi="宋体" w:eastAsia="宋体" w:cs="Times New Roman"/>
                <w:color w:val="auto"/>
                <w:sz w:val="24"/>
                <w:szCs w:val="21"/>
              </w:rPr>
              <w:t>在储存过程存在一定风险，主要表现在：</w:t>
            </w:r>
            <w:r>
              <w:rPr>
                <w:rFonts w:hint="default" w:ascii="宋体" w:hAnsi="宋体" w:eastAsia="宋体" w:cs="Times New Roman"/>
                <w:color w:val="auto"/>
                <w:sz w:val="24"/>
                <w:szCs w:val="21"/>
              </w:rPr>
              <w:fldChar w:fldCharType="begin"/>
            </w:r>
            <w:r>
              <w:rPr>
                <w:rFonts w:hint="default" w:ascii="宋体" w:hAnsi="宋体" w:eastAsia="宋体" w:cs="Times New Roman"/>
                <w:color w:val="auto"/>
                <w:sz w:val="24"/>
                <w:szCs w:val="21"/>
              </w:rPr>
              <w:instrText xml:space="preserve"> = 1 \* GB3 \* MERGEFORMAT </w:instrText>
            </w:r>
            <w:r>
              <w:rPr>
                <w:rFonts w:hint="default" w:ascii="宋体" w:hAnsi="宋体" w:eastAsia="宋体" w:cs="Times New Roman"/>
                <w:color w:val="auto"/>
                <w:sz w:val="24"/>
                <w:szCs w:val="21"/>
              </w:rPr>
              <w:fldChar w:fldCharType="separate"/>
            </w:r>
            <w:r>
              <w:rPr>
                <w:rFonts w:hint="default" w:ascii="宋体" w:hAnsi="宋体" w:eastAsia="宋体" w:cs="Times New Roman"/>
                <w:color w:val="auto"/>
                <w:sz w:val="24"/>
                <w:szCs w:val="21"/>
              </w:rPr>
              <w:t>①</w:t>
            </w:r>
            <w:r>
              <w:rPr>
                <w:rFonts w:hint="default" w:ascii="宋体" w:hAnsi="宋体" w:eastAsia="宋体" w:cs="Times New Roman"/>
                <w:color w:val="auto"/>
                <w:sz w:val="24"/>
                <w:szCs w:val="21"/>
              </w:rPr>
              <w:fldChar w:fldCharType="end"/>
            </w:r>
            <w:r>
              <w:rPr>
                <w:rFonts w:hint="default" w:ascii="宋体" w:hAnsi="宋体" w:eastAsia="宋体" w:cs="Times New Roman"/>
                <w:color w:val="auto"/>
                <w:sz w:val="24"/>
                <w:szCs w:val="21"/>
              </w:rPr>
              <w:t>项目在</w:t>
            </w:r>
            <w:r>
              <w:rPr>
                <w:rFonts w:hint="eastAsia" w:ascii="宋体" w:hAnsi="宋体" w:eastAsia="宋体" w:cs="Times New Roman"/>
                <w:color w:val="auto"/>
                <w:sz w:val="24"/>
                <w:szCs w:val="21"/>
                <w:lang w:val="en-US" w:eastAsia="zh-CN"/>
              </w:rPr>
              <w:t>废机油在储存过程中</w:t>
            </w:r>
            <w:r>
              <w:rPr>
                <w:rFonts w:hint="default" w:ascii="宋体" w:hAnsi="宋体" w:eastAsia="宋体" w:cs="Times New Roman"/>
                <w:color w:val="auto"/>
                <w:sz w:val="24"/>
                <w:szCs w:val="21"/>
              </w:rPr>
              <w:t>由于不可预见的原因，可能造成油品</w:t>
            </w:r>
            <w:r>
              <w:rPr>
                <w:rFonts w:hint="eastAsia" w:ascii="宋体" w:hAnsi="宋体" w:eastAsia="宋体" w:cs="Times New Roman"/>
                <w:color w:val="auto"/>
                <w:sz w:val="24"/>
                <w:szCs w:val="21"/>
                <w:lang w:eastAsia="zh-CN"/>
              </w:rPr>
              <w:t>泄漏</w:t>
            </w:r>
            <w:r>
              <w:rPr>
                <w:rFonts w:hint="default" w:ascii="宋体" w:hAnsi="宋体" w:eastAsia="宋体" w:cs="Times New Roman"/>
                <w:color w:val="auto"/>
                <w:sz w:val="24"/>
                <w:szCs w:val="21"/>
              </w:rPr>
              <w:t>事故，导致石油类污染物污染所在区域地表水、土壤以及地下水环境；</w:t>
            </w:r>
            <w:r>
              <w:rPr>
                <w:rFonts w:hint="default" w:ascii="宋体" w:hAnsi="宋体" w:eastAsia="宋体" w:cs="Times New Roman"/>
                <w:color w:val="auto"/>
                <w:sz w:val="24"/>
                <w:szCs w:val="21"/>
              </w:rPr>
              <w:fldChar w:fldCharType="begin"/>
            </w:r>
            <w:r>
              <w:rPr>
                <w:rFonts w:hint="default" w:ascii="宋体" w:hAnsi="宋体" w:eastAsia="宋体" w:cs="Times New Roman"/>
                <w:color w:val="auto"/>
                <w:sz w:val="24"/>
                <w:szCs w:val="21"/>
              </w:rPr>
              <w:instrText xml:space="preserve"> = 2 \* GB3 \* MERGEFORMAT </w:instrText>
            </w:r>
            <w:r>
              <w:rPr>
                <w:rFonts w:hint="default" w:ascii="宋体" w:hAnsi="宋体" w:eastAsia="宋体" w:cs="Times New Roman"/>
                <w:color w:val="auto"/>
                <w:sz w:val="24"/>
                <w:szCs w:val="21"/>
              </w:rPr>
              <w:fldChar w:fldCharType="separate"/>
            </w:r>
            <w:r>
              <w:rPr>
                <w:rFonts w:hint="default" w:ascii="宋体" w:hAnsi="宋体" w:eastAsia="宋体" w:cs="Times New Roman"/>
                <w:color w:val="auto"/>
                <w:sz w:val="24"/>
                <w:szCs w:val="21"/>
              </w:rPr>
              <w:t>②</w:t>
            </w:r>
            <w:r>
              <w:rPr>
                <w:rFonts w:hint="default" w:ascii="宋体" w:hAnsi="宋体" w:eastAsia="宋体" w:cs="Times New Roman"/>
                <w:color w:val="auto"/>
                <w:sz w:val="24"/>
                <w:szCs w:val="21"/>
              </w:rPr>
              <w:fldChar w:fldCharType="end"/>
            </w:r>
            <w:r>
              <w:rPr>
                <w:rFonts w:hint="default" w:ascii="宋体" w:hAnsi="宋体" w:eastAsia="宋体" w:cs="Times New Roman"/>
                <w:color w:val="auto"/>
                <w:sz w:val="24"/>
                <w:szCs w:val="21"/>
              </w:rPr>
              <w:t>还会有爆炸事故发生的可能性。由于</w:t>
            </w:r>
            <w:r>
              <w:rPr>
                <w:rFonts w:hint="eastAsia" w:ascii="宋体" w:hAnsi="宋体" w:eastAsia="宋体" w:cs="Times New Roman"/>
                <w:color w:val="auto"/>
                <w:sz w:val="24"/>
                <w:szCs w:val="21"/>
                <w:lang w:val="en-US" w:eastAsia="zh-CN"/>
              </w:rPr>
              <w:t>废机油</w:t>
            </w:r>
            <w:r>
              <w:rPr>
                <w:rFonts w:hint="default" w:ascii="宋体" w:hAnsi="宋体" w:eastAsia="宋体" w:cs="Times New Roman"/>
                <w:color w:val="auto"/>
                <w:sz w:val="24"/>
                <w:szCs w:val="21"/>
              </w:rPr>
              <w:t>属于易燃、易爆物质，泄漏到空气中遇明火、高热易燃烧爆炸。火灾爆炸事故对环境的影响较为严重。</w:t>
            </w:r>
          </w:p>
          <w:p w14:paraId="6C1592F3">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宋体" w:cs="Times New Roman"/>
                <w:color w:val="auto"/>
                <w:sz w:val="24"/>
                <w:szCs w:val="24"/>
              </w:rPr>
            </w:pPr>
            <w:r>
              <w:rPr>
                <w:rFonts w:hint="eastAsia" w:ascii="仿宋" w:hAnsi="仿宋" w:eastAsia="仿宋" w:cs="仿宋"/>
                <w:color w:val="auto"/>
                <w:sz w:val="24"/>
                <w:szCs w:val="24"/>
                <w:lang w:eastAsia="zh-CN"/>
              </w:rPr>
              <w:t>⑤</w:t>
            </w:r>
            <w:r>
              <w:rPr>
                <w:rFonts w:hint="eastAsia" w:ascii="Times New Roman" w:hAnsi="宋体" w:cs="Times New Roman"/>
                <w:color w:val="auto"/>
                <w:sz w:val="24"/>
                <w:szCs w:val="24"/>
              </w:rPr>
              <w:t>钻孔涌水时风险分析</w:t>
            </w:r>
          </w:p>
          <w:p w14:paraId="7C3C4118">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宋体" w:cs="Times New Roman"/>
                <w:color w:val="auto"/>
                <w:sz w:val="24"/>
                <w:szCs w:val="24"/>
              </w:rPr>
            </w:pPr>
            <w:r>
              <w:rPr>
                <w:rFonts w:hint="eastAsia" w:ascii="Times New Roman" w:hAnsi="宋体" w:cs="Times New Roman"/>
                <w:color w:val="auto"/>
                <w:sz w:val="24"/>
                <w:szCs w:val="24"/>
              </w:rPr>
              <w:t>钻探时，由于对钻探地点地层不清楚，若钻探到地下含水层时，钻孔出现涌水时，将会对地下水资源以及地表环境有一定的影响。</w:t>
            </w:r>
          </w:p>
          <w:p w14:paraId="42650ECD">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宋体" w:cs="Times New Roman"/>
                <w:b w:val="0"/>
                <w:bCs/>
                <w:color w:val="auto"/>
                <w:sz w:val="24"/>
                <w:szCs w:val="24"/>
              </w:rPr>
            </w:pPr>
            <w:r>
              <w:rPr>
                <w:rFonts w:hint="eastAsia" w:ascii="Times New Roman" w:hAnsi="宋体" w:cs="Times New Roman"/>
                <w:b w:val="0"/>
                <w:bCs/>
                <w:color w:val="auto"/>
                <w:sz w:val="24"/>
                <w:szCs w:val="24"/>
                <w:lang w:val="en-US" w:eastAsia="zh-CN"/>
              </w:rPr>
              <w:t>（5）</w:t>
            </w:r>
            <w:r>
              <w:rPr>
                <w:rFonts w:hint="eastAsia" w:ascii="Times New Roman" w:hAnsi="宋体" w:cs="Times New Roman"/>
                <w:b w:val="0"/>
                <w:bCs/>
                <w:color w:val="auto"/>
                <w:sz w:val="24"/>
                <w:szCs w:val="24"/>
              </w:rPr>
              <w:t>环境风险防范对策</w:t>
            </w:r>
          </w:p>
          <w:p w14:paraId="3A4EA021">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宋体" w:cs="Times New Roman"/>
                <w:color w:val="auto"/>
                <w:sz w:val="24"/>
                <w:szCs w:val="24"/>
              </w:rPr>
            </w:pPr>
            <w:r>
              <w:rPr>
                <w:rFonts w:hint="eastAsia" w:ascii="宋体" w:hAnsi="宋体" w:eastAsia="宋体" w:cs="宋体"/>
                <w:color w:val="auto"/>
                <w:sz w:val="24"/>
                <w:szCs w:val="24"/>
              </w:rPr>
              <w:t>①</w:t>
            </w:r>
            <w:r>
              <w:rPr>
                <w:rFonts w:hint="eastAsia" w:ascii="Times New Roman" w:hAnsi="宋体" w:cs="Times New Roman"/>
                <w:color w:val="auto"/>
                <w:sz w:val="24"/>
                <w:szCs w:val="24"/>
              </w:rPr>
              <w:t>地质灾害风险防范对策</w:t>
            </w:r>
          </w:p>
          <w:p w14:paraId="6F1545A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宋体" w:cs="Times New Roman"/>
                <w:color w:val="auto"/>
                <w:sz w:val="24"/>
                <w:szCs w:val="24"/>
              </w:rPr>
            </w:pPr>
            <w:r>
              <w:rPr>
                <w:rFonts w:hint="eastAsia" w:ascii="Times New Roman" w:hAnsi="宋体" w:cs="Times New Roman"/>
                <w:color w:val="auto"/>
                <w:sz w:val="24"/>
                <w:szCs w:val="24"/>
              </w:rPr>
              <w:t>在主体工程设计时，通过对可能危及工程施工安全和工程自身安全的不稳定边坡采取有效工程防护措施，开挖面设置支护和排水设施、施工生产设施布置，临时</w:t>
            </w:r>
            <w:r>
              <w:rPr>
                <w:rFonts w:hint="eastAsia" w:ascii="Times New Roman" w:hAnsi="宋体" w:cs="Times New Roman"/>
                <w:color w:val="auto"/>
                <w:sz w:val="24"/>
                <w:szCs w:val="24"/>
                <w:lang w:val="en-US" w:eastAsia="zh-CN"/>
              </w:rPr>
              <w:t>堆土</w:t>
            </w:r>
            <w:r>
              <w:rPr>
                <w:rFonts w:hint="eastAsia" w:ascii="Times New Roman" w:hAnsi="宋体" w:cs="Times New Roman"/>
                <w:color w:val="auto"/>
                <w:sz w:val="24"/>
                <w:szCs w:val="24"/>
              </w:rPr>
              <w:t>场位置的选择等均采用科学施工方法、作业程序化和优化设置，要满足主体工程的施工要求和保证施工安全。</w:t>
            </w:r>
          </w:p>
          <w:p w14:paraId="620D18C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eastAsia" w:ascii="Times New Roman" w:hAnsi="宋体" w:cs="Times New Roman"/>
                <w:color w:val="auto"/>
                <w:sz w:val="24"/>
                <w:szCs w:val="24"/>
              </w:rPr>
              <w:t>矿区环境地址条件属于简单类型，钻探不易诱发地质灾害。但必须充分注意各方面的地质问题，并结合区域地形地貌条件，施工中及时采取边坡防护、合理规划钻探路线、根据施工方案合理进行开挖，减少对地表的破坏等</w:t>
            </w:r>
            <w:r>
              <w:rPr>
                <w:rFonts w:hint="default" w:ascii="Times New Roman" w:hAnsi="Times New Roman" w:cs="Times New Roman"/>
                <w:color w:val="auto"/>
                <w:sz w:val="24"/>
                <w:szCs w:val="24"/>
              </w:rPr>
              <w:t>处理措施后，探矿时造成地质灾害的可能性较小。</w:t>
            </w:r>
          </w:p>
          <w:p w14:paraId="5414E2F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eastAsia="微软雅黑" w:cs="Times New Roman"/>
                <w:color w:val="auto"/>
                <w:sz w:val="24"/>
                <w:szCs w:val="24"/>
              </w:rPr>
              <w:t>②</w:t>
            </w:r>
            <w:r>
              <w:rPr>
                <w:rFonts w:hint="default" w:ascii="Times New Roman" w:hAnsi="Times New Roman" w:cs="Times New Roman"/>
                <w:color w:val="auto"/>
                <w:sz w:val="24"/>
                <w:szCs w:val="24"/>
              </w:rPr>
              <w:t>森林火灾风险防范对策</w:t>
            </w:r>
          </w:p>
          <w:p w14:paraId="7EA0B4D2">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cs="宋体"/>
                <w:color w:val="auto"/>
                <w:kern w:val="0"/>
                <w:sz w:val="24"/>
                <w:lang w:bidi="ar"/>
              </w:rPr>
            </w:pPr>
            <w:r>
              <w:rPr>
                <w:rFonts w:hint="default" w:ascii="Times New Roman" w:hAnsi="Times New Roman" w:cs="Times New Roman"/>
                <w:color w:val="auto"/>
                <w:sz w:val="24"/>
                <w:szCs w:val="24"/>
              </w:rPr>
              <w:t>加强</w:t>
            </w:r>
            <w:r>
              <w:rPr>
                <w:rFonts w:hint="default" w:ascii="Times New Roman" w:hAnsi="Times New Roman" w:cs="Times New Roman"/>
                <w:color w:val="auto"/>
                <w:sz w:val="24"/>
                <w:szCs w:val="24"/>
                <w:lang w:val="en-US" w:eastAsia="zh-CN"/>
              </w:rPr>
              <w:t>勘探</w:t>
            </w:r>
            <w:r>
              <w:rPr>
                <w:rFonts w:hint="eastAsia" w:ascii="Times New Roman" w:hAnsi="宋体" w:cs="Times New Roman"/>
                <w:color w:val="auto"/>
                <w:sz w:val="24"/>
                <w:szCs w:val="24"/>
              </w:rPr>
              <w:t>人员的安全用火知识教育和管理，严格制定动火制度，严禁野外取火。配备灭火器等防火设施。</w:t>
            </w:r>
            <w:r>
              <w:rPr>
                <w:rFonts w:hint="eastAsia" w:ascii="宋体" w:hAnsi="宋体" w:cs="宋体"/>
                <w:color w:val="auto"/>
                <w:kern w:val="0"/>
                <w:sz w:val="24"/>
                <w:lang w:bidi="ar"/>
              </w:rPr>
              <w:t>临时柴油</w:t>
            </w:r>
            <w:r>
              <w:rPr>
                <w:rFonts w:hint="eastAsia" w:ascii="宋体" w:hAnsi="宋体" w:cs="宋体"/>
                <w:color w:val="auto"/>
                <w:kern w:val="0"/>
                <w:sz w:val="24"/>
                <w:lang w:eastAsia="zh-CN" w:bidi="ar"/>
              </w:rPr>
              <w:t>、</w:t>
            </w:r>
            <w:r>
              <w:rPr>
                <w:rFonts w:hint="eastAsia" w:ascii="宋体" w:hAnsi="宋体" w:cs="宋体"/>
                <w:color w:val="auto"/>
                <w:kern w:val="0"/>
                <w:sz w:val="24"/>
                <w:lang w:val="en-US" w:eastAsia="zh-CN" w:bidi="ar"/>
              </w:rPr>
              <w:t>润滑油等储存容器</w:t>
            </w:r>
            <w:r>
              <w:rPr>
                <w:rFonts w:hint="eastAsia" w:ascii="宋体" w:hAnsi="宋体" w:cs="宋体"/>
                <w:color w:val="auto"/>
                <w:kern w:val="0"/>
                <w:sz w:val="24"/>
                <w:lang w:bidi="ar"/>
              </w:rPr>
              <w:t>远离高温热源</w:t>
            </w:r>
            <w:r>
              <w:rPr>
                <w:rFonts w:hint="eastAsia" w:ascii="宋体" w:hAnsi="宋体" w:cs="宋体"/>
                <w:color w:val="auto"/>
                <w:kern w:val="0"/>
                <w:sz w:val="24"/>
                <w:lang w:eastAsia="zh-CN" w:bidi="ar"/>
              </w:rPr>
              <w:t>、</w:t>
            </w:r>
            <w:r>
              <w:rPr>
                <w:rFonts w:hint="eastAsia" w:ascii="宋体" w:hAnsi="宋体" w:cs="宋体"/>
                <w:color w:val="auto"/>
                <w:kern w:val="0"/>
                <w:sz w:val="24"/>
                <w:lang w:val="en-US" w:eastAsia="zh-CN" w:bidi="ar"/>
              </w:rPr>
              <w:t>火源、</w:t>
            </w:r>
            <w:r>
              <w:rPr>
                <w:rFonts w:hint="eastAsia" w:ascii="宋体" w:hAnsi="宋体" w:cs="宋体"/>
                <w:color w:val="auto"/>
                <w:kern w:val="0"/>
                <w:sz w:val="24"/>
                <w:lang w:bidi="ar"/>
              </w:rPr>
              <w:t>禁止暴晒。</w:t>
            </w:r>
          </w:p>
          <w:p w14:paraId="3AEB24E1">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宋体" w:cs="Times New Roman"/>
                <w:color w:val="auto"/>
                <w:sz w:val="24"/>
                <w:szCs w:val="24"/>
              </w:rPr>
            </w:pPr>
            <w:r>
              <w:rPr>
                <w:rFonts w:hint="eastAsia" w:ascii="宋体" w:hAnsi="宋体" w:eastAsia="宋体" w:cs="宋体"/>
                <w:color w:val="auto"/>
                <w:sz w:val="24"/>
                <w:szCs w:val="24"/>
              </w:rPr>
              <w:t>③</w:t>
            </w:r>
            <w:r>
              <w:rPr>
                <w:rFonts w:hint="eastAsia" w:ascii="Times New Roman" w:hAnsi="宋体" w:cs="Times New Roman"/>
                <w:color w:val="auto"/>
                <w:sz w:val="24"/>
                <w:szCs w:val="24"/>
              </w:rPr>
              <w:t>储存柴油容器发生倾倒泄漏防范措施</w:t>
            </w:r>
          </w:p>
          <w:p w14:paraId="7287CA03">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宋体" w:cs="Times New Roman"/>
                <w:color w:val="auto"/>
                <w:sz w:val="24"/>
                <w:szCs w:val="24"/>
              </w:rPr>
            </w:pPr>
            <w:r>
              <w:rPr>
                <w:rFonts w:hint="eastAsia" w:ascii="Times New Roman" w:hAnsi="宋体" w:cs="Times New Roman"/>
                <w:color w:val="auto"/>
                <w:sz w:val="24"/>
                <w:szCs w:val="24"/>
              </w:rPr>
              <w:t>本项目探矿期间，柴油采用桶装贮存（</w:t>
            </w:r>
            <w:r>
              <w:rPr>
                <w:rFonts w:hint="eastAsia" w:ascii="Times New Roman" w:hAnsi="宋体" w:cs="Times New Roman"/>
                <w:color w:val="auto"/>
                <w:sz w:val="24"/>
                <w:szCs w:val="24"/>
                <w:lang w:val="en-US" w:eastAsia="zh-CN"/>
              </w:rPr>
              <w:t>20</w:t>
            </w:r>
            <w:r>
              <w:rPr>
                <w:rFonts w:hint="eastAsia" w:ascii="Times New Roman" w:hAnsi="宋体" w:cs="Times New Roman"/>
                <w:color w:val="auto"/>
                <w:sz w:val="24"/>
                <w:szCs w:val="24"/>
              </w:rPr>
              <w:t>0L），加油后柴油桶应立即密封，并放置在不易碰触位置且放置稳固，能有效防止柴油泄漏风险。</w:t>
            </w:r>
          </w:p>
          <w:p w14:paraId="1CE9F69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宋体" w:eastAsia="宋体" w:cs="Times New Roman"/>
                <w:color w:val="auto"/>
                <w:sz w:val="24"/>
                <w:szCs w:val="24"/>
                <w:lang w:val="en-US" w:eastAsia="zh-CN"/>
              </w:rPr>
            </w:pPr>
            <w:r>
              <w:rPr>
                <w:rFonts w:hint="eastAsia" w:ascii="宋体" w:hAnsi="宋体" w:eastAsia="宋体" w:cs="宋体"/>
                <w:color w:val="auto"/>
                <w:sz w:val="24"/>
                <w:szCs w:val="24"/>
              </w:rPr>
              <w:t>④</w:t>
            </w:r>
            <w:r>
              <w:rPr>
                <w:rFonts w:hint="eastAsia" w:ascii="Times New Roman" w:hAnsi="宋体" w:eastAsia="宋体" w:cs="Times New Roman"/>
                <w:color w:val="auto"/>
                <w:sz w:val="24"/>
                <w:szCs w:val="24"/>
                <w:lang w:val="en-US" w:eastAsia="zh-CN"/>
              </w:rPr>
              <w:t>废机油泄漏风险防范措施</w:t>
            </w:r>
          </w:p>
          <w:p w14:paraId="1F6A5D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宋体" w:eastAsia="宋体" w:cs="Times New Roman"/>
                <w:color w:val="auto"/>
                <w:sz w:val="24"/>
                <w:szCs w:val="24"/>
                <w:lang w:val="en-US" w:eastAsia="zh-CN"/>
              </w:rPr>
            </w:pPr>
            <w:r>
              <w:rPr>
                <w:rFonts w:hint="eastAsia" w:ascii="Times New Roman" w:hAnsi="宋体" w:eastAsia="宋体" w:cs="Times New Roman"/>
                <w:color w:val="auto"/>
                <w:sz w:val="24"/>
                <w:szCs w:val="24"/>
                <w:lang w:val="en-US" w:eastAsia="zh-CN"/>
              </w:rPr>
              <w:t>严格按照</w:t>
            </w:r>
            <w:r>
              <w:rPr>
                <w:rFonts w:hint="default" w:ascii="Times New Roman" w:hAnsi="宋体" w:eastAsia="宋体" w:cs="Times New Roman"/>
                <w:color w:val="auto"/>
                <w:sz w:val="24"/>
                <w:szCs w:val="24"/>
                <w:lang w:val="en-US" w:eastAsia="zh-CN"/>
              </w:rPr>
              <w:t>《危险废物贮存污染控制标准》（GB18597-2001</w:t>
            </w:r>
            <w:r>
              <w:rPr>
                <w:rFonts w:hint="eastAsia" w:ascii="Times New Roman" w:hAnsi="宋体" w:eastAsia="宋体" w:cs="Times New Roman"/>
                <w:color w:val="auto"/>
                <w:sz w:val="24"/>
                <w:szCs w:val="24"/>
                <w:lang w:val="en-US" w:eastAsia="zh-CN"/>
              </w:rPr>
              <w:t>及2013修改清单</w:t>
            </w:r>
            <w:r>
              <w:rPr>
                <w:rFonts w:hint="default" w:ascii="Times New Roman" w:hAnsi="宋体" w:eastAsia="宋体" w:cs="Times New Roman"/>
                <w:color w:val="auto"/>
                <w:sz w:val="24"/>
                <w:szCs w:val="24"/>
                <w:lang w:val="en-US" w:eastAsia="zh-CN"/>
              </w:rPr>
              <w:t>）及《危险废物转移联单管理办法》（国家环保总局令第5号）中的相关要求，</w:t>
            </w:r>
            <w:r>
              <w:rPr>
                <w:rFonts w:hint="eastAsia" w:ascii="Times New Roman" w:hAnsi="宋体" w:eastAsia="宋体" w:cs="Times New Roman"/>
                <w:color w:val="auto"/>
                <w:sz w:val="24"/>
                <w:szCs w:val="24"/>
                <w:lang w:val="en-US" w:eastAsia="zh-CN"/>
              </w:rPr>
              <w:t>加强防渗</w:t>
            </w:r>
            <w:r>
              <w:rPr>
                <w:rFonts w:hint="default" w:ascii="Times New Roman" w:hAnsi="宋体" w:eastAsia="宋体" w:cs="Times New Roman"/>
                <w:color w:val="auto"/>
                <w:sz w:val="24"/>
                <w:szCs w:val="24"/>
                <w:lang w:val="en-US" w:eastAsia="zh-CN"/>
              </w:rPr>
              <w:t>措施符合国家法律法规要求</w:t>
            </w:r>
            <w:r>
              <w:rPr>
                <w:rFonts w:hint="eastAsia" w:ascii="Times New Roman" w:hAnsi="宋体" w:eastAsia="宋体" w:cs="Times New Roman"/>
                <w:color w:val="auto"/>
                <w:sz w:val="24"/>
                <w:szCs w:val="24"/>
                <w:lang w:val="en-US" w:eastAsia="zh-CN"/>
              </w:rPr>
              <w:t>，同时设置备用空桶进行泄漏物的收集等措施。</w:t>
            </w:r>
          </w:p>
          <w:p w14:paraId="35DF5968">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宋体" w:cs="Times New Roman"/>
                <w:color w:val="auto"/>
                <w:sz w:val="24"/>
                <w:szCs w:val="24"/>
              </w:rPr>
            </w:pPr>
            <w:r>
              <w:rPr>
                <w:rFonts w:hint="eastAsia" w:ascii="仿宋" w:hAnsi="仿宋" w:eastAsia="仿宋" w:cs="仿宋"/>
                <w:color w:val="auto"/>
                <w:sz w:val="24"/>
                <w:szCs w:val="24"/>
              </w:rPr>
              <w:t>⑤</w:t>
            </w:r>
            <w:r>
              <w:rPr>
                <w:rFonts w:hint="eastAsia" w:ascii="Times New Roman" w:hAnsi="宋体" w:cs="Times New Roman"/>
                <w:color w:val="auto"/>
                <w:sz w:val="24"/>
                <w:szCs w:val="24"/>
              </w:rPr>
              <w:t>钻孔涌水时防范措施</w:t>
            </w:r>
          </w:p>
          <w:p w14:paraId="3C0D55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eastAsia" w:ascii="Times New Roman" w:hAnsi="宋体" w:cs="Times New Roman"/>
                <w:color w:val="auto"/>
                <w:sz w:val="24"/>
                <w:szCs w:val="24"/>
              </w:rPr>
            </w:pPr>
            <w:r>
              <w:rPr>
                <w:rFonts w:hint="eastAsia" w:ascii="Times New Roman" w:hAnsi="宋体" w:cs="Times New Roman"/>
                <w:color w:val="auto"/>
                <w:sz w:val="24"/>
                <w:szCs w:val="24"/>
              </w:rPr>
              <w:t>钻孔涌水后，应立即采用止水堵塞措施，进行封孔。首先止水，然后下套管封闭，套管壁外用水泥固定；或采用注浆泵，将</w:t>
            </w:r>
            <w:r>
              <w:rPr>
                <w:rFonts w:hint="eastAsia" w:ascii="Times New Roman" w:hAnsi="宋体" w:cs="Times New Roman"/>
                <w:color w:val="auto"/>
                <w:sz w:val="24"/>
                <w:szCs w:val="24"/>
                <w:lang w:val="en-US" w:eastAsia="zh-CN"/>
              </w:rPr>
              <w:t>防漏材料</w:t>
            </w:r>
            <w:r>
              <w:rPr>
                <w:rFonts w:hint="eastAsia" w:ascii="Times New Roman" w:hAnsi="宋体" w:cs="Times New Roman"/>
                <w:color w:val="auto"/>
                <w:sz w:val="24"/>
                <w:szCs w:val="24"/>
              </w:rPr>
              <w:t>注入涌水孔，并逐渐增加密度，到达临界密度后持续注浆，堵住钻孔涌水。</w:t>
            </w:r>
            <w:bookmarkEnd w:id="44"/>
          </w:p>
          <w:p w14:paraId="64B2742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b w:val="0"/>
                <w:bCs/>
                <w:color w:val="auto"/>
                <w:sz w:val="24"/>
                <w:szCs w:val="21"/>
              </w:rPr>
            </w:pPr>
            <w:r>
              <w:rPr>
                <w:rFonts w:hint="eastAsia" w:ascii="Times New Roman" w:hAnsi="Times New Roman" w:cs="Times New Roman"/>
                <w:b w:val="0"/>
                <w:bCs/>
                <w:color w:val="auto"/>
                <w:sz w:val="24"/>
                <w:szCs w:val="21"/>
              </w:rPr>
              <w:t>（</w:t>
            </w:r>
            <w:r>
              <w:rPr>
                <w:rFonts w:hint="eastAsia" w:ascii="Times New Roman" w:hAnsi="Times New Roman" w:cs="Times New Roman"/>
                <w:b w:val="0"/>
                <w:bCs/>
                <w:color w:val="auto"/>
                <w:sz w:val="24"/>
                <w:szCs w:val="21"/>
                <w:lang w:val="en-US" w:eastAsia="zh-CN"/>
              </w:rPr>
              <w:t>6</w:t>
            </w:r>
            <w:r>
              <w:rPr>
                <w:rFonts w:hint="eastAsia" w:ascii="Times New Roman" w:hAnsi="Times New Roman" w:cs="Times New Roman"/>
                <w:b w:val="0"/>
                <w:bCs/>
                <w:color w:val="auto"/>
                <w:sz w:val="24"/>
                <w:szCs w:val="21"/>
              </w:rPr>
              <w:t>）风险分析结论</w:t>
            </w:r>
          </w:p>
          <w:p w14:paraId="6E4323F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szCs w:val="24"/>
                <w:highlight w:val="none"/>
              </w:rPr>
            </w:pPr>
            <w:r>
              <w:rPr>
                <w:rFonts w:hint="eastAsia" w:ascii="Times New Roman" w:hAnsi="Times New Roman" w:cs="Times New Roman"/>
                <w:color w:val="auto"/>
                <w:sz w:val="24"/>
                <w:szCs w:val="21"/>
              </w:rPr>
              <w:t>通过对各个风险源分析表明，采取有效的风险预防措施，风险一旦发生，必须立即采取应急措施。在严格落实各项安全、环保对策措施后，本</w:t>
            </w:r>
            <w:r>
              <w:rPr>
                <w:rFonts w:hint="eastAsia" w:ascii="Times New Roman" w:hAnsi="Times New Roman" w:cs="Times New Roman"/>
                <w:color w:val="auto"/>
                <w:sz w:val="24"/>
                <w:szCs w:val="21"/>
                <w:lang w:val="en-US" w:eastAsia="zh-CN"/>
              </w:rPr>
              <w:t>次勘探期间</w:t>
            </w:r>
            <w:r>
              <w:rPr>
                <w:rFonts w:hint="eastAsia" w:ascii="Times New Roman" w:hAnsi="Times New Roman" w:cs="Times New Roman"/>
                <w:color w:val="auto"/>
                <w:sz w:val="24"/>
                <w:szCs w:val="21"/>
              </w:rPr>
              <w:t>存在的环境风险是可接受的。</w:t>
            </w:r>
          </w:p>
          <w:p w14:paraId="7A73A302">
            <w:pPr>
              <w:keepNext w:val="0"/>
              <w:keepLines w:val="0"/>
              <w:widowControl/>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kern w:val="0"/>
                <w:sz w:val="24"/>
                <w:lang w:bidi="ar"/>
              </w:rPr>
            </w:pPr>
            <w:r>
              <w:rPr>
                <w:rFonts w:hint="default" w:ascii="Times New Roman" w:hAnsi="Times New Roman" w:eastAsia="宋体" w:cs="Times New Roman"/>
                <w:b/>
                <w:bCs/>
                <w:color w:val="auto"/>
                <w:kern w:val="0"/>
                <w:sz w:val="24"/>
                <w:lang w:val="en-US" w:eastAsia="zh-CN" w:bidi="ar"/>
              </w:rPr>
              <w:t>2.8</w:t>
            </w:r>
            <w:r>
              <w:rPr>
                <w:rFonts w:hint="default" w:ascii="Times New Roman" w:hAnsi="Times New Roman" w:eastAsia="宋体" w:cs="Times New Roman"/>
                <w:b/>
                <w:bCs/>
                <w:color w:val="auto"/>
                <w:kern w:val="0"/>
                <w:sz w:val="24"/>
                <w:lang w:bidi="ar"/>
              </w:rPr>
              <w:t>项目生态环境影响分析</w:t>
            </w:r>
          </w:p>
          <w:p w14:paraId="5C583E2D">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宋体" w:hAnsi="宋体" w:cs="宋体"/>
                <w:color w:val="auto"/>
                <w:kern w:val="0"/>
                <w:sz w:val="24"/>
                <w:lang w:bidi="ar"/>
              </w:rPr>
            </w:pPr>
            <w:r>
              <w:rPr>
                <w:rFonts w:hint="eastAsia" w:ascii="宋体" w:hAnsi="宋体" w:cs="宋体"/>
                <w:color w:val="auto"/>
                <w:kern w:val="0"/>
                <w:sz w:val="24"/>
                <w:lang w:val="en-US" w:eastAsia="zh-CN" w:bidi="ar"/>
              </w:rPr>
              <w:t>根据《建设项目环境影响报告表编制技术指南（生态影响类）》，本项目生态环境不需要开展专项评价，环境影响以定性分析为主。</w:t>
            </w:r>
            <w:r>
              <w:rPr>
                <w:rFonts w:hint="eastAsia" w:ascii="宋体" w:hAnsi="宋体" w:cs="宋体"/>
                <w:color w:val="auto"/>
                <w:kern w:val="0"/>
                <w:sz w:val="24"/>
                <w:lang w:bidi="ar"/>
              </w:rPr>
              <w:t>项目的生态环境的影响主要为土地利用格局改变和一定数量的植被损耗，以及带来短时期的水土流失为基本特征。由于地利用格局的改变，区域自然体系的生态完整性将受到影响，即生产能力降低和稳定状况受到影响；由于探矿会破坏一定量的植被，本次</w:t>
            </w:r>
            <w:r>
              <w:rPr>
                <w:rFonts w:hint="eastAsia" w:ascii="宋体" w:hAnsi="宋体" w:cs="宋体"/>
                <w:color w:val="auto"/>
                <w:kern w:val="0"/>
                <w:sz w:val="24"/>
                <w:lang w:val="en-US" w:eastAsia="zh-CN" w:bidi="ar"/>
              </w:rPr>
              <w:t>勘探</w:t>
            </w:r>
            <w:r>
              <w:rPr>
                <w:rFonts w:hint="eastAsia" w:ascii="宋体" w:hAnsi="宋体" w:cs="宋体"/>
                <w:color w:val="auto"/>
                <w:kern w:val="0"/>
                <w:sz w:val="24"/>
                <w:lang w:bidi="ar"/>
              </w:rPr>
              <w:t>采用</w:t>
            </w:r>
            <w:r>
              <w:rPr>
                <w:rFonts w:hint="eastAsia" w:ascii="宋体" w:hAnsi="宋体" w:cs="宋体"/>
                <w:color w:val="auto"/>
                <w:kern w:val="0"/>
                <w:sz w:val="24"/>
                <w:lang w:val="en-US" w:eastAsia="zh-CN" w:bidi="ar"/>
              </w:rPr>
              <w:t>钻探方式，</w:t>
            </w:r>
            <w:r>
              <w:rPr>
                <w:rFonts w:hint="eastAsia" w:ascii="宋体" w:hAnsi="宋体" w:cs="宋体"/>
                <w:color w:val="auto"/>
                <w:kern w:val="0"/>
                <w:sz w:val="24"/>
                <w:lang w:bidi="ar"/>
              </w:rPr>
              <w:t>钻探区每个</w:t>
            </w:r>
            <w:r>
              <w:rPr>
                <w:rFonts w:hint="eastAsia" w:ascii="宋体" w:hAnsi="宋体" w:cs="宋体"/>
                <w:color w:val="auto"/>
                <w:kern w:val="0"/>
                <w:sz w:val="24"/>
                <w:lang w:val="en-US" w:eastAsia="zh-CN" w:bidi="ar"/>
              </w:rPr>
              <w:t>钻探</w:t>
            </w:r>
            <w:r>
              <w:rPr>
                <w:rFonts w:hint="eastAsia" w:ascii="宋体" w:hAnsi="宋体" w:cs="宋体"/>
                <w:color w:val="auto"/>
                <w:kern w:val="0"/>
                <w:sz w:val="24"/>
                <w:lang w:bidi="ar"/>
              </w:rPr>
              <w:t>平台约占</w:t>
            </w:r>
            <w:r>
              <w:rPr>
                <w:rFonts w:hint="eastAsia" w:ascii="宋体" w:hAnsi="宋体" w:cs="宋体"/>
                <w:color w:val="auto"/>
                <w:kern w:val="0"/>
                <w:sz w:val="24"/>
                <w:lang w:val="en-US" w:eastAsia="zh-CN" w:bidi="ar"/>
              </w:rPr>
              <w:t>地</w:t>
            </w:r>
            <w:r>
              <w:rPr>
                <w:rFonts w:hint="default" w:ascii="宋体" w:hAnsi="宋体" w:cs="宋体"/>
                <w:color w:val="auto"/>
                <w:kern w:val="0"/>
                <w:sz w:val="24"/>
                <w:lang w:bidi="ar"/>
              </w:rPr>
              <w:t>20m</w:t>
            </w:r>
            <w:r>
              <w:rPr>
                <w:rFonts w:hint="default" w:ascii="宋体" w:hAnsi="宋体" w:cs="宋体"/>
                <w:color w:val="auto"/>
                <w:kern w:val="0"/>
                <w:sz w:val="24"/>
                <w:vertAlign w:val="superscript"/>
                <w:lang w:bidi="ar"/>
              </w:rPr>
              <w:t>2</w:t>
            </w:r>
            <w:r>
              <w:rPr>
                <w:rFonts w:hint="eastAsia" w:ascii="宋体" w:hAnsi="宋体" w:cs="宋体"/>
                <w:color w:val="auto"/>
                <w:kern w:val="0"/>
                <w:sz w:val="24"/>
                <w:lang w:bidi="ar"/>
              </w:rPr>
              <w:t xml:space="preserve"> 以及植被破坏，探矿结束填堵钻孔，并在所占区域内的空地进行植被恢复</w:t>
            </w:r>
            <w:r>
              <w:rPr>
                <w:rFonts w:hint="eastAsia" w:ascii="宋体" w:hAnsi="宋体" w:cs="宋体"/>
                <w:color w:val="auto"/>
                <w:kern w:val="0"/>
                <w:sz w:val="24"/>
                <w:lang w:eastAsia="zh-CN" w:bidi="ar"/>
              </w:rPr>
              <w:t>，</w:t>
            </w:r>
            <w:r>
              <w:rPr>
                <w:rFonts w:hint="eastAsia" w:ascii="宋体" w:hAnsi="宋体" w:cs="宋体"/>
                <w:color w:val="auto"/>
                <w:kern w:val="0"/>
                <w:sz w:val="24"/>
                <w:lang w:bidi="ar"/>
              </w:rPr>
              <w:t>以恢复当地生态环境。</w:t>
            </w:r>
          </w:p>
          <w:p w14:paraId="43FED91D">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Times New Roman" w:cs="Arial"/>
                <w:color w:val="auto"/>
              </w:rPr>
            </w:pPr>
            <w:r>
              <w:rPr>
                <w:rFonts w:hint="eastAsia" w:ascii="宋体" w:hAnsi="宋体" w:cs="宋体"/>
                <w:color w:val="auto"/>
                <w:kern w:val="0"/>
                <w:sz w:val="24"/>
                <w:lang w:bidi="ar"/>
              </w:rPr>
              <w:t>本次评价主要从工程占地和动植物资源的破坏、水土流失等方面分析对生态环境的影响。</w:t>
            </w:r>
          </w:p>
          <w:p w14:paraId="55588C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Times New Roman" w:cs="Arial"/>
                <w:color w:val="auto"/>
              </w:rPr>
            </w:pPr>
            <w:r>
              <w:rPr>
                <w:rFonts w:hint="eastAsia" w:ascii="Times New Roman" w:hAnsi="Times New Roman" w:eastAsia="宋体" w:cs="Times New Roman"/>
                <w:color w:val="auto"/>
                <w:kern w:val="0"/>
                <w:sz w:val="24"/>
                <w:lang w:eastAsia="zh-CN" w:bidi="ar"/>
              </w:rPr>
              <w:t>（</w:t>
            </w:r>
            <w:r>
              <w:rPr>
                <w:rFonts w:hint="eastAsia" w:ascii="Times New Roman" w:hAnsi="Times New Roman" w:eastAsia="宋体" w:cs="Times New Roman"/>
                <w:color w:val="auto"/>
                <w:kern w:val="0"/>
                <w:sz w:val="24"/>
                <w:lang w:val="en-US" w:eastAsia="zh-CN" w:bidi="ar"/>
              </w:rPr>
              <w:t>1</w:t>
            </w:r>
            <w:r>
              <w:rPr>
                <w:rFonts w:hint="eastAsia" w:ascii="Times New Roman" w:hAnsi="Times New Roman" w:eastAsia="宋体" w:cs="Times New Roman"/>
                <w:color w:val="auto"/>
                <w:kern w:val="0"/>
                <w:sz w:val="24"/>
                <w:lang w:eastAsia="zh-CN" w:bidi="ar"/>
              </w:rPr>
              <w:t>）</w:t>
            </w:r>
            <w:r>
              <w:rPr>
                <w:rFonts w:hint="eastAsia" w:ascii="Times New Roman" w:hAnsi="Times New Roman" w:eastAsia="宋体" w:cs="Times New Roman"/>
                <w:color w:val="auto"/>
                <w:kern w:val="0"/>
                <w:sz w:val="24"/>
                <w:lang w:bidi="ar"/>
              </w:rPr>
              <w:t>土地利用影响</w:t>
            </w:r>
          </w:p>
          <w:p w14:paraId="249BB8EB">
            <w:pPr>
              <w:keepNext w:val="0"/>
              <w:keepLines w:val="0"/>
              <w:widowControl/>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kern w:val="0"/>
                <w:sz w:val="24"/>
                <w:lang w:bidi="ar"/>
              </w:rPr>
            </w:pPr>
            <w:r>
              <w:rPr>
                <w:rFonts w:hint="eastAsia" w:ascii="宋体" w:hAnsi="宋体" w:eastAsia="宋体" w:cs="宋体"/>
                <w:color w:val="auto"/>
                <w:kern w:val="0"/>
                <w:sz w:val="24"/>
                <w:lang w:val="en-US" w:eastAsia="zh-CN" w:bidi="ar"/>
              </w:rPr>
              <w:t>本项目临时占地使用量为840</w:t>
            </w:r>
            <w:r>
              <w:rPr>
                <w:rFonts w:hint="default" w:ascii="宋体" w:hAnsi="宋体" w:eastAsia="宋体" w:cs="宋体"/>
                <w:color w:val="auto"/>
                <w:kern w:val="0"/>
                <w:sz w:val="24"/>
                <w:lang w:val="en-US" w:eastAsia="zh-CN" w:bidi="ar"/>
              </w:rPr>
              <w:t>m</w:t>
            </w:r>
            <w:r>
              <w:rPr>
                <w:rFonts w:hint="default" w:ascii="宋体" w:hAnsi="宋体" w:eastAsia="宋体" w:cs="宋体"/>
                <w:color w:val="auto"/>
                <w:kern w:val="0"/>
                <w:sz w:val="24"/>
                <w:vertAlign w:val="superscript"/>
                <w:lang w:val="en-US" w:eastAsia="zh-CN" w:bidi="ar"/>
              </w:rPr>
              <w:t>2</w:t>
            </w:r>
            <w:r>
              <w:rPr>
                <w:rFonts w:hint="eastAsia" w:ascii="宋体" w:hAnsi="宋体" w:eastAsia="宋体" w:cs="宋体"/>
                <w:color w:val="auto"/>
                <w:kern w:val="0"/>
                <w:sz w:val="24"/>
                <w:lang w:val="en-US" w:eastAsia="zh-CN" w:bidi="ar"/>
              </w:rPr>
              <w:t>，属于临时占地，对土地的占用为短期，探矿完成后对占用土地进行生态植被恢复，植被利用性质基本不会进行较大改变，因此本项目的建设对土地利用的影响较小。</w:t>
            </w:r>
          </w:p>
          <w:p w14:paraId="3C5DBB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kern w:val="0"/>
                <w:sz w:val="24"/>
                <w:lang w:eastAsia="zh-CN" w:bidi="ar"/>
              </w:rPr>
            </w:pPr>
            <w:r>
              <w:rPr>
                <w:rFonts w:hint="eastAsia" w:ascii="Times New Roman" w:hAnsi="Times New Roman" w:eastAsia="宋体" w:cs="Times New Roman"/>
                <w:color w:val="auto"/>
                <w:kern w:val="0"/>
                <w:sz w:val="24"/>
                <w:lang w:eastAsia="zh-CN" w:bidi="ar"/>
              </w:rPr>
              <w:t>（</w:t>
            </w:r>
            <w:r>
              <w:rPr>
                <w:rFonts w:hint="eastAsia" w:ascii="Times New Roman" w:hAnsi="Times New Roman" w:eastAsia="宋体" w:cs="Times New Roman"/>
                <w:color w:val="auto"/>
                <w:kern w:val="0"/>
                <w:sz w:val="24"/>
                <w:lang w:val="en-US" w:eastAsia="zh-CN" w:bidi="ar"/>
              </w:rPr>
              <w:t>2</w:t>
            </w:r>
            <w:r>
              <w:rPr>
                <w:rFonts w:hint="eastAsia" w:ascii="Times New Roman" w:hAnsi="Times New Roman" w:eastAsia="宋体" w:cs="Times New Roman"/>
                <w:color w:val="auto"/>
                <w:kern w:val="0"/>
                <w:sz w:val="24"/>
                <w:lang w:eastAsia="zh-CN" w:bidi="ar"/>
              </w:rPr>
              <w:t>）</w:t>
            </w:r>
            <w:r>
              <w:rPr>
                <w:rFonts w:hint="default" w:ascii="Times New Roman" w:hAnsi="Times New Roman" w:eastAsia="宋体" w:cs="Times New Roman"/>
                <w:color w:val="auto"/>
                <w:kern w:val="0"/>
                <w:sz w:val="24"/>
                <w:lang w:eastAsia="zh-CN" w:bidi="ar"/>
              </w:rPr>
              <w:t>对植被和植物资源的影响分析</w:t>
            </w:r>
          </w:p>
          <w:p w14:paraId="250BE1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500" w:firstLineChars="200"/>
              <w:textAlignment w:val="auto"/>
              <w:outlineLvl w:val="9"/>
              <w:rPr>
                <w:rFonts w:hint="eastAsia" w:ascii="宋体" w:hAnsi="宋体" w:eastAsia="宋体" w:cs="宋体"/>
                <w:color w:val="auto"/>
                <w:kern w:val="0"/>
                <w:sz w:val="25"/>
                <w:szCs w:val="20"/>
                <w:lang w:val="en-US" w:eastAsia="zh-CN" w:bidi="ar"/>
              </w:rPr>
            </w:pPr>
            <w:r>
              <w:rPr>
                <w:rFonts w:hint="eastAsia" w:ascii="宋体" w:hAnsi="宋体" w:eastAsia="宋体" w:cs="宋体"/>
                <w:color w:val="auto"/>
                <w:kern w:val="0"/>
                <w:sz w:val="25"/>
                <w:szCs w:val="20"/>
                <w:lang w:val="en-US" w:eastAsia="zh-CN" w:bidi="ar"/>
              </w:rPr>
              <w:t xml:space="preserve">根据现场勘探，本项目矿山周边范围的植被主要为灌木和草木，探矿过程钻探平台和施工便道的施工过程中因表土剥离使占用土地中的植被完全铲除，部分地表裸露，对原生的地形地貌景观产生影响。同时探矿工作期间的弃土的临时堆放会压占植被，对植被产生负面影响，此外，人为踩踏也会对工作区域内的植被造成直接影响。 </w:t>
            </w:r>
          </w:p>
          <w:p w14:paraId="0CAD51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500" w:firstLineChars="200"/>
              <w:textAlignment w:val="auto"/>
              <w:outlineLvl w:val="9"/>
              <w:rPr>
                <w:rFonts w:hint="eastAsia" w:ascii="宋体" w:hAnsi="宋体" w:eastAsia="宋体" w:cs="宋体"/>
                <w:color w:val="auto"/>
                <w:kern w:val="0"/>
                <w:sz w:val="25"/>
                <w:szCs w:val="20"/>
                <w:lang w:bidi="ar"/>
              </w:rPr>
            </w:pPr>
            <w:r>
              <w:rPr>
                <w:rFonts w:hint="eastAsia" w:ascii="宋体" w:hAnsi="宋体" w:eastAsia="宋体" w:cs="宋体"/>
                <w:color w:val="auto"/>
                <w:kern w:val="0"/>
                <w:sz w:val="25"/>
                <w:szCs w:val="20"/>
                <w:lang w:val="en-US" w:eastAsia="zh-CN" w:bidi="ar"/>
              </w:rPr>
              <w:t xml:space="preserve">对项目所在区域内的勘探过程中，尚未发现探矿范围内存在珍稀、濒危、名木古树或其他需要特殊保护的树种，因此本项目的探矿工程不会导致珍稀物种的灭绝、引起物种损失等问题。同时本项目所在区域的生态环境较少受到破坏，生态系统结构较为完整、功能性较好，系统恢复能力较强。因此，本项目探矿工作对地表植被造成的破坏坏将随着区域生态系统的自我修复及人工重建修复，探矿工程对植被的影响较小。 </w:t>
            </w:r>
          </w:p>
          <w:p w14:paraId="19028D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500" w:firstLineChars="200"/>
              <w:textAlignment w:val="auto"/>
              <w:outlineLvl w:val="9"/>
              <w:rPr>
                <w:rFonts w:hint="eastAsia" w:ascii="宋体" w:hAnsi="宋体" w:eastAsia="宋体" w:cs="宋体"/>
                <w:color w:val="auto"/>
                <w:kern w:val="0"/>
                <w:sz w:val="25"/>
                <w:szCs w:val="20"/>
                <w:lang w:bidi="ar"/>
              </w:rPr>
            </w:pPr>
            <w:r>
              <w:rPr>
                <w:rFonts w:hint="eastAsia" w:ascii="宋体" w:hAnsi="宋体" w:eastAsia="宋体" w:cs="宋体"/>
                <w:color w:val="auto"/>
                <w:kern w:val="0"/>
                <w:sz w:val="25"/>
                <w:szCs w:val="20"/>
                <w:lang w:val="en-US" w:eastAsia="zh-CN" w:bidi="ar"/>
              </w:rPr>
              <w:t>本评价要求建设单位在探矿过程中，加强对区域内的生态环境保护，最大限度地控制对地表植被的清理破坏面积，探矿工程结束后，采取有效的保护生态环境措施进行该区域内的生态环境恢复，减少对该区域内的生态植被的影响</w:t>
            </w:r>
          </w:p>
          <w:p w14:paraId="284B0E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eastAsia" w:ascii="Times New Roman" w:hAnsi="Times New Roman" w:eastAsia="宋体" w:cs="Times New Roman"/>
                <w:color w:val="auto"/>
                <w:kern w:val="0"/>
                <w:sz w:val="24"/>
                <w:lang w:eastAsia="zh-CN" w:bidi="ar"/>
              </w:rPr>
            </w:pPr>
            <w:r>
              <w:rPr>
                <w:rFonts w:hint="eastAsia" w:ascii="Times New Roman" w:hAnsi="Times New Roman" w:eastAsia="宋体" w:cs="Times New Roman"/>
                <w:color w:val="auto"/>
                <w:kern w:val="0"/>
                <w:sz w:val="24"/>
                <w:lang w:eastAsia="zh-CN" w:bidi="ar"/>
              </w:rPr>
              <w:t>（</w:t>
            </w:r>
            <w:r>
              <w:rPr>
                <w:rFonts w:hint="eastAsia" w:ascii="Times New Roman" w:hAnsi="Times New Roman" w:eastAsia="宋体" w:cs="Times New Roman"/>
                <w:color w:val="auto"/>
                <w:kern w:val="0"/>
                <w:sz w:val="24"/>
                <w:lang w:val="en-US" w:eastAsia="zh-CN" w:bidi="ar"/>
              </w:rPr>
              <w:t>3</w:t>
            </w:r>
            <w:r>
              <w:rPr>
                <w:rFonts w:hint="eastAsia" w:ascii="Times New Roman" w:hAnsi="Times New Roman" w:eastAsia="宋体" w:cs="Times New Roman"/>
                <w:color w:val="auto"/>
                <w:kern w:val="0"/>
                <w:sz w:val="24"/>
                <w:lang w:eastAsia="zh-CN" w:bidi="ar"/>
              </w:rPr>
              <w:t>）对野生动物的影响分析</w:t>
            </w:r>
          </w:p>
          <w:p w14:paraId="45A78BD8">
            <w:pPr>
              <w:keepNext w:val="0"/>
              <w:keepLines w:val="0"/>
              <w:widowControl/>
              <w:suppressLineNumbers w:val="0"/>
              <w:adjustRightInd w:val="0"/>
              <w:snapToGrid w:val="0"/>
              <w:spacing w:before="0" w:beforeAutospacing="0" w:after="0" w:afterAutospacing="0" w:line="360" w:lineRule="auto"/>
              <w:ind w:left="0" w:right="0" w:firstLine="500" w:firstLineChars="200"/>
              <w:rPr>
                <w:rFonts w:hint="eastAsia" w:ascii="宋体" w:hAnsi="宋体" w:eastAsia="宋体" w:cs="宋体"/>
                <w:color w:val="auto"/>
                <w:kern w:val="0"/>
                <w:sz w:val="25"/>
                <w:szCs w:val="20"/>
                <w:lang w:bidi="ar"/>
              </w:rPr>
            </w:pPr>
            <w:r>
              <w:rPr>
                <w:rFonts w:hint="eastAsia" w:ascii="宋体" w:hAnsi="宋体" w:eastAsia="宋体" w:cs="宋体"/>
                <w:color w:val="auto"/>
                <w:kern w:val="0"/>
                <w:sz w:val="25"/>
                <w:szCs w:val="20"/>
                <w:lang w:val="en-US" w:eastAsia="zh-CN" w:bidi="ar"/>
              </w:rPr>
              <w:t xml:space="preserve">在现场踏勘期间，我单位工作人员还走访了当地群众，由于长期人为因素影响，评价区都是当地区域内常见的野生动物，未发现国家级、省级重点保护的野生动植物种类。矿区所在位置不是野生动物的迁徙通道。但探矿作业和人为活动惊扰勘查区的野生动物，会对它们的觅食与正常活动产生一定影响，但因探矿人员活动范围小，影响范围和程度很小，对周边动物的影响较小。故对于以上生态影响，本次评价提出以下建议： </w:t>
            </w:r>
          </w:p>
          <w:p w14:paraId="0BFF1688">
            <w:pPr>
              <w:keepNext w:val="0"/>
              <w:keepLines w:val="0"/>
              <w:widowControl/>
              <w:suppressLineNumbers w:val="0"/>
              <w:adjustRightInd w:val="0"/>
              <w:snapToGrid w:val="0"/>
              <w:spacing w:before="0" w:beforeAutospacing="0" w:after="0" w:afterAutospacing="0" w:line="360" w:lineRule="auto"/>
              <w:ind w:left="0" w:right="0" w:firstLine="500" w:firstLineChars="200"/>
              <w:rPr>
                <w:rFonts w:hint="eastAsia" w:ascii="宋体" w:hAnsi="宋体" w:eastAsia="宋体" w:cs="宋体"/>
                <w:color w:val="auto"/>
                <w:kern w:val="0"/>
                <w:sz w:val="25"/>
                <w:szCs w:val="20"/>
                <w:lang w:bidi="ar"/>
              </w:rPr>
            </w:pPr>
            <w:r>
              <w:rPr>
                <w:rFonts w:hint="eastAsia" w:ascii="宋体" w:hAnsi="宋体" w:eastAsia="宋体" w:cs="宋体"/>
                <w:color w:val="auto"/>
                <w:kern w:val="0"/>
                <w:sz w:val="25"/>
                <w:szCs w:val="20"/>
                <w:lang w:val="en-US" w:eastAsia="zh-CN" w:bidi="ar"/>
              </w:rPr>
              <w:t xml:space="preserve">①施工作业场地清理地面、坑探土石方挖掘等活动，会造成植被丧 失、干扰动物栖息环境，因此施工过程应合理规划施工并尽量减少施工占地。施工过程中缩小施工作业面等措施，应尽量减少占用和破坏植被，把破坏和影响严格控制在作业场地范围内。 </w:t>
            </w:r>
          </w:p>
          <w:p w14:paraId="46A7BFF4">
            <w:pPr>
              <w:keepNext w:val="0"/>
              <w:keepLines w:val="0"/>
              <w:widowControl/>
              <w:suppressLineNumbers w:val="0"/>
              <w:adjustRightInd w:val="0"/>
              <w:snapToGrid w:val="0"/>
              <w:spacing w:before="0" w:beforeAutospacing="0" w:after="0" w:afterAutospacing="0" w:line="360" w:lineRule="auto"/>
              <w:ind w:left="0" w:right="0" w:firstLine="500" w:firstLineChars="200"/>
              <w:rPr>
                <w:rFonts w:hint="eastAsia" w:ascii="宋体" w:hAnsi="宋体" w:eastAsia="宋体" w:cs="宋体"/>
                <w:color w:val="auto"/>
                <w:kern w:val="0"/>
                <w:sz w:val="25"/>
                <w:szCs w:val="20"/>
                <w:lang w:bidi="ar"/>
              </w:rPr>
            </w:pPr>
            <w:r>
              <w:rPr>
                <w:rFonts w:hint="eastAsia" w:ascii="宋体" w:hAnsi="宋体" w:eastAsia="宋体" w:cs="宋体"/>
                <w:color w:val="auto"/>
                <w:kern w:val="0"/>
                <w:sz w:val="25"/>
                <w:szCs w:val="20"/>
                <w:lang w:val="en-US" w:eastAsia="zh-CN" w:bidi="ar"/>
              </w:rPr>
              <w:t xml:space="preserve">②施工便道尽量利用现有通道，禁止随意开路，践踏和破坏植被，临时施工便道工作结束后及时进行植被恢复。临时占地使用后要及时恢复，并尽或能清除残留的污染物。坑探工程结束后需恢复原来的地貌，防止水土流失。 </w:t>
            </w:r>
          </w:p>
          <w:p w14:paraId="0D18B098">
            <w:pPr>
              <w:keepNext w:val="0"/>
              <w:keepLines w:val="0"/>
              <w:widowControl/>
              <w:suppressLineNumbers w:val="0"/>
              <w:adjustRightInd w:val="0"/>
              <w:snapToGrid w:val="0"/>
              <w:spacing w:before="0" w:beforeAutospacing="0" w:after="0" w:afterAutospacing="0" w:line="360" w:lineRule="auto"/>
              <w:ind w:left="0" w:right="0" w:firstLine="500" w:firstLineChars="200"/>
              <w:rPr>
                <w:rFonts w:hint="eastAsia" w:ascii="宋体" w:hAnsi="宋体" w:eastAsia="宋体" w:cs="宋体"/>
                <w:color w:val="auto"/>
                <w:kern w:val="0"/>
                <w:sz w:val="25"/>
                <w:szCs w:val="20"/>
                <w:lang w:bidi="ar"/>
              </w:rPr>
            </w:pPr>
            <w:r>
              <w:rPr>
                <w:rFonts w:hint="eastAsia" w:ascii="宋体" w:hAnsi="宋体" w:eastAsia="宋体" w:cs="宋体"/>
                <w:color w:val="auto"/>
                <w:kern w:val="0"/>
                <w:sz w:val="25"/>
                <w:szCs w:val="20"/>
                <w:lang w:val="en-US" w:eastAsia="zh-CN" w:bidi="ar"/>
              </w:rPr>
              <w:t>③根据所处地形、气候、土壤等条件及周边植被覆盖现状，选择水</w:t>
            </w:r>
            <w:r>
              <w:rPr>
                <w:rFonts w:hint="eastAsia" w:ascii="宋体" w:hAnsi="宋体" w:cs="宋体"/>
                <w:color w:val="auto"/>
                <w:kern w:val="0"/>
                <w:sz w:val="25"/>
                <w:szCs w:val="20"/>
                <w:lang w:val="en-US" w:eastAsia="zh-CN" w:bidi="ar"/>
              </w:rPr>
              <w:t>土</w:t>
            </w:r>
            <w:r>
              <w:rPr>
                <w:rFonts w:hint="eastAsia" w:ascii="宋体" w:hAnsi="宋体" w:eastAsia="宋体" w:cs="宋体"/>
                <w:color w:val="auto"/>
                <w:kern w:val="0"/>
                <w:sz w:val="25"/>
                <w:szCs w:val="20"/>
                <w:lang w:val="en-US" w:eastAsia="zh-CN" w:bidi="ar"/>
              </w:rPr>
              <w:t xml:space="preserve">保持综合效益较好的草种。尽量把工程建设及营运引起的植被破坏量减少到最小，做到土方的及时回填，减少水土流失量，土方回填结束后，根据当地生态条件种植适于该区域内生长的植被进行种植。 </w:t>
            </w:r>
          </w:p>
          <w:p w14:paraId="5B43C979">
            <w:pPr>
              <w:keepNext w:val="0"/>
              <w:keepLines w:val="0"/>
              <w:widowControl/>
              <w:suppressLineNumbers w:val="0"/>
              <w:adjustRightInd w:val="0"/>
              <w:snapToGrid w:val="0"/>
              <w:spacing w:before="0" w:beforeAutospacing="0" w:after="0" w:afterAutospacing="0" w:line="360" w:lineRule="auto"/>
              <w:ind w:left="0" w:right="0" w:firstLine="500" w:firstLineChars="200"/>
              <w:rPr>
                <w:rFonts w:hint="eastAsia" w:ascii="宋体" w:hAnsi="宋体" w:eastAsia="宋体" w:cs="宋体"/>
                <w:color w:val="auto"/>
                <w:kern w:val="0"/>
                <w:sz w:val="25"/>
                <w:szCs w:val="20"/>
                <w:lang w:bidi="ar"/>
              </w:rPr>
            </w:pPr>
            <w:r>
              <w:rPr>
                <w:rFonts w:hint="eastAsia" w:ascii="宋体" w:hAnsi="宋体" w:eastAsia="宋体" w:cs="宋体"/>
                <w:color w:val="auto"/>
                <w:kern w:val="0"/>
                <w:sz w:val="25"/>
                <w:szCs w:val="20"/>
                <w:lang w:val="en-US" w:eastAsia="zh-CN" w:bidi="ar"/>
              </w:rPr>
              <w:t xml:space="preserve">④在项目区设置警示牌，标明活动区，严令禁止到非勘探区域活动， 勘探人员严禁捕猎。 规划车辆的形式路线，尽量依托现有的道路，临时碾压的道路固定形式路线，不得随意开道，不得对临时道路外的地表进行扰动和破坏。定形式路线，不得随意开道，不得对临时道路外的地表进行扰动和破坏。 </w:t>
            </w:r>
          </w:p>
          <w:p w14:paraId="12E3C30F">
            <w:pPr>
              <w:keepNext w:val="0"/>
              <w:keepLines w:val="0"/>
              <w:widowControl/>
              <w:suppressLineNumbers w:val="0"/>
              <w:adjustRightInd w:val="0"/>
              <w:snapToGrid w:val="0"/>
              <w:spacing w:before="0" w:beforeAutospacing="0" w:after="0" w:afterAutospacing="0" w:line="360" w:lineRule="auto"/>
              <w:ind w:left="0" w:right="0" w:firstLine="500" w:firstLineChars="200"/>
              <w:rPr>
                <w:rFonts w:hint="eastAsia" w:ascii="宋体" w:hAnsi="宋体" w:eastAsia="宋体" w:cs="宋体"/>
                <w:color w:val="auto"/>
                <w:kern w:val="0"/>
                <w:sz w:val="25"/>
                <w:szCs w:val="20"/>
                <w:lang w:bidi="ar"/>
              </w:rPr>
            </w:pPr>
            <w:r>
              <w:rPr>
                <w:rFonts w:hint="eastAsia" w:ascii="宋体" w:hAnsi="宋体" w:eastAsia="宋体" w:cs="宋体"/>
                <w:color w:val="auto"/>
                <w:kern w:val="0"/>
                <w:sz w:val="25"/>
                <w:szCs w:val="20"/>
                <w:lang w:val="en-US" w:eastAsia="zh-CN" w:bidi="ar"/>
              </w:rPr>
              <w:t>⑤加强对勘探人员的宣传教育，进行环保知识的教育，使其自觉保护植被以及野生动物，严禁工作人员狩猎及踩踏。</w:t>
            </w:r>
          </w:p>
          <w:p w14:paraId="7BF48671">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（4）对生物多样性的影响分析</w:t>
            </w:r>
          </w:p>
          <w:p w14:paraId="132208E1">
            <w:pPr>
              <w:keepNext w:val="0"/>
              <w:keepLines w:val="0"/>
              <w:widowControl/>
              <w:suppressLineNumbers w:val="0"/>
              <w:adjustRightInd w:val="0"/>
              <w:snapToGrid w:val="0"/>
              <w:spacing w:before="0" w:beforeAutospacing="0" w:after="0" w:afterAutospacing="0" w:line="360" w:lineRule="auto"/>
              <w:ind w:left="0" w:right="0" w:firstLine="500" w:firstLineChars="200"/>
              <w:rPr>
                <w:rFonts w:hint="eastAsia" w:ascii="宋体" w:hAnsi="宋体" w:eastAsia="宋体" w:cs="宋体"/>
                <w:color w:val="auto"/>
                <w:kern w:val="0"/>
                <w:sz w:val="25"/>
                <w:szCs w:val="20"/>
                <w:lang w:val="en-US" w:eastAsia="zh-CN" w:bidi="ar"/>
              </w:rPr>
            </w:pPr>
            <w:r>
              <w:rPr>
                <w:rFonts w:hint="eastAsia" w:ascii="宋体" w:hAnsi="宋体" w:eastAsia="宋体" w:cs="宋体"/>
                <w:color w:val="auto"/>
                <w:kern w:val="0"/>
                <w:sz w:val="25"/>
                <w:szCs w:val="20"/>
                <w:lang w:val="en-US" w:eastAsia="zh-CN" w:bidi="ar"/>
              </w:rPr>
              <w:t>本项目探矿工程中因进行钻探平台及施工便道的设置施工，会对占地范围内的植被覆盖路造成面积减少，植被被短时间内完全清除。由于项目工程工期较为短暂且占地面积范围较小，待探矿工程结束后应立即对该占地范围内进行生态恢复，可减轻工作区生物多样性的影响。</w:t>
            </w:r>
          </w:p>
          <w:p w14:paraId="10BCA7C6">
            <w:pPr>
              <w:keepNext w:val="0"/>
              <w:keepLines w:val="0"/>
              <w:widowControl/>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（5）水土流失影响分析</w:t>
            </w:r>
          </w:p>
          <w:p w14:paraId="4716364A">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宋体" w:eastAsia="宋体" w:cs="Times New Roman"/>
                <w:color w:val="auto"/>
                <w:sz w:val="24"/>
                <w:szCs w:val="24"/>
              </w:rPr>
            </w:pPr>
            <w:r>
              <w:rPr>
                <w:rFonts w:hint="eastAsia" w:ascii="Times New Roman" w:hAnsi="Times New Roman" w:eastAsia="宋体" w:cs="Times New Roman"/>
                <w:color w:val="auto"/>
                <w:sz w:val="24"/>
                <w:szCs w:val="24"/>
                <w:lang w:val="en-US" w:eastAsia="zh-CN"/>
              </w:rPr>
              <w:t>项目探矿方式为钻探。钻孔占地面积较小，且为垂直打钻，钻探得到的是岩芯，作为样品带回分析。本次勘探过程中由于工程量较小，且避开雨季施工，勘探过程中扰动地表仅为临时施工便道修建及钻探平台的平整，仅产生少量的表土，临时堆存于勘探区内</w:t>
            </w:r>
            <w:r>
              <w:rPr>
                <w:rFonts w:hint="eastAsia" w:ascii="Times New Roman" w:hAnsi="宋体" w:eastAsia="宋体" w:cs="Times New Roman"/>
                <w:color w:val="auto"/>
                <w:sz w:val="24"/>
                <w:szCs w:val="24"/>
                <w:lang w:val="en-US" w:eastAsia="zh-CN"/>
              </w:rPr>
              <w:t>，采用防雨土工布遮盖，钻探结束钻机支护拆除后，产生的少量表土全部回填于钻孔区。因此，不会造成较大的水土流失。</w:t>
            </w:r>
          </w:p>
          <w:p w14:paraId="69D78D32">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宋体" w:eastAsia="宋体" w:cs="Times New Roman"/>
                <w:color w:val="auto"/>
                <w:sz w:val="24"/>
                <w:szCs w:val="24"/>
              </w:rPr>
            </w:pPr>
            <w:r>
              <w:rPr>
                <w:rFonts w:hint="eastAsia" w:ascii="Times New Roman" w:hAnsi="宋体" w:eastAsia="宋体" w:cs="Times New Roman"/>
                <w:color w:val="auto"/>
                <w:sz w:val="24"/>
                <w:szCs w:val="24"/>
                <w:lang w:val="en-US" w:eastAsia="zh-CN"/>
              </w:rPr>
              <w:t xml:space="preserve">本次评价提出以下措施： </w:t>
            </w:r>
          </w:p>
          <w:p w14:paraId="3508B1D2">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宋体" w:eastAsia="宋体" w:cs="Times New Roman"/>
                <w:color w:val="auto"/>
                <w:sz w:val="24"/>
                <w:szCs w:val="24"/>
              </w:rPr>
            </w:pPr>
            <w:r>
              <w:rPr>
                <w:rFonts w:hint="eastAsia" w:ascii="Times New Roman" w:hAnsi="宋体" w:eastAsia="宋体" w:cs="Times New Roman"/>
                <w:color w:val="auto"/>
                <w:sz w:val="24"/>
                <w:szCs w:val="24"/>
                <w:lang w:val="en-US" w:eastAsia="zh-CN"/>
              </w:rPr>
              <w:t xml:space="preserve">①探矿结束后施工单位必须将临时占用场地平整并立即覆土，恢复植被，恢复原有土地利用功能，以减少水土流失。 </w:t>
            </w:r>
          </w:p>
          <w:p w14:paraId="07BC8154">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宋体" w:eastAsia="宋体" w:cs="Times New Roman"/>
                <w:color w:val="auto"/>
                <w:sz w:val="24"/>
                <w:szCs w:val="24"/>
              </w:rPr>
            </w:pPr>
            <w:r>
              <w:rPr>
                <w:rFonts w:hint="eastAsia" w:ascii="Times New Roman" w:hAnsi="宋体" w:eastAsia="宋体" w:cs="Times New Roman"/>
                <w:color w:val="auto"/>
                <w:sz w:val="24"/>
                <w:szCs w:val="24"/>
                <w:lang w:val="en-US" w:eastAsia="zh-CN"/>
              </w:rPr>
              <w:t xml:space="preserve">②加强施工过程管理，强化施工单位的环保意识，合理安排工序，挖方、填方结合；避免土石方随意倾倒。 </w:t>
            </w:r>
          </w:p>
          <w:p w14:paraId="5F86FE54">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宋体" w:eastAsia="宋体" w:cs="Times New Roman"/>
                <w:color w:val="auto"/>
                <w:sz w:val="24"/>
                <w:szCs w:val="24"/>
              </w:rPr>
            </w:pPr>
            <w:r>
              <w:rPr>
                <w:rFonts w:hint="eastAsia" w:ascii="Times New Roman" w:hAnsi="宋体" w:eastAsia="宋体" w:cs="Times New Roman"/>
                <w:color w:val="auto"/>
                <w:sz w:val="24"/>
                <w:szCs w:val="24"/>
                <w:lang w:val="en-US" w:eastAsia="zh-CN"/>
              </w:rPr>
              <w:t>综上所述，本工程通过对施工方案等多方案改进和优化，通过加强管理和采取以上治理恢复措施后，对周边环境的生态影响将会得到有效的控制，对生态环境影响较小。</w:t>
            </w:r>
          </w:p>
          <w:p w14:paraId="730B8D91">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p>
          <w:p w14:paraId="3E228D7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黑体" w:hAnsi="宋体" w:eastAsia="黑体" w:cs="黑体"/>
                <w:color w:val="auto"/>
                <w:kern w:val="0"/>
                <w:sz w:val="28"/>
                <w:szCs w:val="28"/>
                <w:lang w:val="en-US" w:eastAsia="zh-CN" w:bidi="ar"/>
              </w:rPr>
            </w:pPr>
          </w:p>
          <w:p w14:paraId="011E611B">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auto"/>
                <w:highlight w:val="none"/>
              </w:rPr>
            </w:pPr>
          </w:p>
        </w:tc>
      </w:tr>
      <w:tr w14:paraId="07F87B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6" w:hRule="atLeast"/>
          <w:jc w:val="center"/>
        </w:trPr>
        <w:tc>
          <w:tcPr>
            <w:tcW w:w="426" w:type="dxa"/>
            <w:tcBorders>
              <w:top w:val="single" w:color="auto" w:sz="4" w:space="0"/>
              <w:left w:val="single" w:color="auto" w:sz="8" w:space="0"/>
              <w:right w:val="single" w:color="auto" w:sz="4" w:space="0"/>
            </w:tcBorders>
            <w:noWrap w:val="0"/>
            <w:tcMar>
              <w:top w:w="0" w:type="dxa"/>
              <w:left w:w="28" w:type="dxa"/>
              <w:bottom w:w="0" w:type="dxa"/>
              <w:right w:w="28" w:type="dxa"/>
            </w:tcMar>
            <w:vAlign w:val="center"/>
          </w:tcPr>
          <w:p w14:paraId="7728C7F7">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pacing w:val="10"/>
                <w:kern w:val="2"/>
                <w:sz w:val="21"/>
                <w:szCs w:val="21"/>
                <w:highlight w:val="none"/>
                <w:lang w:val="en-US" w:eastAsia="zh-CN"/>
              </w:rPr>
            </w:pPr>
            <w:r>
              <w:rPr>
                <w:rFonts w:hint="eastAsia" w:ascii="Times New Roman" w:hAnsi="Times New Roman" w:eastAsia="宋体" w:cs="Times New Roman"/>
                <w:b/>
                <w:color w:val="auto"/>
                <w:spacing w:val="10"/>
                <w:kern w:val="2"/>
                <w:sz w:val="21"/>
                <w:szCs w:val="21"/>
                <w:highlight w:val="none"/>
                <w:lang w:val="en-US" w:eastAsia="zh-CN"/>
              </w:rPr>
              <w:t>选址选线环境合理性分析</w:t>
            </w:r>
          </w:p>
        </w:tc>
        <w:tc>
          <w:tcPr>
            <w:tcW w:w="8213" w:type="dxa"/>
            <w:tcBorders>
              <w:top w:val="single" w:color="auto" w:sz="4" w:space="0"/>
              <w:left w:val="single" w:color="auto" w:sz="4" w:space="0"/>
              <w:right w:val="single" w:color="auto" w:sz="8" w:space="0"/>
            </w:tcBorders>
            <w:noWrap w:val="0"/>
            <w:vAlign w:val="top"/>
          </w:tcPr>
          <w:p w14:paraId="48F299E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项目区域环境质量良好，区域交通较为便利</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rPr>
              <w:t>评价区域内无自然保护区、</w:t>
            </w:r>
            <w:r>
              <w:rPr>
                <w:rFonts w:hint="eastAsia" w:ascii="Times New Roman" w:hAnsi="Times New Roman" w:cs="Times New Roman"/>
                <w:color w:val="auto"/>
                <w:sz w:val="24"/>
                <w:szCs w:val="24"/>
                <w:lang w:val="en-US" w:eastAsia="zh-CN"/>
              </w:rPr>
              <w:t>国家公园、</w:t>
            </w:r>
            <w:r>
              <w:rPr>
                <w:rFonts w:hint="eastAsia" w:ascii="Times New Roman" w:hAnsi="Times New Roman" w:cs="Times New Roman"/>
                <w:color w:val="auto"/>
                <w:sz w:val="24"/>
                <w:szCs w:val="24"/>
              </w:rPr>
              <w:t>水源保护区、风景名胜区、</w:t>
            </w:r>
            <w:r>
              <w:rPr>
                <w:rFonts w:hint="eastAsia" w:ascii="Times New Roman" w:hAnsi="Times New Roman" w:cs="Times New Roman"/>
                <w:color w:val="auto"/>
                <w:sz w:val="24"/>
                <w:szCs w:val="24"/>
                <w:lang w:val="en-US" w:eastAsia="zh-CN"/>
              </w:rPr>
              <w:t>森林公园、地质公园、矿产资源规划禁止区和限制区以及生态红线、</w:t>
            </w:r>
            <w:r>
              <w:rPr>
                <w:rFonts w:hint="eastAsia" w:ascii="Times New Roman" w:hAnsi="Times New Roman" w:cs="Times New Roman"/>
                <w:color w:val="auto"/>
                <w:sz w:val="24"/>
                <w:szCs w:val="24"/>
              </w:rPr>
              <w:t>珍贵历史文物景观、学校及医院等环境敏感点分布。</w:t>
            </w:r>
            <w:r>
              <w:rPr>
                <w:rFonts w:hint="eastAsia" w:ascii="Times New Roman" w:hAnsi="Times New Roman" w:cs="Times New Roman"/>
                <w:color w:val="auto"/>
                <w:sz w:val="24"/>
                <w:szCs w:val="24"/>
                <w:lang w:val="en-US" w:eastAsia="zh-CN"/>
              </w:rPr>
              <w:t>本项目在开展勘探工程的同时，</w:t>
            </w:r>
            <w:r>
              <w:rPr>
                <w:rFonts w:hint="eastAsia" w:ascii="Times New Roman" w:hAnsi="Times New Roman" w:cs="Times New Roman"/>
                <w:color w:val="auto"/>
                <w:sz w:val="24"/>
                <w:szCs w:val="24"/>
              </w:rPr>
              <w:t>严格落实相关的环境保护措施后，对外环境及保护目标的影响不大。</w:t>
            </w:r>
          </w:p>
          <w:p w14:paraId="6F14F2F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综上分析，</w:t>
            </w:r>
            <w:r>
              <w:rPr>
                <w:rFonts w:hint="eastAsia" w:ascii="Times New Roman" w:hAnsi="Times New Roman" w:cs="Times New Roman"/>
                <w:color w:val="auto"/>
                <w:sz w:val="24"/>
                <w:szCs w:val="24"/>
                <w:lang w:val="en-US" w:eastAsia="zh-CN"/>
              </w:rPr>
              <w:t>项目</w:t>
            </w:r>
            <w:r>
              <w:rPr>
                <w:rFonts w:hint="eastAsia" w:ascii="Times New Roman" w:hAnsi="Times New Roman" w:cs="Times New Roman"/>
                <w:color w:val="auto"/>
                <w:sz w:val="24"/>
                <w:szCs w:val="24"/>
              </w:rPr>
              <w:t>选址</w:t>
            </w:r>
            <w:r>
              <w:rPr>
                <w:rFonts w:hint="eastAsia" w:ascii="Times New Roman" w:hAnsi="Times New Roman" w:cs="Times New Roman"/>
                <w:color w:val="auto"/>
                <w:sz w:val="24"/>
                <w:szCs w:val="24"/>
                <w:lang w:val="en-US" w:eastAsia="zh-CN"/>
              </w:rPr>
              <w:t>选线环境</w:t>
            </w:r>
            <w:r>
              <w:rPr>
                <w:rFonts w:hint="eastAsia" w:ascii="Times New Roman" w:hAnsi="Times New Roman" w:cs="Times New Roman"/>
                <w:color w:val="auto"/>
                <w:sz w:val="24"/>
                <w:szCs w:val="24"/>
              </w:rPr>
              <w:t>具有合理性。</w:t>
            </w:r>
          </w:p>
          <w:p w14:paraId="2E299ECA">
            <w:pPr>
              <w:pStyle w:val="10"/>
              <w:keepNext w:val="0"/>
              <w:keepLines w:val="0"/>
              <w:suppressLineNumbers w:val="0"/>
              <w:spacing w:beforeAutospacing="0" w:afterAutospacing="0"/>
              <w:ind w:left="0"/>
              <w:rPr>
                <w:rFonts w:hint="eastAsia" w:ascii="Times New Roman" w:hAnsi="Times New Roman" w:cs="Times New Roman"/>
                <w:color w:val="auto"/>
              </w:rPr>
            </w:pPr>
          </w:p>
          <w:p w14:paraId="5D091183">
            <w:pPr>
              <w:keepNext w:val="0"/>
              <w:keepLines w:val="0"/>
              <w:suppressLineNumbers w:val="0"/>
              <w:spacing w:before="0" w:beforeAutospacing="0" w:after="0" w:afterAutospacing="0"/>
              <w:ind w:left="0" w:right="0"/>
              <w:rPr>
                <w:rFonts w:hint="eastAsia" w:ascii="Times New Roman" w:hAnsi="Times New Roman" w:cs="Times New Roman"/>
                <w:color w:val="auto"/>
              </w:rPr>
            </w:pPr>
          </w:p>
          <w:p w14:paraId="367352FB">
            <w:pPr>
              <w:pStyle w:val="10"/>
              <w:keepNext w:val="0"/>
              <w:keepLines w:val="0"/>
              <w:suppressLineNumbers w:val="0"/>
              <w:spacing w:beforeAutospacing="0" w:afterAutospacing="0"/>
              <w:ind w:left="0"/>
              <w:rPr>
                <w:rFonts w:hint="eastAsia" w:ascii="Times New Roman" w:hAnsi="Times New Roman" w:cs="Times New Roman"/>
                <w:color w:val="auto"/>
              </w:rPr>
            </w:pPr>
          </w:p>
          <w:p w14:paraId="53778067">
            <w:pPr>
              <w:keepNext w:val="0"/>
              <w:keepLines w:val="0"/>
              <w:suppressLineNumbers w:val="0"/>
              <w:spacing w:before="0" w:beforeAutospacing="0" w:after="0" w:afterAutospacing="0"/>
              <w:ind w:left="0" w:right="0"/>
              <w:rPr>
                <w:rFonts w:hint="eastAsia" w:ascii="Times New Roman" w:hAnsi="Times New Roman" w:cs="Times New Roman"/>
                <w:color w:val="auto"/>
              </w:rPr>
            </w:pPr>
          </w:p>
          <w:p w14:paraId="47F87F10">
            <w:pPr>
              <w:pStyle w:val="10"/>
              <w:keepNext w:val="0"/>
              <w:keepLines w:val="0"/>
              <w:suppressLineNumbers w:val="0"/>
              <w:spacing w:beforeAutospacing="0" w:afterAutospacing="0"/>
              <w:ind w:left="0"/>
              <w:rPr>
                <w:rFonts w:hint="eastAsia" w:ascii="Times New Roman" w:hAnsi="Times New Roman" w:cs="Times New Roman"/>
                <w:color w:val="auto"/>
              </w:rPr>
            </w:pPr>
          </w:p>
          <w:p w14:paraId="2DB77EE0">
            <w:pPr>
              <w:keepNext w:val="0"/>
              <w:keepLines w:val="0"/>
              <w:suppressLineNumbers w:val="0"/>
              <w:spacing w:before="0" w:beforeAutospacing="0" w:after="0" w:afterAutospacing="0"/>
              <w:ind w:left="0" w:right="0"/>
              <w:rPr>
                <w:rFonts w:hint="eastAsia" w:ascii="Times New Roman" w:hAnsi="Times New Roman" w:cs="Times New Roman"/>
                <w:color w:val="auto"/>
              </w:rPr>
            </w:pPr>
          </w:p>
          <w:p w14:paraId="7988E94D">
            <w:pPr>
              <w:pStyle w:val="10"/>
              <w:keepNext w:val="0"/>
              <w:keepLines w:val="0"/>
              <w:suppressLineNumbers w:val="0"/>
              <w:spacing w:beforeAutospacing="0" w:afterAutospacing="0"/>
              <w:ind w:left="0"/>
              <w:rPr>
                <w:rFonts w:hint="eastAsia" w:ascii="Times New Roman" w:hAnsi="Times New Roman" w:cs="Times New Roman"/>
                <w:color w:val="auto"/>
              </w:rPr>
            </w:pPr>
          </w:p>
          <w:p w14:paraId="34782884">
            <w:pPr>
              <w:keepNext w:val="0"/>
              <w:keepLines w:val="0"/>
              <w:suppressLineNumbers w:val="0"/>
              <w:spacing w:before="0" w:beforeAutospacing="0" w:after="0" w:afterAutospacing="0"/>
              <w:ind w:left="0" w:right="0"/>
              <w:rPr>
                <w:rFonts w:hint="eastAsia" w:ascii="Times New Roman" w:hAnsi="Times New Roman" w:cs="Times New Roman"/>
                <w:color w:val="auto"/>
              </w:rPr>
            </w:pPr>
          </w:p>
          <w:p w14:paraId="2AC5CFFC">
            <w:pPr>
              <w:pStyle w:val="10"/>
              <w:keepNext w:val="0"/>
              <w:keepLines w:val="0"/>
              <w:suppressLineNumbers w:val="0"/>
              <w:spacing w:beforeAutospacing="0" w:afterAutospacing="0"/>
              <w:ind w:left="0"/>
              <w:rPr>
                <w:rFonts w:hint="eastAsia" w:ascii="Times New Roman" w:hAnsi="Times New Roman" w:cs="Times New Roman"/>
                <w:color w:val="auto"/>
              </w:rPr>
            </w:pPr>
          </w:p>
          <w:p w14:paraId="7991BB94">
            <w:pPr>
              <w:keepNext w:val="0"/>
              <w:keepLines w:val="0"/>
              <w:suppressLineNumbers w:val="0"/>
              <w:spacing w:before="0" w:beforeAutospacing="0" w:after="0" w:afterAutospacing="0"/>
              <w:ind w:left="0" w:right="0"/>
              <w:rPr>
                <w:rFonts w:hint="eastAsia" w:ascii="Times New Roman" w:hAnsi="Times New Roman" w:cs="Times New Roman"/>
                <w:color w:val="auto"/>
              </w:rPr>
            </w:pPr>
          </w:p>
          <w:p w14:paraId="03207653">
            <w:pPr>
              <w:pStyle w:val="10"/>
              <w:keepNext w:val="0"/>
              <w:keepLines w:val="0"/>
              <w:suppressLineNumbers w:val="0"/>
              <w:spacing w:beforeAutospacing="0" w:afterAutospacing="0"/>
              <w:ind w:left="0"/>
              <w:rPr>
                <w:rFonts w:hint="eastAsia" w:ascii="Times New Roman" w:hAnsi="Times New Roman" w:cs="Times New Roman"/>
                <w:color w:val="auto"/>
              </w:rPr>
            </w:pPr>
          </w:p>
          <w:p w14:paraId="60759C00">
            <w:pPr>
              <w:pStyle w:val="10"/>
              <w:keepNext w:val="0"/>
              <w:keepLines w:val="0"/>
              <w:suppressLineNumbers w:val="0"/>
              <w:spacing w:beforeAutospacing="0" w:afterAutospacing="0"/>
              <w:ind w:left="0"/>
              <w:rPr>
                <w:rFonts w:hint="eastAsia" w:ascii="Times New Roman" w:hAnsi="Times New Roman" w:cs="Times New Roman"/>
                <w:color w:val="auto"/>
              </w:rPr>
            </w:pPr>
          </w:p>
          <w:p w14:paraId="2D5D3881">
            <w:pPr>
              <w:keepNext w:val="0"/>
              <w:keepLines w:val="0"/>
              <w:suppressLineNumbers w:val="0"/>
              <w:spacing w:before="0" w:beforeAutospacing="0" w:after="0" w:afterAutospacing="0"/>
              <w:ind w:left="0" w:right="0"/>
              <w:rPr>
                <w:rFonts w:hint="eastAsia" w:ascii="Times New Roman" w:hAnsi="Times New Roman" w:cs="Times New Roman"/>
                <w:color w:val="auto"/>
              </w:rPr>
            </w:pPr>
          </w:p>
          <w:p w14:paraId="78233975">
            <w:pPr>
              <w:pStyle w:val="10"/>
              <w:keepNext w:val="0"/>
              <w:keepLines w:val="0"/>
              <w:suppressLineNumbers w:val="0"/>
              <w:spacing w:beforeAutospacing="0" w:afterAutospacing="0"/>
              <w:ind w:left="0"/>
              <w:rPr>
                <w:rFonts w:hint="eastAsia" w:ascii="Times New Roman" w:hAnsi="Times New Roman" w:cs="Times New Roman"/>
                <w:color w:val="auto"/>
              </w:rPr>
            </w:pPr>
          </w:p>
          <w:p w14:paraId="14F361E1">
            <w:pPr>
              <w:keepNext w:val="0"/>
              <w:keepLines w:val="0"/>
              <w:suppressLineNumbers w:val="0"/>
              <w:spacing w:before="0" w:beforeAutospacing="0" w:after="0" w:afterAutospacing="0"/>
              <w:ind w:left="0" w:right="0"/>
              <w:rPr>
                <w:rFonts w:hint="eastAsia" w:ascii="Times New Roman" w:hAnsi="Times New Roman" w:cs="Times New Roman"/>
                <w:color w:val="auto"/>
              </w:rPr>
            </w:pPr>
          </w:p>
          <w:p w14:paraId="31505457">
            <w:pPr>
              <w:pStyle w:val="10"/>
              <w:keepNext w:val="0"/>
              <w:keepLines w:val="0"/>
              <w:suppressLineNumbers w:val="0"/>
              <w:spacing w:beforeAutospacing="0" w:afterAutospacing="0"/>
              <w:ind w:left="0"/>
              <w:rPr>
                <w:rFonts w:hint="eastAsia" w:ascii="Times New Roman" w:hAnsi="Times New Roman" w:cs="Times New Roman"/>
                <w:color w:val="auto"/>
              </w:rPr>
            </w:pPr>
          </w:p>
          <w:p w14:paraId="30FC7FA0">
            <w:pPr>
              <w:keepNext w:val="0"/>
              <w:keepLines w:val="0"/>
              <w:suppressLineNumbers w:val="0"/>
              <w:spacing w:before="0" w:beforeAutospacing="0" w:after="0" w:afterAutospacing="0"/>
              <w:ind w:left="0" w:right="0"/>
              <w:rPr>
                <w:rFonts w:hint="eastAsia" w:ascii="Times New Roman" w:hAnsi="Times New Roman" w:cs="Times New Roman"/>
                <w:color w:val="auto"/>
              </w:rPr>
            </w:pPr>
          </w:p>
          <w:p w14:paraId="529F3051">
            <w:pPr>
              <w:pStyle w:val="10"/>
              <w:keepNext w:val="0"/>
              <w:keepLines w:val="0"/>
              <w:suppressLineNumbers w:val="0"/>
              <w:spacing w:beforeAutospacing="0" w:afterAutospacing="0"/>
              <w:ind w:left="0"/>
              <w:rPr>
                <w:rFonts w:hint="eastAsia" w:ascii="Times New Roman" w:hAnsi="Times New Roman" w:cs="Times New Roman"/>
                <w:color w:val="auto"/>
              </w:rPr>
            </w:pPr>
          </w:p>
          <w:p w14:paraId="3D768877">
            <w:pPr>
              <w:keepNext w:val="0"/>
              <w:keepLines w:val="0"/>
              <w:suppressLineNumbers w:val="0"/>
              <w:spacing w:before="0" w:beforeAutospacing="0" w:after="0" w:afterAutospacing="0"/>
              <w:ind w:left="0" w:right="0"/>
              <w:rPr>
                <w:rFonts w:hint="eastAsia" w:ascii="Times New Roman" w:hAnsi="Times New Roman" w:cs="Times New Roman"/>
                <w:color w:val="auto"/>
              </w:rPr>
            </w:pPr>
          </w:p>
          <w:p w14:paraId="61487F52">
            <w:pPr>
              <w:pStyle w:val="2"/>
              <w:keepNext w:val="0"/>
              <w:keepLines w:val="0"/>
              <w:suppressLineNumbers w:val="0"/>
              <w:spacing w:before="0" w:beforeAutospacing="0" w:after="0" w:afterAutospacing="0"/>
              <w:ind w:left="0" w:right="0"/>
              <w:rPr>
                <w:rFonts w:hint="eastAsia" w:cs="Times New Roman"/>
                <w:color w:val="auto"/>
              </w:rPr>
            </w:pPr>
          </w:p>
          <w:p w14:paraId="15E07A12">
            <w:pPr>
              <w:keepNext w:val="0"/>
              <w:keepLines w:val="0"/>
              <w:suppressLineNumbers w:val="0"/>
              <w:spacing w:before="0" w:beforeAutospacing="0" w:after="0" w:afterAutospacing="0"/>
              <w:ind w:left="0" w:right="0"/>
              <w:rPr>
                <w:rFonts w:hint="eastAsia" w:ascii="Times New Roman" w:hAnsi="Times New Roman" w:cs="Times New Roman"/>
                <w:color w:val="auto"/>
              </w:rPr>
            </w:pPr>
          </w:p>
          <w:p w14:paraId="7094DBBD">
            <w:pPr>
              <w:keepNext w:val="0"/>
              <w:keepLines w:val="0"/>
              <w:suppressLineNumbers w:val="0"/>
              <w:spacing w:before="0" w:beforeAutospacing="0" w:after="0" w:afterAutospacing="0"/>
              <w:ind w:left="0" w:right="0"/>
              <w:rPr>
                <w:rFonts w:hint="eastAsia" w:ascii="Times New Roman" w:hAnsi="Times New Roman" w:cs="Times New Roman"/>
                <w:color w:val="auto"/>
              </w:rPr>
            </w:pPr>
          </w:p>
          <w:p w14:paraId="59129DB0">
            <w:pPr>
              <w:pStyle w:val="10"/>
              <w:keepNext w:val="0"/>
              <w:keepLines w:val="0"/>
              <w:suppressLineNumbers w:val="0"/>
              <w:spacing w:beforeAutospacing="0" w:afterAutospacing="0"/>
              <w:ind w:left="0"/>
              <w:rPr>
                <w:rFonts w:hint="default" w:ascii="Times New Roman" w:hAnsi="Times New Roman" w:cs="Times New Roman"/>
                <w:color w:val="auto"/>
              </w:rPr>
            </w:pPr>
          </w:p>
        </w:tc>
      </w:tr>
    </w:tbl>
    <w:p w14:paraId="19DD61F5">
      <w:pPr>
        <w:pStyle w:val="2"/>
        <w:rPr>
          <w:rFonts w:hint="eastAsia"/>
          <w:color w:val="auto"/>
          <w:highlight w:val="none"/>
        </w:rPr>
        <w:sectPr>
          <w:pgSz w:w="11905" w:h="16838"/>
          <w:pgMar w:top="1440" w:right="1701" w:bottom="1440" w:left="1701" w:header="851" w:footer="1077" w:gutter="0"/>
          <w:pgNumType w:fmt="decimal"/>
          <w:cols w:space="720" w:num="1"/>
          <w:docGrid w:type="lines" w:linePitch="317" w:charSpace="0"/>
        </w:sectPr>
      </w:pPr>
    </w:p>
    <w:p w14:paraId="560FCD17">
      <w:pPr>
        <w:pStyle w:val="3"/>
        <w:jc w:val="center"/>
        <w:rPr>
          <w:rFonts w:hint="eastAsia" w:ascii="宋体" w:hAnsi="宋体"/>
          <w:color w:val="auto"/>
          <w:highlight w:val="none"/>
        </w:rPr>
      </w:pPr>
      <w:bookmarkStart w:id="45" w:name="_Toc25529"/>
      <w:r>
        <w:rPr>
          <w:rFonts w:ascii="宋体" w:hAnsi="宋体"/>
          <w:color w:val="auto"/>
          <w:highlight w:val="none"/>
        </w:rPr>
        <w:t>五、主要生态环境保护措施</w:t>
      </w:r>
      <w:bookmarkEnd w:id="45"/>
    </w:p>
    <w:tbl>
      <w:tblPr>
        <w:tblStyle w:val="31"/>
        <w:tblW w:w="502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8183"/>
      </w:tblGrid>
      <w:tr w14:paraId="0F0F7F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4" w:hRule="atLeast"/>
          <w:jc w:val="center"/>
        </w:trPr>
        <w:tc>
          <w:tcPr>
            <w:tcW w:w="286" w:type="pct"/>
            <w:tcBorders>
              <w:top w:val="single" w:color="auto" w:sz="8" w:space="0"/>
              <w:left w:val="single" w:color="auto" w:sz="8" w:space="0"/>
              <w:bottom w:val="single" w:color="auto" w:sz="4" w:space="0"/>
              <w:right w:val="single" w:color="auto" w:sz="4" w:space="0"/>
            </w:tcBorders>
            <w:noWrap w:val="0"/>
            <w:tcMar>
              <w:top w:w="0" w:type="dxa"/>
              <w:left w:w="28" w:type="dxa"/>
              <w:bottom w:w="0" w:type="dxa"/>
              <w:right w:w="28" w:type="dxa"/>
            </w:tcMar>
            <w:vAlign w:val="center"/>
          </w:tcPr>
          <w:p w14:paraId="29DB0FC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auto"/>
                <w:sz w:val="24"/>
                <w:szCs w:val="24"/>
                <w:highlight w:val="none"/>
              </w:rPr>
            </w:pPr>
            <w:r>
              <w:rPr>
                <w:rFonts w:hint="default" w:ascii="Times New Roman" w:hAnsi="Times New Roman" w:cs="Times New Roman"/>
                <w:b/>
                <w:bCs w:val="0"/>
                <w:color w:val="auto"/>
                <w:spacing w:val="10"/>
                <w:sz w:val="24"/>
                <w:szCs w:val="24"/>
                <w:highlight w:val="none"/>
              </w:rPr>
              <w:t>施工期生态环境保护措施</w:t>
            </w:r>
          </w:p>
        </w:tc>
        <w:tc>
          <w:tcPr>
            <w:tcW w:w="4713" w:type="pct"/>
            <w:tcBorders>
              <w:top w:val="single" w:color="auto" w:sz="8" w:space="0"/>
              <w:left w:val="nil"/>
              <w:bottom w:val="single" w:color="auto" w:sz="4" w:space="0"/>
              <w:right w:val="single" w:color="auto" w:sz="8" w:space="0"/>
            </w:tcBorders>
            <w:noWrap w:val="0"/>
            <w:vAlign w:val="center"/>
          </w:tcPr>
          <w:p w14:paraId="7A292526">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本项目探矿工程施工期与 运营期几乎同步进行，故对生态环境影响基本一致，本次评价重点对运营期生态环境保护措施进行分析。</w:t>
            </w:r>
          </w:p>
          <w:p w14:paraId="7D532C7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jc w:val="both"/>
              <w:textAlignment w:val="auto"/>
              <w:rPr>
                <w:rFonts w:hint="eastAsia" w:ascii="Times New Roman" w:hAnsi="Times New Roman" w:eastAsia="宋体" w:cs="Times New Roman"/>
                <w:color w:val="auto"/>
                <w:highlight w:val="none"/>
                <w:lang w:val="en-US" w:eastAsia="zh-CN"/>
              </w:rPr>
            </w:pPr>
          </w:p>
        </w:tc>
      </w:tr>
      <w:tr w14:paraId="216166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 w:type="pct"/>
            <w:tcBorders>
              <w:top w:val="single" w:color="auto" w:sz="4" w:space="0"/>
              <w:left w:val="single" w:color="auto" w:sz="8" w:space="0"/>
              <w:bottom w:val="single" w:color="auto" w:sz="4" w:space="0"/>
              <w:right w:val="single" w:color="auto" w:sz="4" w:space="0"/>
            </w:tcBorders>
            <w:noWrap w:val="0"/>
            <w:tcMar>
              <w:top w:w="0" w:type="dxa"/>
              <w:left w:w="28" w:type="dxa"/>
              <w:bottom w:w="0" w:type="dxa"/>
              <w:right w:w="28" w:type="dxa"/>
            </w:tcMar>
            <w:vAlign w:val="center"/>
          </w:tcPr>
          <w:p w14:paraId="2353043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auto"/>
                <w:spacing w:val="10"/>
                <w:sz w:val="24"/>
                <w:szCs w:val="24"/>
                <w:highlight w:val="none"/>
              </w:rPr>
            </w:pPr>
            <w:r>
              <w:rPr>
                <w:rFonts w:hint="default" w:ascii="Times New Roman" w:hAnsi="Times New Roman" w:cs="Times New Roman"/>
                <w:b/>
                <w:bCs w:val="0"/>
                <w:color w:val="auto"/>
                <w:spacing w:val="10"/>
                <w:sz w:val="24"/>
                <w:szCs w:val="24"/>
                <w:highlight w:val="none"/>
              </w:rPr>
              <w:t>运营期生态环境保护措施</w:t>
            </w:r>
          </w:p>
        </w:tc>
        <w:tc>
          <w:tcPr>
            <w:tcW w:w="4713" w:type="pct"/>
            <w:tcBorders>
              <w:top w:val="single" w:color="auto" w:sz="4" w:space="0"/>
              <w:left w:val="nil"/>
              <w:bottom w:val="single" w:color="auto" w:sz="4" w:space="0"/>
              <w:right w:val="single" w:color="auto" w:sz="8" w:space="0"/>
            </w:tcBorders>
            <w:noWrap w:val="0"/>
            <w:vAlign w:val="top"/>
          </w:tcPr>
          <w:p w14:paraId="678B69AE">
            <w:pPr>
              <w:pStyle w:val="26"/>
              <w:keepNext w:val="0"/>
              <w:keepLines w:val="0"/>
              <w:suppressLineNumbers w:val="0"/>
              <w:spacing w:before="0" w:beforeAutospacing="0" w:after="0" w:afterAutospacing="0" w:line="360" w:lineRule="auto"/>
              <w:ind w:left="0" w:right="0"/>
              <w:outlineLvl w:val="2"/>
              <w:rPr>
                <w:rFonts w:hint="default" w:ascii="Times New Roman" w:hAnsi="Times New Roman" w:cs="Times New Roman"/>
                <w:b/>
                <w:color w:val="auto"/>
                <w:kern w:val="2"/>
                <w:szCs w:val="24"/>
                <w:highlight w:val="none"/>
              </w:rPr>
            </w:pPr>
            <w:r>
              <w:rPr>
                <w:rFonts w:hint="eastAsia" w:cs="Times New Roman"/>
                <w:b/>
                <w:color w:val="auto"/>
                <w:sz w:val="24"/>
                <w:highlight w:val="none"/>
                <w:lang w:val="en-US" w:eastAsia="zh-CN"/>
              </w:rPr>
              <w:t>1、</w:t>
            </w:r>
            <w:r>
              <w:rPr>
                <w:rFonts w:hint="default" w:ascii="Times New Roman" w:cs="Times New Roman"/>
                <w:b/>
                <w:color w:val="auto"/>
                <w:kern w:val="2"/>
                <w:highlight w:val="none"/>
              </w:rPr>
              <w:t>废气防治措施</w:t>
            </w:r>
          </w:p>
          <w:p w14:paraId="694E2C25">
            <w:pPr>
              <w:keepNext w:val="0"/>
              <w:keepLines w:val="0"/>
              <w:suppressLineNumbers w:val="0"/>
              <w:spacing w:before="0" w:beforeAutospacing="0" w:after="0" w:afterAutospacing="0" w:line="360" w:lineRule="auto"/>
              <w:ind w:left="0" w:right="0" w:firstLine="480" w:firstLineChars="200"/>
              <w:jc w:val="both"/>
              <w:rPr>
                <w:rFonts w:hint="eastAsia" w:ascii="宋体" w:hAnsi="宋体" w:cs="Times New Roman"/>
                <w:color w:val="auto"/>
                <w:sz w:val="24"/>
                <w:lang w:val="en-US"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eastAsia" w:ascii="宋体" w:hAnsi="宋体" w:cs="Times New Roman"/>
                <w:color w:val="auto"/>
                <w:sz w:val="24"/>
                <w:lang w:val="en-US" w:eastAsia="zh-CN"/>
              </w:rPr>
              <w:t>采取洒水</w:t>
            </w:r>
            <w:r>
              <w:rPr>
                <w:rFonts w:hint="eastAsia" w:ascii="宋体" w:hAnsi="宋体" w:eastAsia="宋体" w:cs="Times New Roman"/>
                <w:color w:val="auto"/>
                <w:sz w:val="24"/>
                <w:lang w:val="en-US" w:eastAsia="zh-CN"/>
              </w:rPr>
              <w:t>降尘，钻孔区的弃土石方采用土工布遮盖等措施后可有效减少扬尘的排放。大量接触粉尘的作业人员须</w:t>
            </w:r>
            <w:r>
              <w:rPr>
                <w:rFonts w:hint="eastAsia" w:ascii="宋体" w:hAnsi="宋体" w:cs="Times New Roman"/>
                <w:color w:val="auto"/>
                <w:sz w:val="24"/>
                <w:lang w:val="en-US" w:eastAsia="zh-CN"/>
              </w:rPr>
              <w:t>佩戴口罩</w:t>
            </w:r>
            <w:r>
              <w:rPr>
                <w:rFonts w:hint="eastAsia" w:ascii="宋体" w:hAnsi="宋体" w:eastAsia="宋体" w:cs="Times New Roman"/>
                <w:color w:val="auto"/>
                <w:sz w:val="24"/>
                <w:lang w:val="en-US" w:eastAsia="zh-CN"/>
              </w:rPr>
              <w:t>等个人防护用具。</w:t>
            </w:r>
          </w:p>
          <w:p w14:paraId="7E672C0F">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对柴油发电机及时进行维护和保养，保证正常作业，燃油废气通过自然扩散，山林吸附，</w:t>
            </w:r>
            <w:r>
              <w:rPr>
                <w:rFonts w:hint="default" w:ascii="Times New Roman" w:hAnsi="Times New Roman" w:eastAsia="宋体" w:cs="Times New Roman"/>
                <w:color w:val="auto"/>
                <w:sz w:val="24"/>
                <w:szCs w:val="24"/>
                <w:highlight w:val="none"/>
              </w:rPr>
              <w:t>可以降低</w:t>
            </w:r>
            <w:r>
              <w:rPr>
                <w:rFonts w:hint="eastAsia" w:ascii="Times New Roman" w:hAnsi="Times New Roman" w:eastAsia="宋体" w:cs="Times New Roman"/>
                <w:color w:val="auto"/>
                <w:sz w:val="24"/>
                <w:szCs w:val="24"/>
                <w:highlight w:val="none"/>
                <w:lang w:val="en-US" w:eastAsia="zh-CN"/>
              </w:rPr>
              <w:t>燃油废气</w:t>
            </w:r>
            <w:r>
              <w:rPr>
                <w:rFonts w:hint="default" w:ascii="Times New Roman" w:hAnsi="Times New Roman" w:eastAsia="宋体" w:cs="Times New Roman"/>
                <w:color w:val="auto"/>
                <w:sz w:val="24"/>
                <w:szCs w:val="24"/>
                <w:highlight w:val="none"/>
              </w:rPr>
              <w:t>对区域空气环境的影响。</w:t>
            </w:r>
          </w:p>
          <w:p w14:paraId="12B49599">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w:t>
            </w:r>
            <w:r>
              <w:rPr>
                <w:rFonts w:hint="eastAsia" w:ascii="Times New Roman" w:hAnsi="Times New Roman" w:eastAsia="宋体" w:cs="Times New Roman"/>
                <w:color w:val="auto"/>
                <w:sz w:val="24"/>
                <w:szCs w:val="24"/>
                <w:highlight w:val="none"/>
                <w:lang w:val="en-US" w:eastAsia="zh-CN"/>
              </w:rPr>
              <w:t>依托矿区已有的办公生活区食堂，要求食堂增设1套合格的</w:t>
            </w:r>
            <w:r>
              <w:rPr>
                <w:rFonts w:hint="default" w:ascii="Times New Roman" w:hAnsi="Times New Roman" w:eastAsia="宋体" w:cs="Times New Roman"/>
                <w:color w:val="auto"/>
                <w:sz w:val="24"/>
                <w:szCs w:val="24"/>
                <w:highlight w:val="none"/>
              </w:rPr>
              <w:t>油烟净化装置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净化率为</w:t>
            </w:r>
            <w:r>
              <w:rPr>
                <w:rFonts w:hint="default" w:ascii="Times New Roman" w:hAnsi="Times New Roman" w:eastAsia="宋体"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以上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处理后，能达到《饮食业油烟排放标准》（GB18483-2008）排放。</w:t>
            </w:r>
          </w:p>
          <w:p w14:paraId="049AA58F">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合理安排清掏化粪池时间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保证卫生间的清洁，及时清运项目区垃圾及卫生间废物，避免产生异味。</w:t>
            </w:r>
            <w:r>
              <w:rPr>
                <w:rFonts w:hint="default" w:ascii="Times New Roman" w:hAnsi="Times New Roman" w:eastAsia="宋体" w:cs="Times New Roman"/>
                <w:color w:val="auto"/>
                <w:sz w:val="24"/>
                <w:szCs w:val="24"/>
                <w:highlight w:val="none"/>
              </w:rPr>
              <w:t>经</w:t>
            </w:r>
            <w:r>
              <w:rPr>
                <w:rFonts w:hint="default" w:ascii="Times New Roman" w:hAnsi="Times New Roman" w:eastAsia="宋体" w:cs="Times New Roman"/>
                <w:color w:val="auto"/>
                <w:sz w:val="24"/>
                <w:szCs w:val="24"/>
                <w:highlight w:val="none"/>
                <w:lang w:eastAsia="zh-CN"/>
              </w:rPr>
              <w:t>通过自然空气扩散，</w:t>
            </w:r>
            <w:r>
              <w:rPr>
                <w:rFonts w:hint="default" w:ascii="Times New Roman" w:hAnsi="Times New Roman" w:eastAsia="宋体" w:cs="Times New Roman"/>
                <w:color w:val="auto"/>
                <w:sz w:val="24"/>
                <w:szCs w:val="24"/>
                <w:highlight w:val="none"/>
                <w:lang w:val="en-US" w:eastAsia="zh-CN"/>
              </w:rPr>
              <w:t>植被</w:t>
            </w:r>
            <w:r>
              <w:rPr>
                <w:rFonts w:hint="default" w:ascii="Times New Roman" w:hAnsi="Times New Roman" w:eastAsia="宋体" w:cs="Times New Roman"/>
                <w:color w:val="auto"/>
                <w:sz w:val="24"/>
                <w:szCs w:val="24"/>
                <w:highlight w:val="none"/>
                <w:lang w:eastAsia="zh-CN"/>
              </w:rPr>
              <w:t>吸附后，对周围环境影响不大</w:t>
            </w:r>
            <w:r>
              <w:rPr>
                <w:rFonts w:hint="default" w:ascii="Times New Roman" w:hAnsi="Times New Roman" w:eastAsia="宋体" w:cs="Times New Roman"/>
                <w:color w:val="auto"/>
                <w:sz w:val="24"/>
                <w:szCs w:val="24"/>
                <w:highlight w:val="none"/>
              </w:rPr>
              <w:t>。</w:t>
            </w:r>
          </w:p>
          <w:p w14:paraId="74B6AE99">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综上所述，采取以上大气污染防治措施后，对周围大气环境影响不大。</w:t>
            </w:r>
          </w:p>
          <w:p w14:paraId="73737C54">
            <w:pPr>
              <w:pStyle w:val="101"/>
              <w:suppressLineNumbers w:val="0"/>
              <w:ind w:left="0" w:right="0"/>
              <w:rPr>
                <w:rFonts w:hint="eastAsia" w:ascii="Times New Roman" w:hAnsi="Times New Roman" w:cs="Times New Roman"/>
                <w:color w:val="auto"/>
                <w:highlight w:val="none"/>
              </w:rPr>
            </w:pPr>
            <w:r>
              <w:rPr>
                <w:rFonts w:hint="eastAsia" w:ascii="Times New Roman" w:hAnsi="Times New Roman" w:eastAsia="宋体" w:cs="Times New Roman"/>
                <w:color w:val="auto"/>
                <w:highlight w:val="none"/>
                <w:lang w:val="en-US" w:eastAsia="zh-CN"/>
              </w:rPr>
              <w:t>2、</w:t>
            </w:r>
            <w:r>
              <w:rPr>
                <w:rFonts w:hint="eastAsia" w:ascii="宋体" w:hAnsi="宋体" w:eastAsia="宋体" w:cs="宋体"/>
                <w:color w:val="auto"/>
                <w:highlight w:val="none"/>
              </w:rPr>
              <w:t>废水防治措施</w:t>
            </w:r>
          </w:p>
          <w:p w14:paraId="551AD53B">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（1）探矿在旱季施工，避开雨季，减少淋滤废水。</w:t>
            </w:r>
          </w:p>
          <w:p w14:paraId="163AE09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kern w:val="0"/>
                <w:sz w:val="24"/>
                <w:highlight w:val="none"/>
              </w:rPr>
            </w:pPr>
            <w:r>
              <w:rPr>
                <w:rFonts w:hint="eastAsia" w:ascii="宋体" w:hAnsi="宋体" w:eastAsia="宋体" w:cs="Times New Roman"/>
                <w:color w:val="auto"/>
                <w:kern w:val="2"/>
                <w:sz w:val="24"/>
                <w:szCs w:val="24"/>
                <w:lang w:val="en-US" w:eastAsia="zh-CN" w:bidi="ar-SA"/>
              </w:rPr>
              <w:t>（2）</w:t>
            </w:r>
            <w:r>
              <w:rPr>
                <w:rFonts w:hint="eastAsia" w:ascii="Times New Roman" w:hAnsi="Times New Roman" w:eastAsia="宋体" w:cs="Times New Roman"/>
                <w:b w:val="0"/>
                <w:bCs w:val="0"/>
                <w:color w:val="auto"/>
                <w:kern w:val="2"/>
                <w:sz w:val="24"/>
                <w:szCs w:val="24"/>
                <w:highlight w:val="none"/>
                <w:lang w:val="en-US" w:eastAsia="zh-CN" w:bidi="ar-SA"/>
              </w:rPr>
              <w:t>实行</w:t>
            </w:r>
            <w:r>
              <w:rPr>
                <w:rFonts w:hint="default" w:ascii="Times New Roman" w:hAnsi="Times New Roman" w:eastAsia="宋体" w:cs="Times New Roman"/>
                <w:b w:val="0"/>
                <w:bCs w:val="0"/>
                <w:color w:val="auto"/>
                <w:kern w:val="2"/>
                <w:sz w:val="24"/>
                <w:szCs w:val="24"/>
                <w:highlight w:val="none"/>
                <w:lang w:val="en-US" w:eastAsia="zh-CN" w:bidi="ar-SA"/>
              </w:rPr>
              <w:t>雨污分流</w:t>
            </w:r>
            <w:r>
              <w:rPr>
                <w:rFonts w:hint="eastAsia" w:ascii="Times New Roman" w:hAnsi="Times New Roman" w:eastAsia="宋体" w:cs="Times New Roman"/>
                <w:b w:val="0"/>
                <w:bCs w:val="0"/>
                <w:color w:val="auto"/>
                <w:kern w:val="2"/>
                <w:sz w:val="24"/>
                <w:szCs w:val="24"/>
                <w:highlight w:val="none"/>
                <w:lang w:val="en-US" w:eastAsia="zh-CN" w:bidi="ar-SA"/>
              </w:rPr>
              <w:t>排水方式</w:t>
            </w:r>
            <w:r>
              <w:rPr>
                <w:rFonts w:hint="default"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color w:val="auto"/>
                <w:sz w:val="24"/>
                <w:highlight w:val="none"/>
                <w:lang w:val="en-US" w:eastAsia="zh-CN"/>
              </w:rPr>
              <w:t>雨水通过场区内的</w:t>
            </w:r>
            <w:r>
              <w:rPr>
                <w:rFonts w:hint="eastAsia" w:ascii="Times New Roman" w:hAnsi="Times New Roman" w:eastAsia="宋体" w:cs="Times New Roman"/>
                <w:color w:val="auto"/>
                <w:sz w:val="24"/>
                <w:highlight w:val="none"/>
                <w:lang w:val="en-US" w:eastAsia="zh-CN"/>
              </w:rPr>
              <w:t>截排水沟</w:t>
            </w:r>
            <w:r>
              <w:rPr>
                <w:rFonts w:hint="default" w:ascii="Times New Roman" w:hAnsi="Times New Roman" w:eastAsia="宋体" w:cs="Times New Roman"/>
                <w:color w:val="auto"/>
                <w:sz w:val="24"/>
                <w:highlight w:val="none"/>
                <w:lang w:val="en-US" w:eastAsia="zh-CN"/>
              </w:rPr>
              <w:t>引至场区外周边</w:t>
            </w:r>
            <w:r>
              <w:rPr>
                <w:rFonts w:hint="eastAsia" w:ascii="宋体" w:hAnsi="宋体" w:cs="Times New Roman"/>
                <w:color w:val="auto"/>
                <w:kern w:val="0"/>
                <w:sz w:val="24"/>
                <w:highlight w:val="none"/>
              </w:rPr>
              <w:t>地表径流。</w:t>
            </w:r>
          </w:p>
          <w:p w14:paraId="43F259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（3）泥浆水从孔底沿着钻孔送至地表，排入每个钻探平台设置的临时沉淀池沉淀后（沉淀池内铺设防水土工布，容积</w:t>
            </w:r>
            <w:r>
              <w:rPr>
                <w:rFonts w:hint="default" w:ascii="Times New Roman" w:hAnsi="Times New Roman" w:eastAsia="宋体" w:cs="Times New Roman"/>
                <w:color w:val="auto"/>
                <w:kern w:val="2"/>
                <w:sz w:val="24"/>
                <w:szCs w:val="24"/>
                <w:lang w:val="en-US" w:eastAsia="zh-CN" w:bidi="ar-SA"/>
              </w:rPr>
              <w:t>为1.0m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）循环使用，不外排。待探矿结束后，沉淀池上清液用于场地洒水降尘。</w:t>
            </w:r>
          </w:p>
          <w:p w14:paraId="35B4ED5E">
            <w:pPr>
              <w:keepNext w:val="0"/>
              <w:keepLines w:val="0"/>
              <w:suppressLineNumbers w:val="0"/>
              <w:tabs>
                <w:tab w:val="left" w:pos="6482"/>
              </w:tabs>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highlight w:val="none"/>
                <w:lang w:val="en-US" w:eastAsia="zh-CN"/>
              </w:rPr>
              <w:t>（4）生活污水经过矿区办公生活区已有的化粪池（容积30m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）沉淀</w:t>
            </w:r>
            <w:r>
              <w:rPr>
                <w:rFonts w:hint="default" w:ascii="Times New Roman" w:hAnsi="Times New Roman" w:eastAsia="宋体" w:cs="Times New Roman"/>
                <w:color w:val="auto"/>
                <w:sz w:val="24"/>
                <w:szCs w:val="24"/>
                <w:lang w:val="en-US" w:eastAsia="zh-CN"/>
              </w:rPr>
              <w:t>发酵处理后，定期由</w:t>
            </w:r>
            <w:r>
              <w:rPr>
                <w:rFonts w:hint="eastAsia" w:ascii="Times New Roman" w:hAnsi="Times New Roman" w:eastAsia="宋体" w:cs="Times New Roman"/>
                <w:color w:val="auto"/>
                <w:sz w:val="24"/>
                <w:szCs w:val="24"/>
                <w:lang w:val="en-US" w:eastAsia="zh-CN"/>
              </w:rPr>
              <w:t>清掏作为周边山林施肥使用</w:t>
            </w:r>
            <w:r>
              <w:rPr>
                <w:rFonts w:hint="default" w:ascii="Times New Roman" w:hAnsi="Times New Roman" w:eastAsia="宋体" w:cs="Times New Roman"/>
                <w:color w:val="auto"/>
                <w:sz w:val="24"/>
                <w:szCs w:val="24"/>
                <w:lang w:val="en-US" w:eastAsia="zh-CN"/>
              </w:rPr>
              <w:t>，不外排。</w:t>
            </w:r>
            <w:r>
              <w:rPr>
                <w:rFonts w:hint="eastAsia" w:ascii="Times New Roman" w:hAnsi="Times New Roman" w:eastAsia="宋体" w:cs="Times New Roman"/>
                <w:color w:val="auto"/>
                <w:sz w:val="24"/>
                <w:szCs w:val="24"/>
                <w:lang w:val="en-US" w:eastAsia="zh-CN"/>
              </w:rPr>
              <w:t>环评建议合理安排化粪池的清掏周期，避免污水外溢。</w:t>
            </w:r>
          </w:p>
          <w:p w14:paraId="4858DFBB">
            <w:pPr>
              <w:pStyle w:val="101"/>
              <w:suppressLineNumbers w:val="0"/>
              <w:ind w:left="0" w:right="0"/>
              <w:rPr>
                <w:rFonts w:ascii="Times New Roman" w:hAnsi="Times New Roman" w:cs="Times New Roman"/>
                <w:color w:val="auto"/>
                <w:highlight w:val="none"/>
              </w:rPr>
            </w:pPr>
            <w:r>
              <w:rPr>
                <w:rFonts w:hint="eastAsia" w:ascii="Times New Roman" w:hAnsi="Times New Roman" w:eastAsia="宋体" w:cs="Times New Roman"/>
                <w:color w:val="auto"/>
                <w:highlight w:val="none"/>
                <w:lang w:val="en-US" w:eastAsia="zh-CN"/>
              </w:rPr>
              <w:t>3、</w:t>
            </w:r>
            <w:r>
              <w:rPr>
                <w:rFonts w:hint="eastAsia" w:ascii="宋体" w:hAnsi="宋体" w:eastAsia="宋体" w:cs="宋体"/>
                <w:color w:val="auto"/>
                <w:highlight w:val="none"/>
              </w:rPr>
              <w:t>噪声防治措施</w:t>
            </w:r>
          </w:p>
          <w:p w14:paraId="16E7AF9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 xml:space="preserve">本项目产生噪声主要为钻探过程中产生，由于本项目探矿所处位置较为偏僻，周围多为自然山体，山体能够起到一定的隔声作用， 在总体布置上应尽量将强噪声源布置在远离矿界处。故本项目噪声拟采用以下方法进行治理： </w:t>
            </w:r>
          </w:p>
          <w:p w14:paraId="3553EB4F">
            <w:pPr>
              <w:keepNext w:val="0"/>
              <w:keepLines w:val="0"/>
              <w:numPr>
                <w:ilvl w:val="0"/>
                <w:numId w:val="2"/>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highlight w:val="none"/>
                <w:lang w:val="en-US" w:eastAsia="zh-CN"/>
              </w:rPr>
              <w:t>勘探过程中尽量选用</w:t>
            </w:r>
            <w:r>
              <w:rPr>
                <w:rFonts w:hint="default" w:ascii="Times New Roman" w:hAnsi="Times New Roman" w:eastAsia="宋体" w:cs="Times New Roman"/>
                <w:color w:val="auto"/>
                <w:sz w:val="24"/>
                <w:szCs w:val="22"/>
                <w:lang w:val="en-US" w:eastAsia="zh-CN"/>
              </w:rPr>
              <w:t>低噪声电机、振动小的设备</w:t>
            </w:r>
            <w:r>
              <w:rPr>
                <w:rFonts w:hint="eastAsia" w:ascii="Times New Roman" w:hAnsi="Times New Roman" w:eastAsia="宋体" w:cs="Times New Roman"/>
                <w:color w:val="auto"/>
                <w:sz w:val="24"/>
                <w:szCs w:val="22"/>
                <w:lang w:val="en-US" w:eastAsia="zh-CN"/>
              </w:rPr>
              <w:t>。</w:t>
            </w:r>
          </w:p>
          <w:p w14:paraId="603D26B6">
            <w:pPr>
              <w:keepNext w:val="0"/>
              <w:keepLines w:val="0"/>
              <w:numPr>
                <w:ilvl w:val="0"/>
                <w:numId w:val="2"/>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2"/>
                <w:lang w:val="en-US" w:eastAsia="zh-CN"/>
              </w:rPr>
              <w:t>在高噪声设备底部设置橡胶减震垫；减少高噪声设备同时运行，从源头降低噪声</w:t>
            </w:r>
            <w:r>
              <w:rPr>
                <w:rFonts w:hint="eastAsia" w:ascii="Times New Roman" w:hAnsi="Times New Roman" w:eastAsia="宋体" w:cs="Times New Roman"/>
                <w:color w:val="auto"/>
                <w:sz w:val="24"/>
                <w:szCs w:val="22"/>
                <w:lang w:val="en-US" w:eastAsia="zh-CN"/>
              </w:rPr>
              <w:t>。</w:t>
            </w:r>
          </w:p>
          <w:p w14:paraId="0884ED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（3）泵类设备</w:t>
            </w:r>
            <w:r>
              <w:rPr>
                <w:rFonts w:hint="default" w:ascii="Times New Roman" w:hAnsi="Times New Roman" w:eastAsia="宋体" w:cs="Times New Roman"/>
                <w:color w:val="auto"/>
                <w:sz w:val="24"/>
                <w:szCs w:val="24"/>
                <w:highlight w:val="none"/>
                <w:lang w:val="en-US" w:eastAsia="zh-CN"/>
              </w:rPr>
              <w:t>设置隔声罩壳</w:t>
            </w:r>
            <w:r>
              <w:rPr>
                <w:rFonts w:hint="eastAsia" w:ascii="Times New Roman" w:hAnsi="Times New Roman" w:eastAsia="宋体" w:cs="Times New Roman"/>
                <w:color w:val="auto"/>
                <w:sz w:val="24"/>
                <w:szCs w:val="24"/>
                <w:highlight w:val="none"/>
                <w:lang w:val="en-US" w:eastAsia="zh-CN"/>
              </w:rPr>
              <w:t>。</w:t>
            </w:r>
          </w:p>
          <w:p w14:paraId="5174B4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加强对设备的维修保养，避免设备故障产生高</w:t>
            </w:r>
            <w:r>
              <w:rPr>
                <w:rFonts w:hint="eastAsia" w:ascii="Times New Roman" w:hAnsi="Times New Roman" w:eastAsia="宋体" w:cs="Times New Roman"/>
                <w:color w:val="auto"/>
                <w:sz w:val="24"/>
                <w:szCs w:val="24"/>
                <w:highlight w:val="none"/>
                <w:lang w:val="en-US" w:eastAsia="zh-CN"/>
              </w:rPr>
              <w:t>噪声扰民。</w:t>
            </w:r>
          </w:p>
          <w:p w14:paraId="2F36E7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连续接触高噪声源的操作人员，采取相应防护措施（购置耳塞、耳罩或防声头盔等）</w:t>
            </w:r>
            <w:r>
              <w:rPr>
                <w:rFonts w:hint="eastAsia" w:ascii="Times New Roman" w:hAnsi="Times New Roman" w:eastAsia="宋体" w:cs="Times New Roman"/>
                <w:color w:val="auto"/>
                <w:sz w:val="24"/>
                <w:szCs w:val="24"/>
                <w:highlight w:val="none"/>
                <w:lang w:val="en-US" w:eastAsia="zh-CN"/>
              </w:rPr>
              <w:t>。</w:t>
            </w:r>
          </w:p>
          <w:p w14:paraId="058938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outlineLvl w:val="9"/>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经采取措施后对区域声环境影响较</w:t>
            </w:r>
            <w:r>
              <w:rPr>
                <w:rFonts w:hint="default" w:ascii="Times New Roman" w:hAnsi="Times New Roman" w:cs="Times New Roman"/>
                <w:color w:val="auto"/>
                <w:sz w:val="24"/>
                <w:highlight w:val="none"/>
              </w:rPr>
              <w:t>小，故项目采取的噪声防治措施合理可行。</w:t>
            </w:r>
          </w:p>
          <w:p w14:paraId="61AA0D2B">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pacing w:val="10"/>
                <w:sz w:val="24"/>
                <w:highlight w:val="none"/>
              </w:rPr>
            </w:pPr>
            <w:r>
              <w:rPr>
                <w:rFonts w:hint="eastAsia" w:ascii="Times New Roman" w:hAnsi="Times New Roman" w:cs="Times New Roman"/>
                <w:b/>
                <w:bCs/>
                <w:color w:val="auto"/>
                <w:spacing w:val="10"/>
                <w:sz w:val="24"/>
                <w:highlight w:val="none"/>
                <w:lang w:val="en-US" w:eastAsia="zh-CN"/>
              </w:rPr>
              <w:t>4、</w:t>
            </w:r>
            <w:r>
              <w:rPr>
                <w:rFonts w:hint="default" w:ascii="宋体" w:hAnsi="宋体" w:cs="Times New Roman"/>
                <w:b/>
                <w:bCs/>
                <w:color w:val="auto"/>
                <w:spacing w:val="10"/>
                <w:sz w:val="24"/>
                <w:highlight w:val="none"/>
              </w:rPr>
              <w:t>固废处置措施</w:t>
            </w:r>
          </w:p>
          <w:p w14:paraId="02FEF8E5">
            <w:pPr>
              <w:pStyle w:val="2"/>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rPr>
              <w:t>本项目运</w:t>
            </w:r>
            <w:r>
              <w:rPr>
                <w:rFonts w:hint="eastAsia" w:ascii="Times New Roman" w:hAnsi="Times New Roman" w:eastAsia="宋体" w:cs="Times New Roman"/>
                <w:color w:val="auto"/>
                <w:sz w:val="24"/>
                <w:szCs w:val="24"/>
                <w:highlight w:val="none"/>
                <w:lang w:val="en-US" w:eastAsia="zh-CN"/>
              </w:rPr>
              <w:t>行</w:t>
            </w:r>
            <w:r>
              <w:rPr>
                <w:rFonts w:hint="eastAsia" w:ascii="Times New Roman" w:hAnsi="Times New Roman" w:eastAsia="宋体" w:cs="Times New Roman"/>
                <w:color w:val="auto"/>
                <w:sz w:val="24"/>
                <w:szCs w:val="24"/>
                <w:highlight w:val="none"/>
              </w:rPr>
              <w:t>期固体废物主要为</w:t>
            </w:r>
            <w:r>
              <w:rPr>
                <w:rFonts w:hint="eastAsia" w:ascii="Times New Roman" w:hAnsi="Times New Roman" w:eastAsia="宋体" w:cs="Times New Roman"/>
                <w:color w:val="auto"/>
                <w:sz w:val="24"/>
                <w:szCs w:val="24"/>
                <w:highlight w:val="none"/>
                <w:lang w:val="en-US" w:eastAsia="zh-CN"/>
              </w:rPr>
              <w:t>废土石方</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沉淀底泥、</w:t>
            </w:r>
            <w:r>
              <w:rPr>
                <w:rFonts w:hint="eastAsia" w:ascii="Times New Roman" w:hAnsi="Times New Roman" w:eastAsia="宋体" w:cs="Times New Roman"/>
                <w:color w:val="auto"/>
                <w:sz w:val="24"/>
                <w:szCs w:val="24"/>
                <w:highlight w:val="none"/>
              </w:rPr>
              <w:t>废包装</w:t>
            </w:r>
            <w:r>
              <w:rPr>
                <w:rFonts w:hint="eastAsia" w:ascii="Times New Roman" w:hAnsi="Times New Roman" w:eastAsia="宋体" w:cs="Times New Roman"/>
                <w:color w:val="auto"/>
                <w:sz w:val="24"/>
                <w:szCs w:val="24"/>
                <w:highlight w:val="none"/>
                <w:lang w:val="en-US" w:eastAsia="zh-CN"/>
              </w:rPr>
              <w:t>材料</w:t>
            </w:r>
            <w:r>
              <w:rPr>
                <w:rFonts w:hint="eastAsia" w:ascii="Times New Roman" w:hAnsi="Times New Roman" w:eastAsia="宋体" w:cs="Times New Roman"/>
                <w:color w:val="auto"/>
                <w:sz w:val="24"/>
                <w:szCs w:val="24"/>
                <w:highlight w:val="none"/>
              </w:rPr>
              <w:t>、生活垃圾</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废机油及废油桶等，</w:t>
            </w:r>
            <w:r>
              <w:rPr>
                <w:rFonts w:hint="eastAsia" w:ascii="Times New Roman" w:hAnsi="Times New Roman" w:eastAsia="宋体" w:cs="Times New Roman"/>
                <w:color w:val="auto"/>
                <w:kern w:val="2"/>
                <w:sz w:val="24"/>
                <w:szCs w:val="24"/>
                <w:highlight w:val="none"/>
                <w:lang w:val="en-US" w:eastAsia="zh-CN" w:bidi="ar-SA"/>
              </w:rPr>
              <w:t>具体环境管理要求如下：</w:t>
            </w:r>
          </w:p>
          <w:p w14:paraId="1EC17A87">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w:t>
            </w:r>
            <w:r>
              <w:rPr>
                <w:rFonts w:hint="default" w:ascii="Times New Roman" w:hAnsi="Times New Roman" w:cs="Times New Roman"/>
                <w:color w:val="auto"/>
                <w:sz w:val="24"/>
                <w:szCs w:val="24"/>
                <w:lang w:val="en-US" w:eastAsia="zh-CN"/>
              </w:rPr>
              <w:t>固体废物贮存、处置场按《环境保护图形标志 固体废物贮存(处置)场(GB15562.2-1995)》设置图形标志。标识标志正确、清晰、完好。</w:t>
            </w:r>
          </w:p>
          <w:p w14:paraId="670AA9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color w:val="auto"/>
                <w:sz w:val="24"/>
                <w:szCs w:val="21"/>
                <w:lang w:val="en-US" w:eastAsia="zh-CN"/>
              </w:rPr>
            </w:pPr>
            <w:r>
              <w:rPr>
                <w:rFonts w:hint="eastAsia" w:ascii="Times New Roman" w:hAnsi="Times New Roman" w:eastAsia="宋体" w:cs="Times New Roman"/>
                <w:color w:val="auto"/>
                <w:sz w:val="24"/>
                <w:szCs w:val="24"/>
                <w:lang w:val="en-US" w:eastAsia="zh-CN"/>
              </w:rPr>
              <w:t>（2）</w:t>
            </w:r>
            <w:r>
              <w:rPr>
                <w:rFonts w:hint="default" w:ascii="Times New Roman" w:hAnsi="Times New Roman" w:cs="Times New Roman"/>
                <w:color w:val="auto"/>
                <w:sz w:val="24"/>
                <w:szCs w:val="21"/>
              </w:rPr>
              <w:t>本环评建议</w:t>
            </w:r>
            <w:r>
              <w:rPr>
                <w:rFonts w:hint="eastAsia" w:ascii="Times New Roman" w:hAnsi="Times New Roman" w:cs="Times New Roman"/>
                <w:color w:val="auto"/>
                <w:sz w:val="24"/>
                <w:szCs w:val="21"/>
                <w:lang w:val="en-US" w:eastAsia="zh-CN"/>
              </w:rPr>
              <w:t>废土石方不得露天存放，分区域堆放在每个探矿平台，采用防雨土工布遮盖，</w:t>
            </w:r>
            <w:r>
              <w:rPr>
                <w:rFonts w:hint="default" w:ascii="Times New Roman" w:hAnsi="Times New Roman" w:cs="Times New Roman"/>
                <w:color w:val="auto"/>
                <w:sz w:val="24"/>
                <w:szCs w:val="21"/>
                <w:lang w:val="en-US" w:eastAsia="zh-CN"/>
              </w:rPr>
              <w:t>减少存放时间，</w:t>
            </w:r>
            <w:r>
              <w:rPr>
                <w:rFonts w:hint="eastAsia" w:ascii="Times New Roman" w:hAnsi="Times New Roman" w:cs="Times New Roman"/>
                <w:color w:val="auto"/>
                <w:sz w:val="24"/>
                <w:szCs w:val="21"/>
                <w:lang w:val="en-US" w:eastAsia="zh-CN"/>
              </w:rPr>
              <w:t>及时回填，</w:t>
            </w:r>
            <w:r>
              <w:rPr>
                <w:rFonts w:hint="default" w:ascii="Times New Roman" w:hAnsi="Times New Roman" w:cs="Times New Roman"/>
                <w:color w:val="auto"/>
                <w:sz w:val="24"/>
                <w:szCs w:val="21"/>
                <w:lang w:val="en-US" w:eastAsia="zh-CN"/>
              </w:rPr>
              <w:t>可避免二次污染。</w:t>
            </w:r>
          </w:p>
          <w:p w14:paraId="79554A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（3）</w:t>
            </w:r>
            <w:r>
              <w:rPr>
                <w:rFonts w:hint="default" w:ascii="Times New Roman" w:hAnsi="Times New Roman" w:cs="Times New Roman"/>
                <w:color w:val="auto"/>
                <w:sz w:val="24"/>
                <w:szCs w:val="21"/>
              </w:rPr>
              <w:t>生活垃圾</w:t>
            </w:r>
            <w:r>
              <w:rPr>
                <w:rFonts w:hint="default" w:ascii="Times New Roman" w:hAnsi="Times New Roman" w:cs="Times New Roman"/>
                <w:color w:val="auto"/>
                <w:sz w:val="24"/>
                <w:szCs w:val="21"/>
                <w:lang w:val="en-US" w:eastAsia="zh-CN"/>
              </w:rPr>
              <w:t>设置</w:t>
            </w:r>
            <w:r>
              <w:rPr>
                <w:rFonts w:hint="eastAsia" w:ascii="Times New Roman" w:hAnsi="Times New Roman" w:cs="Times New Roman"/>
                <w:color w:val="auto"/>
                <w:sz w:val="24"/>
                <w:szCs w:val="21"/>
                <w:lang w:val="en-US" w:eastAsia="zh-CN"/>
              </w:rPr>
              <w:t>2</w:t>
            </w:r>
            <w:r>
              <w:rPr>
                <w:rFonts w:hint="default" w:ascii="Times New Roman" w:hAnsi="Times New Roman" w:cs="Times New Roman"/>
                <w:color w:val="auto"/>
                <w:sz w:val="24"/>
                <w:szCs w:val="21"/>
                <w:lang w:val="en-US" w:eastAsia="zh-CN"/>
              </w:rPr>
              <w:t>个环保型垃圾桶分类收集</w:t>
            </w:r>
            <w:r>
              <w:rPr>
                <w:rFonts w:hint="default" w:ascii="Times New Roman" w:hAnsi="Times New Roman" w:cs="Times New Roman"/>
                <w:color w:val="auto"/>
                <w:sz w:val="24"/>
                <w:szCs w:val="21"/>
              </w:rPr>
              <w:t>，能回收利用部分回收，其余</w:t>
            </w:r>
            <w:r>
              <w:rPr>
                <w:rFonts w:hint="default" w:ascii="Times New Roman" w:hAnsi="Times New Roman" w:eastAsia="宋体" w:cs="Times New Roman"/>
                <w:color w:val="auto"/>
                <w:sz w:val="24"/>
                <w:szCs w:val="21"/>
              </w:rPr>
              <w:t>无法回收部分生活垃圾，如包装废料、白色垃圾等，</w:t>
            </w:r>
            <w:r>
              <w:rPr>
                <w:rFonts w:hint="eastAsia" w:ascii="Times New Roman" w:hAnsi="Times New Roman" w:cs="Times New Roman"/>
                <w:color w:val="auto"/>
                <w:sz w:val="24"/>
              </w:rPr>
              <w:t>清运至</w:t>
            </w:r>
            <w:r>
              <w:rPr>
                <w:rFonts w:hint="eastAsia" w:ascii="Times New Roman" w:hAnsi="Times New Roman" w:cs="Times New Roman"/>
                <w:color w:val="auto"/>
                <w:sz w:val="24"/>
                <w:lang w:val="en-US" w:eastAsia="zh-CN"/>
              </w:rPr>
              <w:t>当地乡镇</w:t>
            </w:r>
            <w:r>
              <w:rPr>
                <w:rFonts w:hint="eastAsia" w:ascii="Times New Roman" w:hAnsi="Times New Roman" w:cs="Times New Roman"/>
                <w:color w:val="auto"/>
                <w:sz w:val="24"/>
              </w:rPr>
              <w:t>垃圾收集点随着村民生活垃圾一起集中处置</w:t>
            </w:r>
            <w:r>
              <w:rPr>
                <w:rFonts w:hint="default" w:ascii="Times New Roman" w:hAnsi="Times New Roman" w:eastAsia="宋体" w:cs="Times New Roman"/>
                <w:color w:val="auto"/>
                <w:sz w:val="24"/>
                <w:szCs w:val="24"/>
              </w:rPr>
              <w:t>。</w:t>
            </w:r>
          </w:p>
          <w:p w14:paraId="39D105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化粪池污泥定期</w:t>
            </w:r>
            <w:r>
              <w:rPr>
                <w:rFonts w:hint="eastAsia" w:ascii="Times New Roman" w:hAnsi="Times New Roman" w:eastAsia="宋体" w:cs="Times New Roman"/>
                <w:color w:val="auto"/>
                <w:sz w:val="24"/>
                <w:szCs w:val="24"/>
                <w:lang w:val="en-US" w:eastAsia="zh-CN"/>
              </w:rPr>
              <w:t>清掏用于周边山林施肥</w:t>
            </w:r>
            <w:r>
              <w:rPr>
                <w:rFonts w:hint="default" w:ascii="Times New Roman" w:hAnsi="Times New Roman" w:eastAsia="宋体" w:cs="Times New Roman"/>
                <w:color w:val="auto"/>
                <w:sz w:val="24"/>
                <w:szCs w:val="24"/>
                <w:lang w:val="en-US" w:eastAsia="zh-CN"/>
              </w:rPr>
              <w:t>，合理安排清掏周期。</w:t>
            </w:r>
          </w:p>
          <w:p w14:paraId="77BBFD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（5）废包装材料集中收集后统一由废品回收商回收利用。</w:t>
            </w:r>
          </w:p>
          <w:p w14:paraId="4DE678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lang w:val="en-US" w:eastAsia="zh-CN"/>
              </w:rPr>
              <w:t>沉淀底泥暂存于</w:t>
            </w:r>
            <w:r>
              <w:rPr>
                <w:rFonts w:hint="eastAsia" w:ascii="Times New Roman" w:hAnsi="Times New Roman" w:eastAsia="宋体" w:cs="Times New Roman"/>
                <w:color w:val="auto"/>
                <w:sz w:val="24"/>
                <w:lang w:val="en-US" w:eastAsia="zh-CN"/>
              </w:rPr>
              <w:t>沉淀池</w:t>
            </w:r>
            <w:r>
              <w:rPr>
                <w:rFonts w:hint="default" w:ascii="Times New Roman" w:hAnsi="Times New Roman" w:eastAsia="宋体" w:cs="Times New Roman"/>
                <w:color w:val="auto"/>
                <w:sz w:val="24"/>
                <w:lang w:val="en-US" w:eastAsia="zh-CN"/>
              </w:rPr>
              <w:t>内，完孔后用于平整迹地或回填</w:t>
            </w:r>
            <w:r>
              <w:rPr>
                <w:rFonts w:hint="eastAsia" w:ascii="Times New Roman" w:hAnsi="Times New Roman" w:eastAsia="宋体" w:cs="Times New Roman"/>
                <w:color w:val="auto"/>
                <w:sz w:val="24"/>
                <w:lang w:val="en-US" w:eastAsia="zh-CN"/>
              </w:rPr>
              <w:t>。</w:t>
            </w:r>
          </w:p>
          <w:p w14:paraId="0143FF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eastAsia="宋体" w:cs="Times New Roman"/>
                <w:color w:val="auto"/>
                <w:sz w:val="24"/>
                <w:lang w:val="en-US" w:eastAsia="zh-CN"/>
              </w:rPr>
              <w:t>（7）</w:t>
            </w:r>
            <w:r>
              <w:rPr>
                <w:rFonts w:hint="eastAsia" w:ascii="Times New Roman" w:hAnsi="Times New Roman" w:eastAsia="宋体" w:cs="Times New Roman"/>
                <w:color w:val="auto"/>
                <w:sz w:val="24"/>
                <w:szCs w:val="24"/>
                <w:lang w:val="en-US" w:eastAsia="zh-CN"/>
              </w:rPr>
              <w:t>废机油等危废的</w:t>
            </w:r>
            <w:r>
              <w:rPr>
                <w:rFonts w:hint="default" w:ascii="Times New Roman" w:hAnsi="Times New Roman" w:eastAsia="宋体" w:cs="Times New Roman"/>
                <w:color w:val="auto"/>
                <w:sz w:val="24"/>
                <w:szCs w:val="24"/>
                <w:lang w:val="en-US" w:eastAsia="zh-CN"/>
              </w:rPr>
              <w:t>储存</w:t>
            </w:r>
            <w:r>
              <w:rPr>
                <w:rFonts w:hint="eastAsia" w:ascii="Times New Roman" w:hAnsi="Times New Roman" w:eastAsia="宋体" w:cs="Times New Roman"/>
                <w:color w:val="auto"/>
                <w:sz w:val="24"/>
                <w:szCs w:val="24"/>
                <w:lang w:val="en-US" w:eastAsia="zh-CN"/>
              </w:rPr>
              <w:t>应设置专门危险废物暂存间，采用专用的容器进行储存，应</w:t>
            </w:r>
            <w:r>
              <w:rPr>
                <w:rFonts w:hint="default" w:ascii="Times New Roman" w:hAnsi="Times New Roman" w:cs="Times New Roman"/>
                <w:color w:val="auto"/>
                <w:sz w:val="24"/>
                <w:szCs w:val="24"/>
                <w:lang w:val="en-US" w:eastAsia="zh-CN"/>
              </w:rPr>
              <w:t>符合《危险废物贮存污染控制标准》（GB18597-2001</w:t>
            </w:r>
            <w:r>
              <w:rPr>
                <w:rFonts w:hint="eastAsia" w:ascii="Times New Roman" w:hAnsi="Times New Roman" w:cs="Times New Roman"/>
                <w:color w:val="auto"/>
                <w:sz w:val="24"/>
                <w:szCs w:val="24"/>
                <w:lang w:val="en-US" w:eastAsia="zh-CN"/>
              </w:rPr>
              <w:t>及2013修改清单</w:t>
            </w:r>
            <w:r>
              <w:rPr>
                <w:rFonts w:hint="default" w:ascii="Times New Roman" w:hAnsi="Times New Roman" w:cs="Times New Roman"/>
                <w:color w:val="auto"/>
                <w:sz w:val="24"/>
                <w:szCs w:val="24"/>
                <w:lang w:val="en-US" w:eastAsia="zh-CN"/>
              </w:rPr>
              <w:t>）及《危险废物转移联单管理办法》（国家环保总局令第5号）中的相关要求</w:t>
            </w:r>
            <w:r>
              <w:rPr>
                <w:rFonts w:hint="eastAsia" w:ascii="Times New Roman" w:hAnsi="Times New Roman" w:cs="Times New Roman"/>
                <w:color w:val="auto"/>
                <w:sz w:val="24"/>
                <w:szCs w:val="24"/>
                <w:lang w:val="en-US" w:eastAsia="zh-CN"/>
              </w:rPr>
              <w:t>，加强防渗</w:t>
            </w:r>
            <w:r>
              <w:rPr>
                <w:rFonts w:hint="default" w:ascii="Times New Roman" w:hAnsi="Times New Roman" w:cs="Times New Roman"/>
                <w:color w:val="auto"/>
                <w:sz w:val="24"/>
                <w:szCs w:val="24"/>
                <w:lang w:val="en-US" w:eastAsia="zh-CN"/>
              </w:rPr>
              <w:t>措施符合国家法律法规要求，建立相应台账，相关台账应保存3年以上，以备相关管理部门检查</w:t>
            </w:r>
            <w:r>
              <w:rPr>
                <w:rFonts w:hint="eastAsia" w:ascii="Times New Roman" w:hAnsi="Times New Roman" w:cs="Times New Roman"/>
                <w:color w:val="auto"/>
                <w:sz w:val="24"/>
                <w:szCs w:val="24"/>
                <w:lang w:val="en-US" w:eastAsia="zh-CN"/>
              </w:rPr>
              <w:t>，要尽快委托有资质单位清运处置。</w:t>
            </w:r>
          </w:p>
          <w:p w14:paraId="242EAEC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按照《危险废物贮存污染控制标准》（GB18597-2001）中危险废物贮存设施的设计原则，项目产生的危险废物在储存过程中应遵守以下的要求：</w:t>
            </w:r>
          </w:p>
          <w:p w14:paraId="5388B03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1）所有危险废物产生者和危险废物经营者应建造专用的危险废物贮存设施，也可利用原有构筑物改建成危险废物贮存设施。</w:t>
            </w:r>
          </w:p>
          <w:p w14:paraId="279FC2A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2）在常温常压下不水解、不挥发的危险固废可在贮存设施内分别堆放；地面须作硬底化处理，耐腐蚀，无裂痕。</w:t>
            </w:r>
          </w:p>
          <w:p w14:paraId="10B90DF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3）装载危险废物的容器及材质要满足相应的强度要求。</w:t>
            </w:r>
          </w:p>
          <w:p w14:paraId="1DA9237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4）装载危险废物的容器必须完好无损。</w:t>
            </w:r>
          </w:p>
          <w:p w14:paraId="1F9C18C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5）危险废物贮存设施(仓库式)地面与裙脚要用坚固、防渗的材料建造，建筑材料必须与危险废物相容。设施内要有安全照明设施和观察窗口；场所建有挡雨棚、围堰或围墙，具备防雨防风防晒功能。</w:t>
            </w:r>
          </w:p>
          <w:p w14:paraId="149E227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6）基础必须防渗，防渗层为至少1米厚粘土层（渗透系数≤10-7cm/s），或2mm厚高密度聚乙烯。</w:t>
            </w:r>
          </w:p>
          <w:p w14:paraId="2FA9BA2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7）衬里要能够覆盖危险废物或其溶出物可能涉及到的范围。</w:t>
            </w:r>
          </w:p>
          <w:p w14:paraId="7709BAE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8）不同类型的危险废物要间隔分类贮存，无与其它一般固废混杂等情况；贮存液态或半固态废物的</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设置泄露液体收集装置，装载危险废物的容器完好无损。</w:t>
            </w:r>
          </w:p>
          <w:p w14:paraId="575A2DE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9）危险废物产生者和危险废物贮存设施经营者均须作好危险废物情况的记录，记录上须注明危险废物的名称、来源、数量、特性和包装容器的类别、入库日期、存放库位、废物出库日期及接收单位名称；危险废物的记录和货单在危险废物回取后应继续保留三年。</w:t>
            </w:r>
          </w:p>
          <w:p w14:paraId="3F64B56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10）必须定期对所贮存的危险废物包装容器及贮存设施进行检查，发现破损，应及时采取措施清理更换。</w:t>
            </w:r>
          </w:p>
          <w:p w14:paraId="14605A6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本项目在危险废物的收集和储存过程严格遵守以上几点要求的条件下，项目产生的危险废物对周边的环境影响较小。</w:t>
            </w:r>
          </w:p>
          <w:p w14:paraId="513705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综上分析，本项目固废处理率达到100%，均可得到妥善处置，不会对周围环境造成大的影响。</w:t>
            </w:r>
          </w:p>
          <w:p w14:paraId="026401C3">
            <w:pPr>
              <w:pStyle w:val="101"/>
              <w:suppressLineNumbers w:val="0"/>
              <w:ind w:left="0" w:right="0"/>
              <w:rPr>
                <w:rFonts w:ascii="Times New Roman" w:hAnsi="Times New Roman" w:cs="Times New Roman"/>
                <w:color w:val="auto"/>
                <w:highlight w:val="none"/>
              </w:rPr>
            </w:pPr>
            <w:r>
              <w:rPr>
                <w:rFonts w:hint="eastAsia" w:ascii="Times New Roman" w:hAnsi="Times New Roman" w:eastAsia="宋体" w:cs="Times New Roman"/>
                <w:color w:val="auto"/>
                <w:highlight w:val="none"/>
                <w:lang w:val="en-US" w:eastAsia="zh-CN"/>
              </w:rPr>
              <w:t>5、</w:t>
            </w:r>
            <w:r>
              <w:rPr>
                <w:rFonts w:hint="eastAsia" w:ascii="宋体" w:hAnsi="宋体" w:eastAsia="宋体" w:cs="宋体"/>
                <w:color w:val="auto"/>
                <w:highlight w:val="none"/>
              </w:rPr>
              <w:t>生态影响减缓措施</w:t>
            </w:r>
          </w:p>
          <w:p w14:paraId="5A320D45">
            <w:pPr>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 xml:space="preserve">本次生态环境的保护措施主要如下： </w:t>
            </w:r>
          </w:p>
          <w:p w14:paraId="0A395D9A">
            <w:pPr>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 xml:space="preserve">）合理规划勘探方案，加强勘探管理，探矿期内严格控制施工作业范围，在探矿工作过程中，加强生态环境保护，最大限度地控制对地表植被的清理破坏面积，缩小施工作业面等措施，应尽量减少占用和破坏植被，尽量保留原有植被。 </w:t>
            </w:r>
          </w:p>
          <w:p w14:paraId="336B12AA">
            <w:pPr>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 xml:space="preserve">）施工便道应尽量利用现有通道，禁止随意开路、践踏和破坏植被，工作结束后应及时对开辟施工便道进行覆土和植被恢复。 </w:t>
            </w:r>
          </w:p>
          <w:p w14:paraId="1DC11B68">
            <w:pPr>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 xml:space="preserve">）项目探矿工程结束后，应对沉淀池区域和钻探平台开挖产生的土石进行回填、覆土，对此区域进行植被恢复。 </w:t>
            </w:r>
          </w:p>
          <w:p w14:paraId="3E89CD10">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 xml:space="preserve">）加强对勘探过程中产污环节的管理，在完成勘查任务的同时，采取有效措施，做好废弃物的处理配套工程，杜绝人为因素对植被、野生动物的不利影响。 </w:t>
            </w:r>
          </w:p>
          <w:p w14:paraId="5CEDB5B6">
            <w:pPr>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 xml:space="preserve">本项目的探矿工程在现有矿区范围内进行，根据现场勘查，受矿区无采矿工程的影响，人为干扰较小且现有矿区内的生态恢复良好。项目矿区范围内未发现珍稀动植物资源，本项目探矿工程量较小，临时占地面积不大，随工程结束而进行回填、覆土，从而恢复生态环境。 </w:t>
            </w:r>
          </w:p>
          <w:p w14:paraId="5D9EC67E">
            <w:pPr>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本项目通过严格控制施工过程中的不利影响，探矿工程结束后及时进行生态植被恢复等措施后，对周边生态环境影响较小。</w:t>
            </w:r>
          </w:p>
          <w:p w14:paraId="0AA2C013">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bCs/>
                <w:color w:val="auto"/>
                <w:spacing w:val="10"/>
                <w:sz w:val="24"/>
                <w:highlight w:val="none"/>
                <w:lang w:val="en-US" w:eastAsia="zh-CN"/>
              </w:rPr>
            </w:pPr>
            <w:r>
              <w:rPr>
                <w:rFonts w:hint="eastAsia" w:ascii="Times New Roman" w:hAnsi="Times New Roman" w:eastAsia="宋体" w:cs="Times New Roman"/>
                <w:b/>
                <w:bCs/>
                <w:color w:val="auto"/>
                <w:spacing w:val="10"/>
                <w:sz w:val="24"/>
                <w:highlight w:val="none"/>
                <w:lang w:val="en-US" w:eastAsia="zh-CN"/>
              </w:rPr>
              <w:t xml:space="preserve">6、探矿结束后措施 </w:t>
            </w:r>
          </w:p>
          <w:p w14:paraId="5FD353B0">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宋体" w:eastAsia="宋体" w:cs="Times New Roman"/>
                <w:color w:val="auto"/>
                <w:sz w:val="24"/>
                <w:szCs w:val="24"/>
                <w:lang w:val="en-US" w:eastAsia="zh-CN"/>
              </w:rPr>
            </w:pPr>
            <w:r>
              <w:rPr>
                <w:rFonts w:hint="eastAsia" w:ascii="Times New Roman" w:hAnsi="宋体" w:eastAsia="宋体" w:cs="Times New Roman"/>
                <w:color w:val="auto"/>
                <w:sz w:val="24"/>
                <w:szCs w:val="24"/>
                <w:lang w:val="en-US" w:eastAsia="zh-CN"/>
              </w:rPr>
              <w:t xml:space="preserve">探矿期间各个点勘探结束后，必须对场地内的临时设备进行移除，清除场 地内的各种施工垃圾。并根据《矿山生态环境保护与恢复治理技术规范 (HJ651—2013)》中的相关要求进行生态恢复： </w:t>
            </w:r>
          </w:p>
          <w:p w14:paraId="5A044D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宋体" w:eastAsia="宋体" w:cs="Times New Roman"/>
                <w:color w:val="auto"/>
                <w:sz w:val="24"/>
                <w:szCs w:val="24"/>
                <w:lang w:val="en-US" w:eastAsia="zh-CN"/>
              </w:rPr>
            </w:pPr>
            <w:r>
              <w:rPr>
                <w:rFonts w:hint="eastAsia" w:ascii="Times New Roman" w:hAnsi="宋体" w:eastAsia="宋体" w:cs="Times New Roman"/>
                <w:color w:val="auto"/>
                <w:sz w:val="24"/>
                <w:szCs w:val="24"/>
                <w:lang w:val="en-US" w:eastAsia="zh-CN"/>
              </w:rPr>
              <w:t>（1）探矿活动结束后，应根据景观相似原则，对探矿活动造成的土壤、植被和地表景观破坏进行恢复，生态恢复选择本地物种，种植成活率较高的草本及灌木。</w:t>
            </w:r>
          </w:p>
          <w:p w14:paraId="0315F6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宋体" w:eastAsia="宋体" w:cs="Times New Roman"/>
                <w:color w:val="auto"/>
                <w:sz w:val="24"/>
                <w:szCs w:val="24"/>
                <w:lang w:val="en-US" w:eastAsia="zh-CN"/>
              </w:rPr>
            </w:pPr>
            <w:r>
              <w:rPr>
                <w:rFonts w:hint="eastAsia" w:ascii="Times New Roman" w:hAnsi="宋体" w:eastAsia="宋体" w:cs="Times New Roman"/>
                <w:color w:val="auto"/>
                <w:sz w:val="24"/>
                <w:szCs w:val="24"/>
                <w:lang w:val="en-US" w:eastAsia="zh-CN"/>
              </w:rPr>
              <w:t xml:space="preserve">（2）孔钻探结束，现场验收合格后，由地质鉴定员下达封孔通知书，按照钻探的相关要求用水泥砂石填进行回封孔，回填平整或植被恢复。 </w:t>
            </w:r>
          </w:p>
          <w:p w14:paraId="6CA6D4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highlight w:val="none"/>
                <w:lang w:val="en-US"/>
              </w:rPr>
            </w:pPr>
            <w:r>
              <w:rPr>
                <w:rFonts w:hint="eastAsia" w:ascii="Times New Roman" w:hAnsi="宋体" w:eastAsia="宋体" w:cs="Times New Roman"/>
                <w:color w:val="auto"/>
                <w:sz w:val="24"/>
                <w:szCs w:val="24"/>
                <w:lang w:val="en-US" w:eastAsia="zh-CN"/>
              </w:rPr>
              <w:t>（3）制订切实可行的植被恢复计划，并逐步实施，使勘探工作结束后当地生态环境尽可能地恢复到原有状态，本着先种草后种树的种植原则，因地制宜地选择适合栽种的树种。例如，可种植周围生长的树种，对勘查区的生态保护措施。若雨季无法恢复的部分，要求做好水土流失防护工作。</w:t>
            </w:r>
          </w:p>
        </w:tc>
      </w:tr>
      <w:tr w14:paraId="5DDEDB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 w:type="pct"/>
            <w:tcBorders>
              <w:top w:val="single" w:color="auto" w:sz="4" w:space="0"/>
              <w:left w:val="single" w:color="auto" w:sz="8" w:space="0"/>
              <w:bottom w:val="single" w:color="auto" w:sz="4" w:space="0"/>
              <w:right w:val="single" w:color="auto" w:sz="4" w:space="0"/>
            </w:tcBorders>
            <w:noWrap w:val="0"/>
            <w:vAlign w:val="center"/>
          </w:tcPr>
          <w:p w14:paraId="14ACD0A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highlight w:val="none"/>
              </w:rPr>
            </w:pPr>
            <w:r>
              <w:rPr>
                <w:rFonts w:hint="default" w:ascii="Times New Roman" w:hAnsi="Times New Roman" w:eastAsia="宋体" w:cs="Times New Roman"/>
                <w:b/>
                <w:bCs w:val="0"/>
                <w:color w:val="auto"/>
                <w:spacing w:val="10"/>
                <w:sz w:val="24"/>
                <w:szCs w:val="24"/>
                <w:highlight w:val="none"/>
              </w:rPr>
              <w:t>其他</w:t>
            </w:r>
          </w:p>
        </w:tc>
        <w:tc>
          <w:tcPr>
            <w:tcW w:w="4713" w:type="pct"/>
            <w:tcBorders>
              <w:top w:val="single" w:color="auto" w:sz="4" w:space="0"/>
              <w:left w:val="nil"/>
              <w:bottom w:val="single" w:color="auto" w:sz="4" w:space="0"/>
              <w:right w:val="single" w:color="auto" w:sz="8" w:space="0"/>
            </w:tcBorders>
            <w:noWrap w:val="0"/>
            <w:vAlign w:val="center"/>
          </w:tcPr>
          <w:p w14:paraId="3C0F6DC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根据《建设项目环境保护管理条例》及《建设项目竣工环境保护验收暂行办法》等有关规定自主开展竣工环保验收。</w:t>
            </w:r>
          </w:p>
          <w:p w14:paraId="7C1C87D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pacing w:val="10"/>
                <w:szCs w:val="21"/>
                <w:highlight w:val="none"/>
                <w:lang w:val="en-US" w:eastAsia="zh-CN"/>
              </w:rPr>
            </w:pPr>
          </w:p>
        </w:tc>
      </w:tr>
      <w:tr w14:paraId="1EFFF8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16" w:hRule="atLeast"/>
          <w:jc w:val="center"/>
        </w:trPr>
        <w:tc>
          <w:tcPr>
            <w:tcW w:w="286" w:type="pct"/>
            <w:tcBorders>
              <w:top w:val="single" w:color="auto" w:sz="4" w:space="0"/>
              <w:left w:val="single" w:color="auto" w:sz="8" w:space="0"/>
              <w:bottom w:val="single" w:color="auto" w:sz="8" w:space="0"/>
              <w:right w:val="single" w:color="auto" w:sz="4" w:space="0"/>
            </w:tcBorders>
            <w:noWrap w:val="0"/>
            <w:vAlign w:val="center"/>
          </w:tcPr>
          <w:p w14:paraId="5C22C84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highlight w:val="none"/>
              </w:rPr>
            </w:pPr>
            <w:r>
              <w:rPr>
                <w:rFonts w:hint="default" w:ascii="Times New Roman" w:hAnsi="Times New Roman" w:eastAsia="宋体" w:cs="Times New Roman"/>
                <w:b/>
                <w:bCs w:val="0"/>
                <w:color w:val="auto"/>
                <w:spacing w:val="10"/>
                <w:sz w:val="24"/>
                <w:szCs w:val="24"/>
                <w:highlight w:val="none"/>
              </w:rPr>
              <w:t>环保投资</w:t>
            </w:r>
          </w:p>
        </w:tc>
        <w:tc>
          <w:tcPr>
            <w:tcW w:w="4713" w:type="pct"/>
            <w:tcBorders>
              <w:top w:val="single" w:color="auto" w:sz="4" w:space="0"/>
              <w:left w:val="nil"/>
              <w:bottom w:val="single" w:color="auto" w:sz="8" w:space="0"/>
              <w:right w:val="single" w:color="auto" w:sz="8" w:space="0"/>
            </w:tcBorders>
            <w:noWrap w:val="0"/>
            <w:vAlign w:val="top"/>
          </w:tcPr>
          <w:p w14:paraId="529C534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本项目总投资</w:t>
            </w:r>
            <w:r>
              <w:rPr>
                <w:rFonts w:hint="eastAsia" w:ascii="Times New Roman" w:hAnsi="Times New Roman" w:cs="Times New Roman"/>
                <w:color w:val="auto"/>
                <w:sz w:val="24"/>
                <w:lang w:val="en-US" w:eastAsia="zh-CN"/>
              </w:rPr>
              <w:t>1000</w:t>
            </w:r>
            <w:r>
              <w:rPr>
                <w:rFonts w:hint="eastAsia" w:ascii="Times New Roman" w:hAnsi="Times New Roman" w:cs="Times New Roman"/>
                <w:color w:val="auto"/>
                <w:sz w:val="24"/>
              </w:rPr>
              <w:t>万元，环保投资</w:t>
            </w:r>
            <w:r>
              <w:rPr>
                <w:rFonts w:hint="eastAsia" w:ascii="Times New Roman" w:hAnsi="Times New Roman" w:eastAsia="宋体" w:cs="Times New Roman"/>
                <w:color w:val="auto"/>
                <w:sz w:val="24"/>
                <w:lang w:val="en-US" w:eastAsia="zh-CN"/>
              </w:rPr>
              <w:t>27.0</w:t>
            </w:r>
            <w:r>
              <w:rPr>
                <w:rFonts w:hint="eastAsia" w:ascii="Times New Roman" w:hAnsi="Times New Roman" w:cs="Times New Roman"/>
                <w:color w:val="auto"/>
                <w:sz w:val="24"/>
              </w:rPr>
              <w:t>万元，占总投资的</w:t>
            </w:r>
            <w:r>
              <w:rPr>
                <w:rFonts w:hint="eastAsia" w:ascii="Times New Roman" w:hAnsi="Times New Roman" w:eastAsia="宋体" w:cs="Times New Roman"/>
                <w:color w:val="auto"/>
                <w:sz w:val="24"/>
                <w:lang w:val="en-US" w:eastAsia="zh-CN"/>
              </w:rPr>
              <w:t>2.7</w:t>
            </w:r>
            <w:r>
              <w:rPr>
                <w:rFonts w:hint="eastAsia" w:ascii="Times New Roman" w:hAnsi="Times New Roman" w:cs="Times New Roman"/>
                <w:color w:val="auto"/>
                <w:sz w:val="24"/>
              </w:rPr>
              <w:t>%，本项目所采取的污染防治措施的投资估算</w:t>
            </w:r>
            <w:r>
              <w:rPr>
                <w:rFonts w:hint="default" w:ascii="Times New Roman" w:hAnsi="宋体" w:cs="Times New Roman"/>
                <w:color w:val="auto"/>
                <w:sz w:val="24"/>
              </w:rPr>
              <w:t>见</w:t>
            </w:r>
            <w:r>
              <w:rPr>
                <w:rFonts w:hint="eastAsia" w:ascii="Times New Roman" w:hAnsi="宋体" w:cs="Times New Roman"/>
                <w:color w:val="auto"/>
                <w:sz w:val="24"/>
              </w:rPr>
              <w:t>下表：</w:t>
            </w:r>
          </w:p>
          <w:p w14:paraId="0EDBB277">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b/>
                <w:bCs/>
                <w:color w:val="auto"/>
                <w:sz w:val="24"/>
              </w:rPr>
            </w:pPr>
            <w:r>
              <w:rPr>
                <w:rFonts w:hint="default" w:ascii="Times New Roman" w:hAnsi="Times New Roman" w:cs="Times New Roman"/>
                <w:b/>
                <w:bCs/>
                <w:color w:val="auto"/>
                <w:sz w:val="24"/>
              </w:rPr>
              <w:t>表</w:t>
            </w:r>
            <w:r>
              <w:rPr>
                <w:rFonts w:hint="eastAsia" w:ascii="Times New Roman" w:hAnsi="Times New Roman" w:cs="Times New Roman"/>
                <w:b/>
                <w:bCs/>
                <w:color w:val="auto"/>
                <w:sz w:val="24"/>
                <w:lang w:val="en-US" w:eastAsia="zh-CN"/>
              </w:rPr>
              <w:t>5-1</w:t>
            </w:r>
            <w:r>
              <w:rPr>
                <w:rFonts w:hint="default" w:ascii="Times New Roman" w:hAnsi="Times New Roman" w:cs="Times New Roman"/>
                <w:b/>
                <w:bCs/>
                <w:color w:val="auto"/>
                <w:sz w:val="24"/>
              </w:rPr>
              <w:t xml:space="preserve"> 污染防治措施投资估算一览表</w:t>
            </w:r>
          </w:p>
          <w:tbl>
            <w:tblPr>
              <w:tblStyle w:val="31"/>
              <w:tblW w:w="7967" w:type="dxa"/>
              <w:jc w:val="center"/>
              <w:tblLayout w:type="autofit"/>
              <w:tblCellMar>
                <w:top w:w="0" w:type="dxa"/>
                <w:left w:w="108" w:type="dxa"/>
                <w:bottom w:w="0" w:type="dxa"/>
                <w:right w:w="108" w:type="dxa"/>
              </w:tblCellMar>
            </w:tblPr>
            <w:tblGrid>
              <w:gridCol w:w="719"/>
              <w:gridCol w:w="3711"/>
              <w:gridCol w:w="759"/>
              <w:gridCol w:w="757"/>
              <w:gridCol w:w="895"/>
              <w:gridCol w:w="1126"/>
            </w:tblGrid>
            <w:tr w14:paraId="1FE5EAC2">
              <w:tblPrEx>
                <w:tblCellMar>
                  <w:top w:w="0" w:type="dxa"/>
                  <w:left w:w="108" w:type="dxa"/>
                  <w:bottom w:w="0" w:type="dxa"/>
                  <w:right w:w="108" w:type="dxa"/>
                </w:tblCellMar>
              </w:tblPrEx>
              <w:trPr>
                <w:trHeight w:val="484" w:hRule="atLeast"/>
                <w:jc w:val="center"/>
              </w:trPr>
              <w:tc>
                <w:tcPr>
                  <w:tcW w:w="719" w:type="dxa"/>
                  <w:tcBorders>
                    <w:top w:val="single" w:color="auto" w:sz="8" w:space="0"/>
                    <w:left w:val="single" w:color="auto" w:sz="8" w:space="0"/>
                    <w:bottom w:val="single" w:color="auto" w:sz="8" w:space="0"/>
                    <w:right w:val="single" w:color="auto" w:sz="8" w:space="0"/>
                  </w:tcBorders>
                  <w:noWrap w:val="0"/>
                  <w:vAlign w:val="center"/>
                </w:tcPr>
                <w:p w14:paraId="7B1FE1E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编号</w:t>
                  </w:r>
                </w:p>
              </w:tc>
              <w:tc>
                <w:tcPr>
                  <w:tcW w:w="3711" w:type="dxa"/>
                  <w:tcBorders>
                    <w:top w:val="single" w:color="auto" w:sz="8" w:space="0"/>
                    <w:left w:val="nil"/>
                    <w:bottom w:val="single" w:color="auto" w:sz="8" w:space="0"/>
                    <w:right w:val="single" w:color="auto" w:sz="8" w:space="0"/>
                  </w:tcBorders>
                  <w:noWrap w:val="0"/>
                  <w:vAlign w:val="center"/>
                </w:tcPr>
                <w:p w14:paraId="25BF5E3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w:t>
                  </w:r>
                </w:p>
              </w:tc>
              <w:tc>
                <w:tcPr>
                  <w:tcW w:w="759" w:type="dxa"/>
                  <w:tcBorders>
                    <w:top w:val="single" w:color="auto" w:sz="8" w:space="0"/>
                    <w:left w:val="nil"/>
                    <w:bottom w:val="single" w:color="auto" w:sz="8" w:space="0"/>
                    <w:right w:val="single" w:color="auto" w:sz="8" w:space="0"/>
                  </w:tcBorders>
                  <w:noWrap w:val="0"/>
                  <w:vAlign w:val="center"/>
                </w:tcPr>
                <w:p w14:paraId="47EEB95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单位</w:t>
                  </w:r>
                </w:p>
              </w:tc>
              <w:tc>
                <w:tcPr>
                  <w:tcW w:w="757" w:type="dxa"/>
                  <w:tcBorders>
                    <w:top w:val="single" w:color="auto" w:sz="8" w:space="0"/>
                    <w:left w:val="nil"/>
                    <w:bottom w:val="single" w:color="auto" w:sz="8" w:space="0"/>
                    <w:right w:val="single" w:color="auto" w:sz="8" w:space="0"/>
                  </w:tcBorders>
                  <w:noWrap w:val="0"/>
                  <w:vAlign w:val="center"/>
                </w:tcPr>
                <w:p w14:paraId="2D8760F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数量</w:t>
                  </w:r>
                </w:p>
              </w:tc>
              <w:tc>
                <w:tcPr>
                  <w:tcW w:w="895" w:type="dxa"/>
                  <w:tcBorders>
                    <w:top w:val="single" w:color="auto" w:sz="8" w:space="0"/>
                    <w:left w:val="nil"/>
                    <w:bottom w:val="single" w:color="auto" w:sz="8" w:space="0"/>
                    <w:right w:val="single" w:color="auto" w:sz="8" w:space="0"/>
                  </w:tcBorders>
                  <w:noWrap w:val="0"/>
                  <w:vAlign w:val="center"/>
                </w:tcPr>
                <w:p w14:paraId="74CA18C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投资万元</w:t>
                  </w:r>
                </w:p>
              </w:tc>
              <w:tc>
                <w:tcPr>
                  <w:tcW w:w="1126" w:type="dxa"/>
                  <w:tcBorders>
                    <w:top w:val="single" w:color="auto" w:sz="8" w:space="0"/>
                    <w:left w:val="nil"/>
                    <w:bottom w:val="single" w:color="auto" w:sz="8" w:space="0"/>
                    <w:right w:val="single" w:color="auto" w:sz="8" w:space="0"/>
                  </w:tcBorders>
                  <w:noWrap w:val="0"/>
                  <w:vAlign w:val="center"/>
                </w:tcPr>
                <w:p w14:paraId="17D6E68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备注</w:t>
                  </w:r>
                </w:p>
              </w:tc>
            </w:tr>
            <w:tr w14:paraId="440BD444">
              <w:tblPrEx>
                <w:tblCellMar>
                  <w:top w:w="0" w:type="dxa"/>
                  <w:left w:w="108" w:type="dxa"/>
                  <w:bottom w:w="0" w:type="dxa"/>
                  <w:right w:w="108" w:type="dxa"/>
                </w:tblCellMar>
              </w:tblPrEx>
              <w:trPr>
                <w:trHeight w:val="342" w:hRule="atLeast"/>
                <w:jc w:val="center"/>
              </w:trPr>
              <w:tc>
                <w:tcPr>
                  <w:tcW w:w="719" w:type="dxa"/>
                  <w:tcBorders>
                    <w:top w:val="nil"/>
                    <w:left w:val="single" w:color="auto" w:sz="8" w:space="0"/>
                    <w:bottom w:val="single" w:color="auto" w:sz="8" w:space="0"/>
                    <w:right w:val="single" w:color="auto" w:sz="8" w:space="0"/>
                  </w:tcBorders>
                  <w:noWrap w:val="0"/>
                  <w:vAlign w:val="bottom"/>
                </w:tcPr>
                <w:p w14:paraId="5B6236A6">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eastAsia" w:ascii="Times New Roman" w:hAnsi="Times New Roman" w:cs="Times New Roman"/>
                      <w:b/>
                      <w:color w:val="auto"/>
                      <w:kern w:val="0"/>
                      <w:szCs w:val="21"/>
                    </w:rPr>
                    <w:t>1</w:t>
                  </w:r>
                </w:p>
              </w:tc>
              <w:tc>
                <w:tcPr>
                  <w:tcW w:w="3711" w:type="dxa"/>
                  <w:tcBorders>
                    <w:top w:val="nil"/>
                    <w:left w:val="nil"/>
                    <w:bottom w:val="single" w:color="auto" w:sz="8" w:space="0"/>
                    <w:right w:val="single" w:color="auto" w:sz="8" w:space="0"/>
                  </w:tcBorders>
                  <w:noWrap w:val="0"/>
                  <w:vAlign w:val="bottom"/>
                </w:tcPr>
                <w:p w14:paraId="418CBF65">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eastAsia" w:ascii="Times New Roman" w:hAnsi="Times New Roman" w:cs="Times New Roman"/>
                      <w:b/>
                      <w:color w:val="auto"/>
                      <w:kern w:val="0"/>
                      <w:szCs w:val="21"/>
                    </w:rPr>
                    <w:t>生态保护</w:t>
                  </w:r>
                </w:p>
              </w:tc>
              <w:tc>
                <w:tcPr>
                  <w:tcW w:w="759" w:type="dxa"/>
                  <w:tcBorders>
                    <w:top w:val="nil"/>
                    <w:left w:val="nil"/>
                    <w:bottom w:val="single" w:color="auto" w:sz="8" w:space="0"/>
                    <w:right w:val="single" w:color="auto" w:sz="8" w:space="0"/>
                  </w:tcBorders>
                  <w:noWrap w:val="0"/>
                  <w:vAlign w:val="bottom"/>
                </w:tcPr>
                <w:p w14:paraId="324A27F4">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p>
              </w:tc>
              <w:tc>
                <w:tcPr>
                  <w:tcW w:w="757" w:type="dxa"/>
                  <w:tcBorders>
                    <w:top w:val="nil"/>
                    <w:left w:val="nil"/>
                    <w:bottom w:val="single" w:color="auto" w:sz="8" w:space="0"/>
                    <w:right w:val="single" w:color="auto" w:sz="8" w:space="0"/>
                  </w:tcBorders>
                  <w:noWrap w:val="0"/>
                  <w:vAlign w:val="bottom"/>
                </w:tcPr>
                <w:p w14:paraId="2702B923">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p>
              </w:tc>
              <w:tc>
                <w:tcPr>
                  <w:tcW w:w="895" w:type="dxa"/>
                  <w:tcBorders>
                    <w:top w:val="nil"/>
                    <w:left w:val="nil"/>
                    <w:bottom w:val="single" w:color="auto" w:sz="8" w:space="0"/>
                    <w:right w:val="single" w:color="auto" w:sz="8" w:space="0"/>
                  </w:tcBorders>
                  <w:noWrap w:val="0"/>
                  <w:vAlign w:val="bottom"/>
                </w:tcPr>
                <w:p w14:paraId="0374EDD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color w:val="auto"/>
                      <w:kern w:val="0"/>
                      <w:szCs w:val="21"/>
                      <w:lang w:val="en-US" w:eastAsia="zh-CN"/>
                    </w:rPr>
                  </w:pPr>
                  <w:r>
                    <w:rPr>
                      <w:rFonts w:hint="eastAsia" w:ascii="Times New Roman" w:hAnsi="Times New Roman" w:eastAsia="宋体" w:cs="Times New Roman"/>
                      <w:b/>
                      <w:color w:val="auto"/>
                      <w:kern w:val="0"/>
                      <w:szCs w:val="21"/>
                      <w:lang w:val="en-US" w:eastAsia="zh-CN"/>
                    </w:rPr>
                    <w:t>15.5</w:t>
                  </w:r>
                </w:p>
              </w:tc>
              <w:tc>
                <w:tcPr>
                  <w:tcW w:w="1126" w:type="dxa"/>
                  <w:tcBorders>
                    <w:top w:val="nil"/>
                    <w:left w:val="nil"/>
                    <w:bottom w:val="single" w:color="auto" w:sz="8" w:space="0"/>
                    <w:right w:val="single" w:color="auto" w:sz="8" w:space="0"/>
                  </w:tcBorders>
                  <w:noWrap w:val="0"/>
                  <w:vAlign w:val="bottom"/>
                </w:tcPr>
                <w:p w14:paraId="486BBB7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14:paraId="06CB5475">
              <w:tblPrEx>
                <w:tblCellMar>
                  <w:top w:w="0" w:type="dxa"/>
                  <w:left w:w="108" w:type="dxa"/>
                  <w:bottom w:w="0" w:type="dxa"/>
                  <w:right w:w="108" w:type="dxa"/>
                </w:tblCellMar>
              </w:tblPrEx>
              <w:trPr>
                <w:trHeight w:val="342" w:hRule="atLeast"/>
                <w:jc w:val="center"/>
              </w:trPr>
              <w:tc>
                <w:tcPr>
                  <w:tcW w:w="719" w:type="dxa"/>
                  <w:tcBorders>
                    <w:top w:val="nil"/>
                    <w:left w:val="single" w:color="auto" w:sz="8" w:space="0"/>
                    <w:bottom w:val="single" w:color="auto" w:sz="8" w:space="0"/>
                    <w:right w:val="single" w:color="auto" w:sz="8" w:space="0"/>
                  </w:tcBorders>
                  <w:noWrap w:val="0"/>
                  <w:vAlign w:val="bottom"/>
                </w:tcPr>
                <w:p w14:paraId="3845C5C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3711" w:type="dxa"/>
                  <w:tcBorders>
                    <w:top w:val="nil"/>
                    <w:left w:val="nil"/>
                    <w:bottom w:val="single" w:color="auto" w:sz="8" w:space="0"/>
                    <w:right w:val="single" w:color="auto" w:sz="8" w:space="0"/>
                  </w:tcBorders>
                  <w:noWrap w:val="0"/>
                  <w:vAlign w:val="top"/>
                </w:tcPr>
                <w:p w14:paraId="469BB957">
                  <w:pPr>
                    <w:keepNext w:val="0"/>
                    <w:keepLines w:val="0"/>
                    <w:suppressLineNumbers w:val="0"/>
                    <w:spacing w:before="0" w:beforeAutospacing="0" w:after="0" w:afterAutospacing="0"/>
                    <w:ind w:left="0" w:right="0"/>
                    <w:jc w:val="center"/>
                    <w:rPr>
                      <w:rFonts w:hint="eastAsia" w:ascii="宋体" w:hAnsi="宋体" w:cs="Times New Roman"/>
                      <w:color w:val="auto"/>
                      <w:szCs w:val="21"/>
                    </w:rPr>
                  </w:pPr>
                  <w:r>
                    <w:rPr>
                      <w:rFonts w:hint="eastAsia" w:ascii="宋体" w:hAnsi="宋体" w:cs="Times New Roman"/>
                      <w:color w:val="auto"/>
                      <w:szCs w:val="21"/>
                    </w:rPr>
                    <w:t>生态环境保护、防火宣传教育</w:t>
                  </w:r>
                </w:p>
              </w:tc>
              <w:tc>
                <w:tcPr>
                  <w:tcW w:w="759" w:type="dxa"/>
                  <w:tcBorders>
                    <w:top w:val="nil"/>
                    <w:left w:val="nil"/>
                    <w:bottom w:val="single" w:color="auto" w:sz="8" w:space="0"/>
                    <w:right w:val="single" w:color="auto" w:sz="8" w:space="0"/>
                  </w:tcBorders>
                  <w:noWrap w:val="0"/>
                  <w:vAlign w:val="bottom"/>
                </w:tcPr>
                <w:p w14:paraId="527B60E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757" w:type="dxa"/>
                  <w:tcBorders>
                    <w:top w:val="nil"/>
                    <w:left w:val="nil"/>
                    <w:bottom w:val="single" w:color="auto" w:sz="8" w:space="0"/>
                    <w:right w:val="single" w:color="auto" w:sz="8" w:space="0"/>
                  </w:tcBorders>
                  <w:noWrap w:val="0"/>
                  <w:vAlign w:val="bottom"/>
                </w:tcPr>
                <w:p w14:paraId="0572108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895" w:type="dxa"/>
                  <w:tcBorders>
                    <w:top w:val="nil"/>
                    <w:left w:val="nil"/>
                    <w:bottom w:val="single" w:color="auto" w:sz="8" w:space="0"/>
                    <w:right w:val="single" w:color="auto" w:sz="8" w:space="0"/>
                  </w:tcBorders>
                  <w:noWrap w:val="0"/>
                  <w:vAlign w:val="bottom"/>
                </w:tcPr>
                <w:p w14:paraId="6EB68A40">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rPr>
                  </w:pPr>
                  <w:r>
                    <w:rPr>
                      <w:rFonts w:hint="eastAsia" w:ascii="Times New Roman" w:hAnsi="Times New Roman" w:cs="Times New Roman"/>
                      <w:color w:val="auto"/>
                      <w:kern w:val="0"/>
                      <w:szCs w:val="21"/>
                    </w:rPr>
                    <w:t>0.5</w:t>
                  </w:r>
                </w:p>
              </w:tc>
              <w:tc>
                <w:tcPr>
                  <w:tcW w:w="1126" w:type="dxa"/>
                  <w:tcBorders>
                    <w:top w:val="nil"/>
                    <w:left w:val="nil"/>
                    <w:bottom w:val="single" w:color="auto" w:sz="8" w:space="0"/>
                    <w:right w:val="single" w:color="auto" w:sz="8" w:space="0"/>
                  </w:tcBorders>
                  <w:noWrap w:val="0"/>
                  <w:vAlign w:val="bottom"/>
                </w:tcPr>
                <w:p w14:paraId="3CC2B5E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14:paraId="3949B9FD">
              <w:tblPrEx>
                <w:tblCellMar>
                  <w:top w:w="0" w:type="dxa"/>
                  <w:left w:w="108" w:type="dxa"/>
                  <w:bottom w:w="0" w:type="dxa"/>
                  <w:right w:w="108" w:type="dxa"/>
                </w:tblCellMar>
              </w:tblPrEx>
              <w:trPr>
                <w:trHeight w:val="342" w:hRule="atLeast"/>
                <w:jc w:val="center"/>
              </w:trPr>
              <w:tc>
                <w:tcPr>
                  <w:tcW w:w="719" w:type="dxa"/>
                  <w:tcBorders>
                    <w:top w:val="nil"/>
                    <w:left w:val="single" w:color="auto" w:sz="8" w:space="0"/>
                    <w:bottom w:val="single" w:color="auto" w:sz="8" w:space="0"/>
                    <w:right w:val="single" w:color="auto" w:sz="8" w:space="0"/>
                  </w:tcBorders>
                  <w:noWrap w:val="0"/>
                  <w:vAlign w:val="bottom"/>
                </w:tcPr>
                <w:p w14:paraId="6D92795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3711" w:type="dxa"/>
                  <w:tcBorders>
                    <w:top w:val="nil"/>
                    <w:left w:val="nil"/>
                    <w:bottom w:val="single" w:color="auto" w:sz="8" w:space="0"/>
                    <w:right w:val="single" w:color="auto" w:sz="8" w:space="0"/>
                  </w:tcBorders>
                  <w:noWrap w:val="0"/>
                  <w:vAlign w:val="bottom"/>
                </w:tcPr>
                <w:p w14:paraId="6A6BBC2F">
                  <w:pPr>
                    <w:keepNext w:val="0"/>
                    <w:keepLines w:val="0"/>
                    <w:widowControl/>
                    <w:suppressLineNumbers w:val="0"/>
                    <w:spacing w:before="0" w:beforeAutospacing="0" w:after="0" w:afterAutospacing="0"/>
                    <w:ind w:left="0" w:right="0"/>
                    <w:jc w:val="center"/>
                    <w:rPr>
                      <w:rFonts w:hint="eastAsia" w:ascii="宋体" w:hAnsi="宋体" w:cs="Times New Roman"/>
                      <w:b w:val="0"/>
                      <w:bCs/>
                      <w:color w:val="auto"/>
                      <w:szCs w:val="21"/>
                    </w:rPr>
                  </w:pPr>
                  <w:r>
                    <w:rPr>
                      <w:rFonts w:hint="eastAsia" w:ascii="Times New Roman" w:hAnsi="Times New Roman" w:eastAsia="宋体" w:cs="Times New Roman"/>
                      <w:b w:val="0"/>
                      <w:bCs/>
                      <w:color w:val="auto"/>
                      <w:kern w:val="0"/>
                      <w:szCs w:val="21"/>
                      <w:lang w:val="en-US" w:eastAsia="zh-CN"/>
                    </w:rPr>
                    <w:t>钻探平台截排水沟</w:t>
                  </w:r>
                </w:p>
              </w:tc>
              <w:tc>
                <w:tcPr>
                  <w:tcW w:w="759" w:type="dxa"/>
                  <w:tcBorders>
                    <w:top w:val="nil"/>
                    <w:left w:val="nil"/>
                    <w:bottom w:val="single" w:color="auto" w:sz="8" w:space="0"/>
                    <w:right w:val="single" w:color="auto" w:sz="8" w:space="0"/>
                  </w:tcBorders>
                  <w:noWrap w:val="0"/>
                  <w:vAlign w:val="bottom"/>
                </w:tcPr>
                <w:p w14:paraId="58D48EF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eastAsia="宋体" w:cs="Times New Roman"/>
                      <w:b w:val="0"/>
                      <w:bCs/>
                      <w:color w:val="auto"/>
                      <w:kern w:val="0"/>
                      <w:szCs w:val="21"/>
                      <w:lang w:val="en-US" w:eastAsia="zh-CN"/>
                    </w:rPr>
                    <w:t>个</w:t>
                  </w:r>
                </w:p>
              </w:tc>
              <w:tc>
                <w:tcPr>
                  <w:tcW w:w="757" w:type="dxa"/>
                  <w:tcBorders>
                    <w:top w:val="nil"/>
                    <w:left w:val="nil"/>
                    <w:bottom w:val="single" w:color="auto" w:sz="8" w:space="0"/>
                    <w:right w:val="single" w:color="auto" w:sz="8" w:space="0"/>
                  </w:tcBorders>
                  <w:noWrap w:val="0"/>
                  <w:vAlign w:val="bottom"/>
                </w:tcPr>
                <w:p w14:paraId="5FD38C4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val="en-US"/>
                    </w:rPr>
                  </w:pPr>
                  <w:r>
                    <w:rPr>
                      <w:rFonts w:hint="eastAsia" w:ascii="Times New Roman" w:hAnsi="Times New Roman" w:eastAsia="宋体" w:cs="Times New Roman"/>
                      <w:b/>
                      <w:color w:val="auto"/>
                      <w:kern w:val="0"/>
                      <w:szCs w:val="21"/>
                      <w:lang w:val="en-US" w:eastAsia="zh-CN"/>
                    </w:rPr>
                    <w:t>41</w:t>
                  </w:r>
                </w:p>
              </w:tc>
              <w:tc>
                <w:tcPr>
                  <w:tcW w:w="895" w:type="dxa"/>
                  <w:tcBorders>
                    <w:top w:val="nil"/>
                    <w:left w:val="nil"/>
                    <w:bottom w:val="single" w:color="auto" w:sz="8" w:space="0"/>
                    <w:right w:val="single" w:color="auto" w:sz="8" w:space="0"/>
                  </w:tcBorders>
                  <w:noWrap w:val="0"/>
                  <w:vAlign w:val="bottom"/>
                </w:tcPr>
                <w:p w14:paraId="212F0ABD">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rPr>
                  </w:pPr>
                  <w:r>
                    <w:rPr>
                      <w:rFonts w:hint="eastAsia" w:ascii="Times New Roman" w:hAnsi="Times New Roman" w:cs="Times New Roman"/>
                      <w:color w:val="auto"/>
                      <w:kern w:val="0"/>
                      <w:szCs w:val="21"/>
                    </w:rPr>
                    <w:t>5.0</w:t>
                  </w:r>
                </w:p>
              </w:tc>
              <w:tc>
                <w:tcPr>
                  <w:tcW w:w="1126" w:type="dxa"/>
                  <w:tcBorders>
                    <w:top w:val="nil"/>
                    <w:left w:val="nil"/>
                    <w:bottom w:val="single" w:color="auto" w:sz="8" w:space="0"/>
                    <w:right w:val="single" w:color="auto" w:sz="8" w:space="0"/>
                  </w:tcBorders>
                  <w:noWrap w:val="0"/>
                  <w:vAlign w:val="bottom"/>
                </w:tcPr>
                <w:p w14:paraId="60F59FE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14:paraId="230F2471">
              <w:tblPrEx>
                <w:tblCellMar>
                  <w:top w:w="0" w:type="dxa"/>
                  <w:left w:w="108" w:type="dxa"/>
                  <w:bottom w:w="0" w:type="dxa"/>
                  <w:right w:w="108" w:type="dxa"/>
                </w:tblCellMar>
              </w:tblPrEx>
              <w:trPr>
                <w:trHeight w:val="342" w:hRule="atLeast"/>
                <w:jc w:val="center"/>
              </w:trPr>
              <w:tc>
                <w:tcPr>
                  <w:tcW w:w="719" w:type="dxa"/>
                  <w:tcBorders>
                    <w:top w:val="nil"/>
                    <w:left w:val="single" w:color="auto" w:sz="8" w:space="0"/>
                    <w:bottom w:val="single" w:color="auto" w:sz="8" w:space="0"/>
                    <w:right w:val="single" w:color="auto" w:sz="8" w:space="0"/>
                  </w:tcBorders>
                  <w:noWrap w:val="0"/>
                  <w:vAlign w:val="bottom"/>
                </w:tcPr>
                <w:p w14:paraId="0059F53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3711" w:type="dxa"/>
                  <w:tcBorders>
                    <w:top w:val="nil"/>
                    <w:left w:val="nil"/>
                    <w:bottom w:val="single" w:color="auto" w:sz="8" w:space="0"/>
                    <w:right w:val="single" w:color="auto" w:sz="8" w:space="0"/>
                  </w:tcBorders>
                  <w:noWrap w:val="0"/>
                  <w:vAlign w:val="top"/>
                </w:tcPr>
                <w:p w14:paraId="7DAD2CFC">
                  <w:pPr>
                    <w:keepNext w:val="0"/>
                    <w:keepLines w:val="0"/>
                    <w:suppressLineNumbers w:val="0"/>
                    <w:spacing w:before="0" w:beforeAutospacing="0" w:after="0" w:afterAutospacing="0"/>
                    <w:ind w:left="0" w:right="0" w:firstLine="420" w:firstLineChars="200"/>
                    <w:jc w:val="center"/>
                    <w:rPr>
                      <w:rFonts w:hint="eastAsia" w:ascii="宋体" w:hAnsi="宋体" w:eastAsia="宋体" w:cs="Times New Roman"/>
                      <w:b w:val="0"/>
                      <w:bCs/>
                      <w:color w:val="auto"/>
                      <w:szCs w:val="21"/>
                      <w:lang w:eastAsia="zh-CN"/>
                    </w:rPr>
                  </w:pPr>
                  <w:r>
                    <w:rPr>
                      <w:rFonts w:hint="eastAsia" w:ascii="Times New Roman" w:hAnsi="宋体" w:cs="Times New Roman"/>
                      <w:b w:val="0"/>
                      <w:bCs/>
                      <w:color w:val="auto"/>
                      <w:kern w:val="28"/>
                      <w:szCs w:val="21"/>
                    </w:rPr>
                    <w:t>各</w:t>
                  </w:r>
                  <w:r>
                    <w:rPr>
                      <w:rFonts w:hint="eastAsia" w:ascii="Times New Roman" w:hAnsi="宋体" w:cs="Times New Roman"/>
                      <w:b w:val="0"/>
                      <w:bCs/>
                      <w:color w:val="auto"/>
                      <w:kern w:val="28"/>
                      <w:szCs w:val="21"/>
                      <w:lang w:val="en-US" w:eastAsia="zh-CN"/>
                    </w:rPr>
                    <w:t>钻探平台</w:t>
                  </w:r>
                  <w:r>
                    <w:rPr>
                      <w:rFonts w:hint="eastAsia" w:ascii="Times New Roman" w:hAnsi="宋体" w:cs="Times New Roman"/>
                      <w:b w:val="0"/>
                      <w:bCs/>
                      <w:color w:val="auto"/>
                      <w:kern w:val="28"/>
                      <w:szCs w:val="21"/>
                    </w:rPr>
                    <w:t>开挖面生态恢复</w:t>
                  </w:r>
                </w:p>
              </w:tc>
              <w:tc>
                <w:tcPr>
                  <w:tcW w:w="759" w:type="dxa"/>
                  <w:tcBorders>
                    <w:top w:val="nil"/>
                    <w:left w:val="nil"/>
                    <w:bottom w:val="single" w:color="auto" w:sz="8" w:space="0"/>
                    <w:right w:val="single" w:color="auto" w:sz="8" w:space="0"/>
                  </w:tcBorders>
                  <w:noWrap w:val="0"/>
                  <w:vAlign w:val="bottom"/>
                </w:tcPr>
                <w:p w14:paraId="4AE66CD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处</w:t>
                  </w:r>
                </w:p>
              </w:tc>
              <w:tc>
                <w:tcPr>
                  <w:tcW w:w="757" w:type="dxa"/>
                  <w:tcBorders>
                    <w:top w:val="nil"/>
                    <w:left w:val="nil"/>
                    <w:bottom w:val="single" w:color="auto" w:sz="8" w:space="0"/>
                    <w:right w:val="single" w:color="auto" w:sz="8" w:space="0"/>
                  </w:tcBorders>
                  <w:noWrap w:val="0"/>
                  <w:vAlign w:val="bottom"/>
                </w:tcPr>
                <w:p w14:paraId="067578F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41</w:t>
                  </w:r>
                </w:p>
              </w:tc>
              <w:tc>
                <w:tcPr>
                  <w:tcW w:w="895" w:type="dxa"/>
                  <w:tcBorders>
                    <w:top w:val="nil"/>
                    <w:left w:val="nil"/>
                    <w:bottom w:val="single" w:color="auto" w:sz="8" w:space="0"/>
                    <w:right w:val="single" w:color="auto" w:sz="8" w:space="0"/>
                  </w:tcBorders>
                  <w:noWrap w:val="0"/>
                  <w:vAlign w:val="bottom"/>
                </w:tcPr>
                <w:p w14:paraId="1950D42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10.0</w:t>
                  </w:r>
                </w:p>
              </w:tc>
              <w:tc>
                <w:tcPr>
                  <w:tcW w:w="1126" w:type="dxa"/>
                  <w:tcBorders>
                    <w:top w:val="nil"/>
                    <w:left w:val="nil"/>
                    <w:bottom w:val="single" w:color="auto" w:sz="8" w:space="0"/>
                    <w:right w:val="single" w:color="auto" w:sz="8" w:space="0"/>
                  </w:tcBorders>
                  <w:noWrap w:val="0"/>
                  <w:vAlign w:val="bottom"/>
                </w:tcPr>
                <w:p w14:paraId="5C66EEB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14:paraId="74D92862">
              <w:tblPrEx>
                <w:tblCellMar>
                  <w:top w:w="0" w:type="dxa"/>
                  <w:left w:w="108" w:type="dxa"/>
                  <w:bottom w:w="0" w:type="dxa"/>
                  <w:right w:w="108" w:type="dxa"/>
                </w:tblCellMar>
              </w:tblPrEx>
              <w:trPr>
                <w:trHeight w:val="342" w:hRule="atLeast"/>
                <w:jc w:val="center"/>
              </w:trPr>
              <w:tc>
                <w:tcPr>
                  <w:tcW w:w="719" w:type="dxa"/>
                  <w:tcBorders>
                    <w:top w:val="nil"/>
                    <w:left w:val="single" w:color="auto" w:sz="8" w:space="0"/>
                    <w:bottom w:val="single" w:color="auto" w:sz="8" w:space="0"/>
                    <w:right w:val="single" w:color="auto" w:sz="8" w:space="0"/>
                  </w:tcBorders>
                  <w:noWrap w:val="0"/>
                  <w:vAlign w:val="bottom"/>
                </w:tcPr>
                <w:p w14:paraId="6A9C9CFA">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eastAsia" w:ascii="Times New Roman" w:hAnsi="Times New Roman" w:cs="Times New Roman"/>
                      <w:b/>
                      <w:color w:val="auto"/>
                      <w:kern w:val="0"/>
                      <w:szCs w:val="21"/>
                    </w:rPr>
                    <w:t>2</w:t>
                  </w:r>
                </w:p>
              </w:tc>
              <w:tc>
                <w:tcPr>
                  <w:tcW w:w="3711" w:type="dxa"/>
                  <w:tcBorders>
                    <w:top w:val="nil"/>
                    <w:left w:val="nil"/>
                    <w:bottom w:val="single" w:color="auto" w:sz="8" w:space="0"/>
                    <w:right w:val="single" w:color="auto" w:sz="8" w:space="0"/>
                  </w:tcBorders>
                  <w:noWrap w:val="0"/>
                  <w:vAlign w:val="bottom"/>
                </w:tcPr>
                <w:p w14:paraId="102640D5">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水环境保护</w:t>
                  </w:r>
                </w:p>
              </w:tc>
              <w:tc>
                <w:tcPr>
                  <w:tcW w:w="759" w:type="dxa"/>
                  <w:tcBorders>
                    <w:top w:val="nil"/>
                    <w:left w:val="nil"/>
                    <w:bottom w:val="single" w:color="auto" w:sz="8" w:space="0"/>
                    <w:right w:val="single" w:color="auto" w:sz="8" w:space="0"/>
                  </w:tcBorders>
                  <w:noWrap w:val="0"/>
                  <w:vAlign w:val="bottom"/>
                </w:tcPr>
                <w:p w14:paraId="423EABDD">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p>
              </w:tc>
              <w:tc>
                <w:tcPr>
                  <w:tcW w:w="757" w:type="dxa"/>
                  <w:tcBorders>
                    <w:top w:val="nil"/>
                    <w:left w:val="nil"/>
                    <w:bottom w:val="single" w:color="auto" w:sz="8" w:space="0"/>
                    <w:right w:val="single" w:color="auto" w:sz="8" w:space="0"/>
                  </w:tcBorders>
                  <w:noWrap w:val="0"/>
                  <w:vAlign w:val="bottom"/>
                </w:tcPr>
                <w:p w14:paraId="3C515291">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p>
              </w:tc>
              <w:tc>
                <w:tcPr>
                  <w:tcW w:w="895" w:type="dxa"/>
                  <w:tcBorders>
                    <w:top w:val="nil"/>
                    <w:left w:val="nil"/>
                    <w:bottom w:val="single" w:color="auto" w:sz="8" w:space="0"/>
                    <w:right w:val="single" w:color="auto" w:sz="8" w:space="0"/>
                  </w:tcBorders>
                  <w:noWrap w:val="0"/>
                  <w:vAlign w:val="bottom"/>
                </w:tcPr>
                <w:p w14:paraId="464B2CF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kern w:val="0"/>
                      <w:szCs w:val="21"/>
                      <w:lang w:val="en-US" w:eastAsia="zh-CN"/>
                    </w:rPr>
                  </w:pPr>
                  <w:r>
                    <w:rPr>
                      <w:rFonts w:hint="eastAsia" w:ascii="Times New Roman" w:hAnsi="Times New Roman" w:eastAsia="宋体" w:cs="Times New Roman"/>
                      <w:b/>
                      <w:color w:val="auto"/>
                      <w:kern w:val="0"/>
                      <w:szCs w:val="21"/>
                      <w:lang w:val="en-US" w:eastAsia="zh-CN"/>
                    </w:rPr>
                    <w:t>5.0</w:t>
                  </w:r>
                </w:p>
              </w:tc>
              <w:tc>
                <w:tcPr>
                  <w:tcW w:w="1126" w:type="dxa"/>
                  <w:tcBorders>
                    <w:top w:val="nil"/>
                    <w:left w:val="nil"/>
                    <w:bottom w:val="single" w:color="auto" w:sz="8" w:space="0"/>
                    <w:right w:val="single" w:color="auto" w:sz="8" w:space="0"/>
                  </w:tcBorders>
                  <w:noWrap w:val="0"/>
                  <w:vAlign w:val="bottom"/>
                </w:tcPr>
                <w:p w14:paraId="230D4F5A">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p>
              </w:tc>
            </w:tr>
            <w:tr w14:paraId="43A7CCBC">
              <w:tblPrEx>
                <w:tblCellMar>
                  <w:top w:w="0" w:type="dxa"/>
                  <w:left w:w="108" w:type="dxa"/>
                  <w:bottom w:w="0" w:type="dxa"/>
                  <w:right w:w="108" w:type="dxa"/>
                </w:tblCellMar>
              </w:tblPrEx>
              <w:trPr>
                <w:trHeight w:val="342" w:hRule="atLeast"/>
                <w:jc w:val="center"/>
              </w:trPr>
              <w:tc>
                <w:tcPr>
                  <w:tcW w:w="719" w:type="dxa"/>
                  <w:tcBorders>
                    <w:top w:val="nil"/>
                    <w:left w:val="single" w:color="auto" w:sz="8" w:space="0"/>
                    <w:bottom w:val="single" w:color="auto" w:sz="8" w:space="0"/>
                    <w:right w:val="single" w:color="auto" w:sz="8" w:space="0"/>
                  </w:tcBorders>
                  <w:noWrap w:val="0"/>
                  <w:vAlign w:val="bottom"/>
                </w:tcPr>
                <w:p w14:paraId="0ACB179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3711" w:type="dxa"/>
                  <w:tcBorders>
                    <w:top w:val="nil"/>
                    <w:left w:val="nil"/>
                    <w:bottom w:val="single" w:color="auto" w:sz="8" w:space="0"/>
                    <w:right w:val="single" w:color="auto" w:sz="8" w:space="0"/>
                  </w:tcBorders>
                  <w:noWrap w:val="0"/>
                  <w:vAlign w:val="center"/>
                </w:tcPr>
                <w:p w14:paraId="40F4DFD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eastAsia="zh-CN"/>
                    </w:rPr>
                  </w:pPr>
                  <w:r>
                    <w:rPr>
                      <w:rFonts w:hint="eastAsia" w:ascii="Times New Roman" w:hAnsi="Times New Roman" w:cs="Times New Roman"/>
                      <w:color w:val="auto"/>
                      <w:kern w:val="0"/>
                      <w:szCs w:val="21"/>
                      <w:lang w:val="en-US" w:eastAsia="zh-CN"/>
                    </w:rPr>
                    <w:t>化粪池（30m</w:t>
                  </w:r>
                  <w:r>
                    <w:rPr>
                      <w:rFonts w:hint="eastAsia" w:ascii="Times New Roman" w:hAnsi="Times New Roman" w:cs="Times New Roman"/>
                      <w:color w:val="auto"/>
                      <w:kern w:val="0"/>
                      <w:szCs w:val="21"/>
                      <w:vertAlign w:val="superscript"/>
                      <w:lang w:val="en-US" w:eastAsia="zh-CN"/>
                    </w:rPr>
                    <w:t>3</w:t>
                  </w:r>
                  <w:r>
                    <w:rPr>
                      <w:rFonts w:hint="eastAsia" w:ascii="Times New Roman" w:hAnsi="Times New Roman" w:cs="Times New Roman"/>
                      <w:color w:val="auto"/>
                      <w:kern w:val="0"/>
                      <w:szCs w:val="21"/>
                      <w:lang w:val="en-US" w:eastAsia="zh-CN"/>
                    </w:rPr>
                    <w:t>）</w:t>
                  </w:r>
                </w:p>
              </w:tc>
              <w:tc>
                <w:tcPr>
                  <w:tcW w:w="759" w:type="dxa"/>
                  <w:tcBorders>
                    <w:top w:val="nil"/>
                    <w:left w:val="nil"/>
                    <w:bottom w:val="single" w:color="auto" w:sz="8" w:space="0"/>
                    <w:right w:val="single" w:color="auto" w:sz="8" w:space="0"/>
                  </w:tcBorders>
                  <w:noWrap w:val="0"/>
                  <w:vAlign w:val="center"/>
                </w:tcPr>
                <w:p w14:paraId="2460F4C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座</w:t>
                  </w:r>
                </w:p>
              </w:tc>
              <w:tc>
                <w:tcPr>
                  <w:tcW w:w="757" w:type="dxa"/>
                  <w:tcBorders>
                    <w:top w:val="nil"/>
                    <w:left w:val="nil"/>
                    <w:bottom w:val="single" w:color="auto" w:sz="8" w:space="0"/>
                    <w:right w:val="single" w:color="auto" w:sz="8" w:space="0"/>
                  </w:tcBorders>
                  <w:noWrap w:val="0"/>
                  <w:vAlign w:val="center"/>
                </w:tcPr>
                <w:p w14:paraId="509B4B8A">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rPr>
                  </w:pPr>
                  <w:r>
                    <w:rPr>
                      <w:rFonts w:hint="eastAsia" w:ascii="Times New Roman" w:hAnsi="Times New Roman" w:cs="Times New Roman"/>
                      <w:color w:val="auto"/>
                      <w:kern w:val="0"/>
                      <w:szCs w:val="21"/>
                    </w:rPr>
                    <w:t>1</w:t>
                  </w:r>
                </w:p>
              </w:tc>
              <w:tc>
                <w:tcPr>
                  <w:tcW w:w="895" w:type="dxa"/>
                  <w:tcBorders>
                    <w:top w:val="nil"/>
                    <w:left w:val="nil"/>
                    <w:bottom w:val="single" w:color="auto" w:sz="8" w:space="0"/>
                    <w:right w:val="single" w:color="auto" w:sz="8" w:space="0"/>
                  </w:tcBorders>
                  <w:noWrap w:val="0"/>
                  <w:vAlign w:val="center"/>
                </w:tcPr>
                <w:p w14:paraId="7F9ACB3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w:t>
                  </w:r>
                </w:p>
              </w:tc>
              <w:tc>
                <w:tcPr>
                  <w:tcW w:w="1126" w:type="dxa"/>
                  <w:tcBorders>
                    <w:top w:val="nil"/>
                    <w:left w:val="nil"/>
                    <w:bottom w:val="single" w:color="auto" w:sz="8" w:space="0"/>
                    <w:right w:val="single" w:color="auto" w:sz="8" w:space="0"/>
                  </w:tcBorders>
                  <w:noWrap w:val="0"/>
                  <w:vAlign w:val="bottom"/>
                </w:tcPr>
                <w:p w14:paraId="3E8730D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依托已有</w:t>
                  </w:r>
                </w:p>
              </w:tc>
            </w:tr>
            <w:tr w14:paraId="0DFACB64">
              <w:tblPrEx>
                <w:tblCellMar>
                  <w:top w:w="0" w:type="dxa"/>
                  <w:left w:w="108" w:type="dxa"/>
                  <w:bottom w:w="0" w:type="dxa"/>
                  <w:right w:w="108" w:type="dxa"/>
                </w:tblCellMar>
              </w:tblPrEx>
              <w:trPr>
                <w:trHeight w:val="342" w:hRule="atLeast"/>
                <w:jc w:val="center"/>
              </w:trPr>
              <w:tc>
                <w:tcPr>
                  <w:tcW w:w="719" w:type="dxa"/>
                  <w:tcBorders>
                    <w:top w:val="nil"/>
                    <w:left w:val="single" w:color="auto" w:sz="8" w:space="0"/>
                    <w:bottom w:val="single" w:color="auto" w:sz="8" w:space="0"/>
                    <w:right w:val="single" w:color="auto" w:sz="8" w:space="0"/>
                  </w:tcBorders>
                  <w:noWrap w:val="0"/>
                  <w:vAlign w:val="bottom"/>
                </w:tcPr>
                <w:p w14:paraId="11761A9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3711" w:type="dxa"/>
                  <w:tcBorders>
                    <w:top w:val="nil"/>
                    <w:left w:val="nil"/>
                    <w:bottom w:val="single" w:color="auto" w:sz="8" w:space="0"/>
                    <w:right w:val="single" w:color="auto" w:sz="8" w:space="0"/>
                  </w:tcBorders>
                  <w:noWrap w:val="0"/>
                  <w:vAlign w:val="center"/>
                </w:tcPr>
                <w:p w14:paraId="3E19FDF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rPr>
                    <w:t>临时沉淀池（</w:t>
                  </w:r>
                  <w:r>
                    <w:rPr>
                      <w:rFonts w:hint="eastAsia" w:ascii="Times New Roman" w:hAnsi="Times New Roman" w:cs="Times New Roman"/>
                      <w:color w:val="auto"/>
                      <w:kern w:val="0"/>
                      <w:szCs w:val="21"/>
                      <w:lang w:val="en-US" w:eastAsia="zh-CN"/>
                    </w:rPr>
                    <w:t>1.0</w:t>
                  </w:r>
                  <w:r>
                    <w:rPr>
                      <w:rFonts w:hint="eastAsia" w:ascii="Times New Roman" w:hAnsi="Times New Roman" w:cs="Times New Roman"/>
                      <w:color w:val="auto"/>
                      <w:kern w:val="0"/>
                      <w:szCs w:val="21"/>
                    </w:rPr>
                    <w:t>m</w:t>
                  </w:r>
                  <w:r>
                    <w:rPr>
                      <w:rFonts w:hint="eastAsia" w:ascii="Times New Roman" w:hAnsi="Times New Roman" w:cs="Times New Roman"/>
                      <w:color w:val="auto"/>
                      <w:kern w:val="0"/>
                      <w:szCs w:val="21"/>
                      <w:vertAlign w:val="superscript"/>
                    </w:rPr>
                    <w:t>3</w:t>
                  </w:r>
                  <w:r>
                    <w:rPr>
                      <w:rFonts w:hint="eastAsia" w:ascii="Times New Roman" w:hAnsi="Times New Roman" w:cs="Times New Roman"/>
                      <w:color w:val="auto"/>
                      <w:kern w:val="0"/>
                      <w:szCs w:val="21"/>
                    </w:rPr>
                    <w:t>）</w:t>
                  </w:r>
                </w:p>
              </w:tc>
              <w:tc>
                <w:tcPr>
                  <w:tcW w:w="759" w:type="dxa"/>
                  <w:tcBorders>
                    <w:top w:val="nil"/>
                    <w:left w:val="nil"/>
                    <w:bottom w:val="single" w:color="auto" w:sz="8" w:space="0"/>
                    <w:right w:val="single" w:color="auto" w:sz="8" w:space="0"/>
                  </w:tcBorders>
                  <w:noWrap w:val="0"/>
                  <w:vAlign w:val="center"/>
                </w:tcPr>
                <w:p w14:paraId="0C7D3EF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rPr>
                    <w:t>座</w:t>
                  </w:r>
                </w:p>
              </w:tc>
              <w:tc>
                <w:tcPr>
                  <w:tcW w:w="757" w:type="dxa"/>
                  <w:tcBorders>
                    <w:top w:val="nil"/>
                    <w:left w:val="nil"/>
                    <w:bottom w:val="single" w:color="auto" w:sz="8" w:space="0"/>
                    <w:right w:val="single" w:color="auto" w:sz="8" w:space="0"/>
                  </w:tcBorders>
                  <w:noWrap w:val="0"/>
                  <w:vAlign w:val="center"/>
                </w:tcPr>
                <w:p w14:paraId="33261E3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41</w:t>
                  </w:r>
                </w:p>
              </w:tc>
              <w:tc>
                <w:tcPr>
                  <w:tcW w:w="895" w:type="dxa"/>
                  <w:tcBorders>
                    <w:top w:val="nil"/>
                    <w:left w:val="nil"/>
                    <w:bottom w:val="single" w:color="auto" w:sz="8" w:space="0"/>
                    <w:right w:val="single" w:color="auto" w:sz="8" w:space="0"/>
                  </w:tcBorders>
                  <w:noWrap w:val="0"/>
                  <w:vAlign w:val="center"/>
                </w:tcPr>
                <w:p w14:paraId="2975244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5.0</w:t>
                  </w:r>
                </w:p>
              </w:tc>
              <w:tc>
                <w:tcPr>
                  <w:tcW w:w="1126" w:type="dxa"/>
                  <w:tcBorders>
                    <w:top w:val="nil"/>
                    <w:left w:val="nil"/>
                    <w:bottom w:val="single" w:color="auto" w:sz="8" w:space="0"/>
                    <w:right w:val="single" w:color="auto" w:sz="8" w:space="0"/>
                  </w:tcBorders>
                  <w:noWrap w:val="0"/>
                  <w:vAlign w:val="bottom"/>
                </w:tcPr>
                <w:p w14:paraId="79EB646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14:paraId="11F737D6">
              <w:tblPrEx>
                <w:tblCellMar>
                  <w:top w:w="0" w:type="dxa"/>
                  <w:left w:w="108" w:type="dxa"/>
                  <w:bottom w:w="0" w:type="dxa"/>
                  <w:right w:w="108" w:type="dxa"/>
                </w:tblCellMar>
              </w:tblPrEx>
              <w:trPr>
                <w:trHeight w:val="342" w:hRule="atLeast"/>
                <w:jc w:val="center"/>
              </w:trPr>
              <w:tc>
                <w:tcPr>
                  <w:tcW w:w="719" w:type="dxa"/>
                  <w:tcBorders>
                    <w:top w:val="nil"/>
                    <w:left w:val="single" w:color="auto" w:sz="8" w:space="0"/>
                    <w:bottom w:val="single" w:color="auto" w:sz="8" w:space="0"/>
                    <w:right w:val="single" w:color="auto" w:sz="8" w:space="0"/>
                  </w:tcBorders>
                  <w:noWrap w:val="0"/>
                  <w:vAlign w:val="bottom"/>
                </w:tcPr>
                <w:p w14:paraId="76D14671">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eastAsia" w:ascii="Times New Roman" w:hAnsi="Times New Roman" w:cs="Times New Roman"/>
                      <w:b/>
                      <w:color w:val="auto"/>
                      <w:kern w:val="0"/>
                      <w:szCs w:val="21"/>
                    </w:rPr>
                    <w:t>3</w:t>
                  </w:r>
                </w:p>
              </w:tc>
              <w:tc>
                <w:tcPr>
                  <w:tcW w:w="3711" w:type="dxa"/>
                  <w:tcBorders>
                    <w:top w:val="nil"/>
                    <w:left w:val="nil"/>
                    <w:bottom w:val="single" w:color="auto" w:sz="8" w:space="0"/>
                    <w:right w:val="single" w:color="auto" w:sz="8" w:space="0"/>
                  </w:tcBorders>
                  <w:noWrap w:val="0"/>
                  <w:vAlign w:val="bottom"/>
                </w:tcPr>
                <w:p w14:paraId="1447968F">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大气环境保护</w:t>
                  </w:r>
                </w:p>
              </w:tc>
              <w:tc>
                <w:tcPr>
                  <w:tcW w:w="759" w:type="dxa"/>
                  <w:tcBorders>
                    <w:top w:val="nil"/>
                    <w:left w:val="nil"/>
                    <w:bottom w:val="single" w:color="auto" w:sz="8" w:space="0"/>
                    <w:right w:val="single" w:color="auto" w:sz="8" w:space="0"/>
                  </w:tcBorders>
                  <w:noWrap w:val="0"/>
                  <w:vAlign w:val="bottom"/>
                </w:tcPr>
                <w:p w14:paraId="1DF3E99B">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p>
              </w:tc>
              <w:tc>
                <w:tcPr>
                  <w:tcW w:w="757" w:type="dxa"/>
                  <w:tcBorders>
                    <w:top w:val="nil"/>
                    <w:left w:val="nil"/>
                    <w:bottom w:val="single" w:color="auto" w:sz="8" w:space="0"/>
                    <w:right w:val="single" w:color="auto" w:sz="8" w:space="0"/>
                  </w:tcBorders>
                  <w:noWrap w:val="0"/>
                  <w:vAlign w:val="bottom"/>
                </w:tcPr>
                <w:p w14:paraId="0A924607">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p>
              </w:tc>
              <w:tc>
                <w:tcPr>
                  <w:tcW w:w="895" w:type="dxa"/>
                  <w:tcBorders>
                    <w:top w:val="nil"/>
                    <w:left w:val="nil"/>
                    <w:bottom w:val="single" w:color="auto" w:sz="8" w:space="0"/>
                    <w:right w:val="single" w:color="auto" w:sz="8" w:space="0"/>
                  </w:tcBorders>
                  <w:noWrap w:val="0"/>
                  <w:vAlign w:val="bottom"/>
                </w:tcPr>
                <w:p w14:paraId="3398C96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color w:val="auto"/>
                      <w:kern w:val="0"/>
                      <w:szCs w:val="21"/>
                      <w:lang w:val="en-US" w:eastAsia="zh-CN"/>
                    </w:rPr>
                  </w:pPr>
                  <w:r>
                    <w:rPr>
                      <w:rFonts w:hint="eastAsia" w:ascii="Times New Roman" w:hAnsi="Times New Roman" w:eastAsia="宋体" w:cs="Times New Roman"/>
                      <w:b/>
                      <w:color w:val="auto"/>
                      <w:kern w:val="0"/>
                      <w:szCs w:val="21"/>
                      <w:lang w:val="en-US" w:eastAsia="zh-CN"/>
                    </w:rPr>
                    <w:t>1.5</w:t>
                  </w:r>
                </w:p>
              </w:tc>
              <w:tc>
                <w:tcPr>
                  <w:tcW w:w="1126" w:type="dxa"/>
                  <w:tcBorders>
                    <w:top w:val="nil"/>
                    <w:left w:val="nil"/>
                    <w:bottom w:val="single" w:color="auto" w:sz="8" w:space="0"/>
                    <w:right w:val="single" w:color="auto" w:sz="8" w:space="0"/>
                  </w:tcBorders>
                  <w:noWrap w:val="0"/>
                  <w:vAlign w:val="bottom"/>
                </w:tcPr>
                <w:p w14:paraId="06A21187">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p>
              </w:tc>
            </w:tr>
            <w:tr w14:paraId="7000E9B2">
              <w:tblPrEx>
                <w:tblCellMar>
                  <w:top w:w="0" w:type="dxa"/>
                  <w:left w:w="108" w:type="dxa"/>
                  <w:bottom w:w="0" w:type="dxa"/>
                  <w:right w:w="108" w:type="dxa"/>
                </w:tblCellMar>
              </w:tblPrEx>
              <w:trPr>
                <w:trHeight w:val="342" w:hRule="atLeast"/>
                <w:jc w:val="center"/>
              </w:trPr>
              <w:tc>
                <w:tcPr>
                  <w:tcW w:w="719" w:type="dxa"/>
                  <w:tcBorders>
                    <w:top w:val="nil"/>
                    <w:left w:val="single" w:color="auto" w:sz="8" w:space="0"/>
                    <w:bottom w:val="single" w:color="auto" w:sz="8" w:space="0"/>
                    <w:right w:val="single" w:color="auto" w:sz="8" w:space="0"/>
                  </w:tcBorders>
                  <w:noWrap w:val="0"/>
                  <w:vAlign w:val="bottom"/>
                </w:tcPr>
                <w:p w14:paraId="75618CA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3711" w:type="dxa"/>
                  <w:tcBorders>
                    <w:top w:val="nil"/>
                    <w:left w:val="nil"/>
                    <w:bottom w:val="single" w:color="auto" w:sz="8" w:space="0"/>
                    <w:right w:val="single" w:color="auto" w:sz="8" w:space="0"/>
                  </w:tcBorders>
                  <w:noWrap w:val="0"/>
                  <w:vAlign w:val="top"/>
                </w:tcPr>
                <w:p w14:paraId="154789FB">
                  <w:pPr>
                    <w:keepNext w:val="0"/>
                    <w:keepLines w:val="0"/>
                    <w:suppressLineNumbers w:val="0"/>
                    <w:spacing w:before="0" w:beforeAutospacing="0" w:after="0" w:afterAutospacing="0"/>
                    <w:ind w:left="0" w:right="0"/>
                    <w:jc w:val="center"/>
                    <w:rPr>
                      <w:rFonts w:hint="eastAsia" w:ascii="宋体" w:hAnsi="宋体" w:cs="Times New Roman"/>
                      <w:color w:val="auto"/>
                      <w:szCs w:val="21"/>
                    </w:rPr>
                  </w:pPr>
                  <w:r>
                    <w:rPr>
                      <w:rFonts w:hint="eastAsia" w:ascii="宋体" w:hAnsi="宋体" w:cs="Times New Roman"/>
                      <w:color w:val="auto"/>
                      <w:szCs w:val="21"/>
                    </w:rPr>
                    <w:t>定期洒水降尘</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土工布遮盖</w:t>
                  </w:r>
                </w:p>
              </w:tc>
              <w:tc>
                <w:tcPr>
                  <w:tcW w:w="759" w:type="dxa"/>
                  <w:tcBorders>
                    <w:top w:val="nil"/>
                    <w:left w:val="nil"/>
                    <w:bottom w:val="single" w:color="auto" w:sz="8" w:space="0"/>
                    <w:right w:val="single" w:color="auto" w:sz="8" w:space="0"/>
                  </w:tcBorders>
                  <w:noWrap w:val="0"/>
                  <w:vAlign w:val="bottom"/>
                </w:tcPr>
                <w:p w14:paraId="5B46603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757" w:type="dxa"/>
                  <w:tcBorders>
                    <w:top w:val="nil"/>
                    <w:left w:val="nil"/>
                    <w:bottom w:val="single" w:color="auto" w:sz="8" w:space="0"/>
                    <w:right w:val="single" w:color="auto" w:sz="8" w:space="0"/>
                  </w:tcBorders>
                  <w:noWrap w:val="0"/>
                  <w:vAlign w:val="bottom"/>
                </w:tcPr>
                <w:p w14:paraId="762D9F4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895" w:type="dxa"/>
                  <w:tcBorders>
                    <w:top w:val="nil"/>
                    <w:left w:val="nil"/>
                    <w:bottom w:val="single" w:color="auto" w:sz="8" w:space="0"/>
                    <w:right w:val="single" w:color="auto" w:sz="8" w:space="0"/>
                  </w:tcBorders>
                  <w:noWrap w:val="0"/>
                  <w:vAlign w:val="bottom"/>
                </w:tcPr>
                <w:p w14:paraId="4EF543A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0.8</w:t>
                  </w:r>
                </w:p>
              </w:tc>
              <w:tc>
                <w:tcPr>
                  <w:tcW w:w="1126" w:type="dxa"/>
                  <w:tcBorders>
                    <w:top w:val="nil"/>
                    <w:left w:val="nil"/>
                    <w:bottom w:val="single" w:color="auto" w:sz="8" w:space="0"/>
                    <w:right w:val="single" w:color="auto" w:sz="8" w:space="0"/>
                  </w:tcBorders>
                  <w:noWrap w:val="0"/>
                  <w:vAlign w:val="bottom"/>
                </w:tcPr>
                <w:p w14:paraId="2E3261C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14:paraId="3CA31310">
              <w:tblPrEx>
                <w:tblCellMar>
                  <w:top w:w="0" w:type="dxa"/>
                  <w:left w:w="108" w:type="dxa"/>
                  <w:bottom w:w="0" w:type="dxa"/>
                  <w:right w:w="108" w:type="dxa"/>
                </w:tblCellMar>
              </w:tblPrEx>
              <w:trPr>
                <w:trHeight w:val="664" w:hRule="atLeast"/>
                <w:jc w:val="center"/>
              </w:trPr>
              <w:tc>
                <w:tcPr>
                  <w:tcW w:w="719" w:type="dxa"/>
                  <w:tcBorders>
                    <w:top w:val="nil"/>
                    <w:left w:val="single" w:color="auto" w:sz="8" w:space="0"/>
                    <w:bottom w:val="single" w:color="auto" w:sz="8" w:space="0"/>
                    <w:right w:val="single" w:color="auto" w:sz="8" w:space="0"/>
                  </w:tcBorders>
                  <w:noWrap w:val="0"/>
                  <w:vAlign w:val="bottom"/>
                </w:tcPr>
                <w:p w14:paraId="2D4CA20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3711" w:type="dxa"/>
                  <w:tcBorders>
                    <w:top w:val="nil"/>
                    <w:left w:val="nil"/>
                    <w:bottom w:val="single" w:color="auto" w:sz="8" w:space="0"/>
                    <w:right w:val="single" w:color="auto" w:sz="8" w:space="0"/>
                  </w:tcBorders>
                  <w:noWrap w:val="0"/>
                  <w:vAlign w:val="center"/>
                </w:tcPr>
                <w:p w14:paraId="69D8B806">
                  <w:pPr>
                    <w:keepNext w:val="0"/>
                    <w:keepLines w:val="0"/>
                    <w:suppressLineNumbers w:val="0"/>
                    <w:spacing w:before="0" w:beforeAutospacing="0" w:after="0" w:afterAutospacing="0"/>
                    <w:ind w:left="0" w:right="0"/>
                    <w:jc w:val="center"/>
                    <w:rPr>
                      <w:rFonts w:hint="eastAsia" w:ascii="宋体" w:hAnsi="宋体" w:cs="Times New Roman"/>
                      <w:color w:val="auto"/>
                      <w:szCs w:val="21"/>
                    </w:rPr>
                  </w:pPr>
                  <w:r>
                    <w:rPr>
                      <w:rFonts w:hint="eastAsia" w:ascii="宋体" w:hAnsi="宋体" w:cs="Times New Roman"/>
                      <w:color w:val="auto"/>
                      <w:szCs w:val="21"/>
                    </w:rPr>
                    <w:t>大量接触粉尘的作业人员须</w:t>
                  </w:r>
                  <w:r>
                    <w:rPr>
                      <w:rFonts w:hint="eastAsia" w:ascii="宋体" w:hAnsi="宋体" w:cs="Times New Roman"/>
                      <w:color w:val="auto"/>
                      <w:szCs w:val="21"/>
                      <w:lang w:eastAsia="zh-CN"/>
                    </w:rPr>
                    <w:t>佩戴口罩</w:t>
                  </w:r>
                  <w:r>
                    <w:rPr>
                      <w:rFonts w:hint="eastAsia" w:ascii="宋体" w:hAnsi="宋体" w:cs="Times New Roman"/>
                      <w:color w:val="auto"/>
                      <w:szCs w:val="21"/>
                    </w:rPr>
                    <w:t>等个人防护用具</w:t>
                  </w:r>
                </w:p>
              </w:tc>
              <w:tc>
                <w:tcPr>
                  <w:tcW w:w="759" w:type="dxa"/>
                  <w:tcBorders>
                    <w:top w:val="nil"/>
                    <w:left w:val="nil"/>
                    <w:bottom w:val="single" w:color="auto" w:sz="8" w:space="0"/>
                    <w:right w:val="single" w:color="auto" w:sz="8" w:space="0"/>
                  </w:tcBorders>
                  <w:noWrap w:val="0"/>
                  <w:vAlign w:val="center"/>
                </w:tcPr>
                <w:p w14:paraId="40396A3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757" w:type="dxa"/>
                  <w:tcBorders>
                    <w:top w:val="nil"/>
                    <w:left w:val="nil"/>
                    <w:bottom w:val="single" w:color="auto" w:sz="8" w:space="0"/>
                    <w:right w:val="single" w:color="auto" w:sz="8" w:space="0"/>
                  </w:tcBorders>
                  <w:noWrap w:val="0"/>
                  <w:vAlign w:val="center"/>
                </w:tcPr>
                <w:p w14:paraId="0EB60C8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895" w:type="dxa"/>
                  <w:tcBorders>
                    <w:top w:val="nil"/>
                    <w:left w:val="nil"/>
                    <w:bottom w:val="single" w:color="auto" w:sz="8" w:space="0"/>
                    <w:right w:val="single" w:color="auto" w:sz="8" w:space="0"/>
                  </w:tcBorders>
                  <w:noWrap w:val="0"/>
                  <w:vAlign w:val="center"/>
                </w:tcPr>
                <w:p w14:paraId="3A2DD73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0.3</w:t>
                  </w:r>
                </w:p>
              </w:tc>
              <w:tc>
                <w:tcPr>
                  <w:tcW w:w="1126" w:type="dxa"/>
                  <w:tcBorders>
                    <w:top w:val="nil"/>
                    <w:left w:val="nil"/>
                    <w:bottom w:val="single" w:color="auto" w:sz="8" w:space="0"/>
                    <w:right w:val="single" w:color="auto" w:sz="8" w:space="0"/>
                  </w:tcBorders>
                  <w:noWrap w:val="0"/>
                  <w:vAlign w:val="bottom"/>
                </w:tcPr>
                <w:p w14:paraId="1DF95E0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14:paraId="08BB1D90">
              <w:tblPrEx>
                <w:tblCellMar>
                  <w:top w:w="0" w:type="dxa"/>
                  <w:left w:w="108" w:type="dxa"/>
                  <w:bottom w:w="0" w:type="dxa"/>
                  <w:right w:w="108" w:type="dxa"/>
                </w:tblCellMar>
              </w:tblPrEx>
              <w:trPr>
                <w:trHeight w:val="342" w:hRule="atLeast"/>
                <w:jc w:val="center"/>
              </w:trPr>
              <w:tc>
                <w:tcPr>
                  <w:tcW w:w="719" w:type="dxa"/>
                  <w:tcBorders>
                    <w:top w:val="nil"/>
                    <w:left w:val="single" w:color="auto" w:sz="8" w:space="0"/>
                    <w:bottom w:val="single" w:color="auto" w:sz="8" w:space="0"/>
                    <w:right w:val="single" w:color="auto" w:sz="8" w:space="0"/>
                  </w:tcBorders>
                  <w:noWrap w:val="0"/>
                  <w:vAlign w:val="bottom"/>
                </w:tcPr>
                <w:p w14:paraId="0C6543D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3711" w:type="dxa"/>
                  <w:tcBorders>
                    <w:top w:val="nil"/>
                    <w:left w:val="nil"/>
                    <w:bottom w:val="single" w:color="auto" w:sz="8" w:space="0"/>
                    <w:right w:val="single" w:color="auto" w:sz="8" w:space="0"/>
                  </w:tcBorders>
                  <w:noWrap w:val="0"/>
                  <w:vAlign w:val="center"/>
                </w:tcPr>
                <w:p w14:paraId="4C735214">
                  <w:pPr>
                    <w:keepNext w:val="0"/>
                    <w:keepLines w:val="0"/>
                    <w:suppressLineNumbers w:val="0"/>
                    <w:spacing w:before="0" w:beforeAutospacing="0" w:after="0" w:afterAutospacing="0"/>
                    <w:ind w:left="0" w:right="0"/>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油烟净化装置（净化效率不低于60%）</w:t>
                  </w:r>
                </w:p>
              </w:tc>
              <w:tc>
                <w:tcPr>
                  <w:tcW w:w="759" w:type="dxa"/>
                  <w:tcBorders>
                    <w:top w:val="nil"/>
                    <w:left w:val="nil"/>
                    <w:bottom w:val="single" w:color="auto" w:sz="8" w:space="0"/>
                    <w:right w:val="single" w:color="auto" w:sz="8" w:space="0"/>
                  </w:tcBorders>
                  <w:noWrap w:val="0"/>
                  <w:vAlign w:val="center"/>
                </w:tcPr>
                <w:p w14:paraId="18E62AA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宋体" w:hAnsi="宋体" w:eastAsia="宋体" w:cs="Times New Roman"/>
                      <w:color w:val="auto"/>
                      <w:szCs w:val="21"/>
                      <w:lang w:val="en-US" w:eastAsia="zh-CN"/>
                    </w:rPr>
                    <w:t>套</w:t>
                  </w:r>
                </w:p>
              </w:tc>
              <w:tc>
                <w:tcPr>
                  <w:tcW w:w="757" w:type="dxa"/>
                  <w:tcBorders>
                    <w:top w:val="nil"/>
                    <w:left w:val="nil"/>
                    <w:bottom w:val="single" w:color="auto" w:sz="8" w:space="0"/>
                    <w:right w:val="single" w:color="auto" w:sz="8" w:space="0"/>
                  </w:tcBorders>
                  <w:noWrap w:val="0"/>
                  <w:vAlign w:val="center"/>
                </w:tcPr>
                <w:p w14:paraId="418F800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宋体" w:hAnsi="宋体" w:eastAsia="宋体" w:cs="Times New Roman"/>
                      <w:color w:val="auto"/>
                      <w:szCs w:val="21"/>
                      <w:lang w:val="en-US" w:eastAsia="zh-CN"/>
                    </w:rPr>
                    <w:t>1</w:t>
                  </w:r>
                </w:p>
              </w:tc>
              <w:tc>
                <w:tcPr>
                  <w:tcW w:w="895" w:type="dxa"/>
                  <w:tcBorders>
                    <w:top w:val="nil"/>
                    <w:left w:val="nil"/>
                    <w:bottom w:val="single" w:color="auto" w:sz="8" w:space="0"/>
                    <w:right w:val="single" w:color="auto" w:sz="8" w:space="0"/>
                  </w:tcBorders>
                  <w:noWrap w:val="0"/>
                  <w:vAlign w:val="center"/>
                </w:tcPr>
                <w:p w14:paraId="6862867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0.4</w:t>
                  </w:r>
                </w:p>
              </w:tc>
              <w:tc>
                <w:tcPr>
                  <w:tcW w:w="1126" w:type="dxa"/>
                  <w:tcBorders>
                    <w:top w:val="nil"/>
                    <w:left w:val="nil"/>
                    <w:bottom w:val="single" w:color="auto" w:sz="8" w:space="0"/>
                    <w:right w:val="single" w:color="auto" w:sz="8" w:space="0"/>
                  </w:tcBorders>
                  <w:noWrap w:val="0"/>
                  <w:vAlign w:val="bottom"/>
                </w:tcPr>
                <w:p w14:paraId="0BF3B5A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14:paraId="0F787E20">
              <w:tblPrEx>
                <w:tblCellMar>
                  <w:top w:w="0" w:type="dxa"/>
                  <w:left w:w="108" w:type="dxa"/>
                  <w:bottom w:w="0" w:type="dxa"/>
                  <w:right w:w="108" w:type="dxa"/>
                </w:tblCellMar>
              </w:tblPrEx>
              <w:trPr>
                <w:trHeight w:val="342" w:hRule="atLeast"/>
                <w:jc w:val="center"/>
              </w:trPr>
              <w:tc>
                <w:tcPr>
                  <w:tcW w:w="719" w:type="dxa"/>
                  <w:tcBorders>
                    <w:top w:val="nil"/>
                    <w:left w:val="single" w:color="auto" w:sz="8" w:space="0"/>
                    <w:bottom w:val="single" w:color="auto" w:sz="8" w:space="0"/>
                    <w:right w:val="single" w:color="auto" w:sz="8" w:space="0"/>
                  </w:tcBorders>
                  <w:noWrap w:val="0"/>
                  <w:vAlign w:val="bottom"/>
                </w:tcPr>
                <w:p w14:paraId="3F2B33D9">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eastAsia" w:ascii="Times New Roman" w:hAnsi="Times New Roman" w:cs="Times New Roman"/>
                      <w:b/>
                      <w:color w:val="auto"/>
                      <w:kern w:val="0"/>
                      <w:szCs w:val="21"/>
                    </w:rPr>
                    <w:t>4</w:t>
                  </w:r>
                </w:p>
              </w:tc>
              <w:tc>
                <w:tcPr>
                  <w:tcW w:w="3711" w:type="dxa"/>
                  <w:tcBorders>
                    <w:top w:val="nil"/>
                    <w:left w:val="nil"/>
                    <w:bottom w:val="single" w:color="auto" w:sz="8" w:space="0"/>
                    <w:right w:val="single" w:color="auto" w:sz="8" w:space="0"/>
                  </w:tcBorders>
                  <w:noWrap w:val="0"/>
                  <w:vAlign w:val="center"/>
                </w:tcPr>
                <w:p w14:paraId="33280941">
                  <w:pPr>
                    <w:keepNext w:val="0"/>
                    <w:keepLines w:val="0"/>
                    <w:suppressLineNumbers w:val="0"/>
                    <w:spacing w:before="0" w:beforeAutospacing="0" w:after="0" w:afterAutospacing="0"/>
                    <w:ind w:left="0" w:right="0"/>
                    <w:jc w:val="center"/>
                    <w:rPr>
                      <w:rFonts w:hint="eastAsia" w:ascii="宋体" w:hAnsi="宋体" w:cs="Times New Roman"/>
                      <w:b/>
                      <w:color w:val="auto"/>
                      <w:szCs w:val="21"/>
                    </w:rPr>
                  </w:pPr>
                  <w:r>
                    <w:rPr>
                      <w:rFonts w:hint="eastAsia" w:ascii="宋体" w:hAnsi="宋体" w:cs="Times New Roman"/>
                      <w:b/>
                      <w:color w:val="auto"/>
                      <w:szCs w:val="21"/>
                    </w:rPr>
                    <w:t>声环境保护</w:t>
                  </w:r>
                </w:p>
              </w:tc>
              <w:tc>
                <w:tcPr>
                  <w:tcW w:w="759" w:type="dxa"/>
                  <w:tcBorders>
                    <w:top w:val="nil"/>
                    <w:left w:val="nil"/>
                    <w:bottom w:val="single" w:color="auto" w:sz="8" w:space="0"/>
                    <w:right w:val="single" w:color="auto" w:sz="8" w:space="0"/>
                  </w:tcBorders>
                  <w:noWrap w:val="0"/>
                  <w:vAlign w:val="center"/>
                </w:tcPr>
                <w:p w14:paraId="22F606C7">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p>
              </w:tc>
              <w:tc>
                <w:tcPr>
                  <w:tcW w:w="757" w:type="dxa"/>
                  <w:tcBorders>
                    <w:top w:val="nil"/>
                    <w:left w:val="nil"/>
                    <w:bottom w:val="single" w:color="auto" w:sz="8" w:space="0"/>
                    <w:right w:val="single" w:color="auto" w:sz="8" w:space="0"/>
                  </w:tcBorders>
                  <w:noWrap w:val="0"/>
                  <w:vAlign w:val="center"/>
                </w:tcPr>
                <w:p w14:paraId="53216B0F">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p>
              </w:tc>
              <w:tc>
                <w:tcPr>
                  <w:tcW w:w="895" w:type="dxa"/>
                  <w:tcBorders>
                    <w:top w:val="nil"/>
                    <w:left w:val="nil"/>
                    <w:bottom w:val="single" w:color="auto" w:sz="8" w:space="0"/>
                    <w:right w:val="single" w:color="auto" w:sz="8" w:space="0"/>
                  </w:tcBorders>
                  <w:noWrap w:val="0"/>
                  <w:vAlign w:val="center"/>
                </w:tcPr>
                <w:p w14:paraId="39B87EE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color w:val="auto"/>
                      <w:kern w:val="0"/>
                      <w:szCs w:val="21"/>
                      <w:lang w:val="en-US" w:eastAsia="zh-CN"/>
                    </w:rPr>
                  </w:pPr>
                  <w:r>
                    <w:rPr>
                      <w:rFonts w:hint="eastAsia" w:ascii="Times New Roman" w:hAnsi="Times New Roman" w:eastAsia="宋体" w:cs="Times New Roman"/>
                      <w:b/>
                      <w:color w:val="auto"/>
                      <w:kern w:val="0"/>
                      <w:szCs w:val="21"/>
                      <w:lang w:val="en-US" w:eastAsia="zh-CN"/>
                    </w:rPr>
                    <w:t>2.2</w:t>
                  </w:r>
                </w:p>
              </w:tc>
              <w:tc>
                <w:tcPr>
                  <w:tcW w:w="1126" w:type="dxa"/>
                  <w:tcBorders>
                    <w:top w:val="nil"/>
                    <w:left w:val="nil"/>
                    <w:bottom w:val="single" w:color="auto" w:sz="8" w:space="0"/>
                    <w:right w:val="single" w:color="auto" w:sz="8" w:space="0"/>
                  </w:tcBorders>
                  <w:noWrap w:val="0"/>
                  <w:vAlign w:val="bottom"/>
                </w:tcPr>
                <w:p w14:paraId="619A334C">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p>
              </w:tc>
            </w:tr>
            <w:tr w14:paraId="0240C7C1">
              <w:tblPrEx>
                <w:tblCellMar>
                  <w:top w:w="0" w:type="dxa"/>
                  <w:left w:w="108" w:type="dxa"/>
                  <w:bottom w:w="0" w:type="dxa"/>
                  <w:right w:w="108" w:type="dxa"/>
                </w:tblCellMar>
              </w:tblPrEx>
              <w:trPr>
                <w:trHeight w:val="342" w:hRule="atLeast"/>
                <w:jc w:val="center"/>
              </w:trPr>
              <w:tc>
                <w:tcPr>
                  <w:tcW w:w="719" w:type="dxa"/>
                  <w:tcBorders>
                    <w:top w:val="nil"/>
                    <w:left w:val="single" w:color="auto" w:sz="8" w:space="0"/>
                    <w:bottom w:val="single" w:color="auto" w:sz="8" w:space="0"/>
                    <w:right w:val="single" w:color="auto" w:sz="8" w:space="0"/>
                  </w:tcBorders>
                  <w:noWrap w:val="0"/>
                  <w:vAlign w:val="bottom"/>
                </w:tcPr>
                <w:p w14:paraId="1051580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3711" w:type="dxa"/>
                  <w:tcBorders>
                    <w:top w:val="nil"/>
                    <w:left w:val="nil"/>
                    <w:bottom w:val="single" w:color="auto" w:sz="8" w:space="0"/>
                    <w:right w:val="single" w:color="auto" w:sz="8" w:space="0"/>
                  </w:tcBorders>
                  <w:noWrap w:val="0"/>
                  <w:vAlign w:val="top"/>
                </w:tcPr>
                <w:p w14:paraId="17C7A951">
                  <w:pPr>
                    <w:keepNext w:val="0"/>
                    <w:keepLines w:val="0"/>
                    <w:suppressLineNumbers w:val="0"/>
                    <w:spacing w:before="0" w:beforeAutospacing="0" w:after="0" w:afterAutospacing="0"/>
                    <w:ind w:left="0" w:right="0"/>
                    <w:jc w:val="center"/>
                    <w:rPr>
                      <w:rFonts w:hint="eastAsia" w:ascii="宋体" w:hAnsi="宋体" w:cs="Times New Roman"/>
                      <w:color w:val="auto"/>
                      <w:szCs w:val="21"/>
                    </w:rPr>
                  </w:pPr>
                  <w:r>
                    <w:rPr>
                      <w:rFonts w:hint="eastAsia" w:ascii="宋体" w:hAnsi="宋体" w:cs="Times New Roman"/>
                      <w:color w:val="auto"/>
                      <w:szCs w:val="21"/>
                    </w:rPr>
                    <w:t>选择低噪声的设备，增设减振</w:t>
                  </w:r>
                  <w:r>
                    <w:rPr>
                      <w:rFonts w:hint="eastAsia" w:ascii="宋体" w:hAnsi="宋体" w:cs="Times New Roman"/>
                      <w:color w:val="auto"/>
                      <w:szCs w:val="21"/>
                      <w:lang w:val="en-US" w:eastAsia="zh-CN"/>
                    </w:rPr>
                    <w:t>基础及隔声罩壳</w:t>
                  </w:r>
                </w:p>
              </w:tc>
              <w:tc>
                <w:tcPr>
                  <w:tcW w:w="759" w:type="dxa"/>
                  <w:tcBorders>
                    <w:top w:val="nil"/>
                    <w:left w:val="nil"/>
                    <w:bottom w:val="single" w:color="auto" w:sz="8" w:space="0"/>
                    <w:right w:val="single" w:color="auto" w:sz="8" w:space="0"/>
                  </w:tcBorders>
                  <w:noWrap w:val="0"/>
                  <w:vAlign w:val="bottom"/>
                </w:tcPr>
                <w:p w14:paraId="00EBCD8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757" w:type="dxa"/>
                  <w:tcBorders>
                    <w:top w:val="nil"/>
                    <w:left w:val="nil"/>
                    <w:bottom w:val="single" w:color="auto" w:sz="8" w:space="0"/>
                    <w:right w:val="single" w:color="auto" w:sz="8" w:space="0"/>
                  </w:tcBorders>
                  <w:noWrap w:val="0"/>
                  <w:vAlign w:val="bottom"/>
                </w:tcPr>
                <w:p w14:paraId="0ECD9B2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895" w:type="dxa"/>
                  <w:tcBorders>
                    <w:top w:val="nil"/>
                    <w:left w:val="nil"/>
                    <w:bottom w:val="single" w:color="auto" w:sz="8" w:space="0"/>
                    <w:right w:val="single" w:color="auto" w:sz="8" w:space="0"/>
                  </w:tcBorders>
                  <w:noWrap w:val="0"/>
                  <w:vAlign w:val="bottom"/>
                </w:tcPr>
                <w:p w14:paraId="565DD20E">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rPr>
                  </w:pPr>
                  <w:r>
                    <w:rPr>
                      <w:rFonts w:hint="eastAsia" w:ascii="Times New Roman" w:hAnsi="Times New Roman" w:cs="Times New Roman"/>
                      <w:color w:val="auto"/>
                      <w:kern w:val="0"/>
                      <w:szCs w:val="21"/>
                    </w:rPr>
                    <w:t>2.0</w:t>
                  </w:r>
                </w:p>
              </w:tc>
              <w:tc>
                <w:tcPr>
                  <w:tcW w:w="1126" w:type="dxa"/>
                  <w:tcBorders>
                    <w:top w:val="nil"/>
                    <w:left w:val="nil"/>
                    <w:bottom w:val="single" w:color="auto" w:sz="8" w:space="0"/>
                    <w:right w:val="single" w:color="auto" w:sz="8" w:space="0"/>
                  </w:tcBorders>
                  <w:noWrap w:val="0"/>
                  <w:vAlign w:val="bottom"/>
                </w:tcPr>
                <w:p w14:paraId="3FA0139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14:paraId="7FACD529">
              <w:tblPrEx>
                <w:tblCellMar>
                  <w:top w:w="0" w:type="dxa"/>
                  <w:left w:w="108" w:type="dxa"/>
                  <w:bottom w:w="0" w:type="dxa"/>
                  <w:right w:w="108" w:type="dxa"/>
                </w:tblCellMar>
              </w:tblPrEx>
              <w:trPr>
                <w:trHeight w:val="671" w:hRule="atLeast"/>
                <w:jc w:val="center"/>
              </w:trPr>
              <w:tc>
                <w:tcPr>
                  <w:tcW w:w="719" w:type="dxa"/>
                  <w:tcBorders>
                    <w:top w:val="nil"/>
                    <w:left w:val="single" w:color="auto" w:sz="8" w:space="0"/>
                    <w:bottom w:val="single" w:color="auto" w:sz="8" w:space="0"/>
                    <w:right w:val="single" w:color="auto" w:sz="8" w:space="0"/>
                  </w:tcBorders>
                  <w:noWrap w:val="0"/>
                  <w:vAlign w:val="bottom"/>
                </w:tcPr>
                <w:p w14:paraId="506F01FB">
                  <w:pPr>
                    <w:keepNext w:val="0"/>
                    <w:keepLines w:val="0"/>
                    <w:widowControl/>
                    <w:suppressLineNumbers w:val="0"/>
                    <w:spacing w:before="0" w:beforeAutospacing="0" w:after="0" w:afterAutospacing="0"/>
                    <w:ind w:left="0" w:right="0"/>
                    <w:jc w:val="both"/>
                    <w:rPr>
                      <w:rFonts w:hint="default" w:ascii="Times New Roman" w:hAnsi="Times New Roman" w:cs="Times New Roman"/>
                      <w:color w:val="auto"/>
                      <w:kern w:val="0"/>
                      <w:szCs w:val="21"/>
                    </w:rPr>
                  </w:pPr>
                </w:p>
              </w:tc>
              <w:tc>
                <w:tcPr>
                  <w:tcW w:w="3711" w:type="dxa"/>
                  <w:tcBorders>
                    <w:top w:val="nil"/>
                    <w:left w:val="nil"/>
                    <w:bottom w:val="single" w:color="auto" w:sz="8" w:space="0"/>
                    <w:right w:val="single" w:color="auto" w:sz="8" w:space="0"/>
                  </w:tcBorders>
                  <w:noWrap w:val="0"/>
                  <w:vAlign w:val="top"/>
                </w:tcPr>
                <w:p w14:paraId="6B89C5F6">
                  <w:pPr>
                    <w:keepNext w:val="0"/>
                    <w:keepLines w:val="0"/>
                    <w:suppressLineNumbers w:val="0"/>
                    <w:spacing w:before="0" w:beforeAutospacing="0" w:after="0" w:afterAutospacing="0"/>
                    <w:ind w:left="0" w:right="0"/>
                    <w:jc w:val="center"/>
                    <w:rPr>
                      <w:rFonts w:hint="eastAsia" w:ascii="宋体" w:hAnsi="宋体" w:cs="Times New Roman"/>
                      <w:color w:val="auto"/>
                      <w:szCs w:val="21"/>
                    </w:rPr>
                  </w:pPr>
                  <w:r>
                    <w:rPr>
                      <w:rFonts w:hint="eastAsia" w:ascii="宋体" w:hAnsi="宋体" w:cs="Times New Roman"/>
                      <w:color w:val="auto"/>
                      <w:szCs w:val="21"/>
                    </w:rPr>
                    <w:t>连续接触高噪声源的操作人员，采取相应防护措施（购置耳塞、耳罩或防声头盔等）</w:t>
                  </w:r>
                </w:p>
              </w:tc>
              <w:tc>
                <w:tcPr>
                  <w:tcW w:w="759" w:type="dxa"/>
                  <w:tcBorders>
                    <w:top w:val="nil"/>
                    <w:left w:val="nil"/>
                    <w:bottom w:val="single" w:color="auto" w:sz="8" w:space="0"/>
                    <w:right w:val="single" w:color="auto" w:sz="8" w:space="0"/>
                  </w:tcBorders>
                  <w:noWrap w:val="0"/>
                  <w:vAlign w:val="bottom"/>
                </w:tcPr>
                <w:p w14:paraId="4DAEC88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757" w:type="dxa"/>
                  <w:tcBorders>
                    <w:top w:val="nil"/>
                    <w:left w:val="nil"/>
                    <w:bottom w:val="single" w:color="auto" w:sz="8" w:space="0"/>
                    <w:right w:val="single" w:color="auto" w:sz="8" w:space="0"/>
                  </w:tcBorders>
                  <w:noWrap w:val="0"/>
                  <w:vAlign w:val="bottom"/>
                </w:tcPr>
                <w:p w14:paraId="68F95C2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895" w:type="dxa"/>
                  <w:tcBorders>
                    <w:top w:val="nil"/>
                    <w:left w:val="nil"/>
                    <w:bottom w:val="single" w:color="auto" w:sz="8" w:space="0"/>
                    <w:right w:val="single" w:color="auto" w:sz="8" w:space="0"/>
                  </w:tcBorders>
                  <w:noWrap w:val="0"/>
                  <w:vAlign w:val="center"/>
                </w:tcPr>
                <w:p w14:paraId="25E0D59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0.2</w:t>
                  </w:r>
                </w:p>
              </w:tc>
              <w:tc>
                <w:tcPr>
                  <w:tcW w:w="1126" w:type="dxa"/>
                  <w:tcBorders>
                    <w:top w:val="nil"/>
                    <w:left w:val="nil"/>
                    <w:bottom w:val="single" w:color="auto" w:sz="8" w:space="0"/>
                    <w:right w:val="single" w:color="auto" w:sz="8" w:space="0"/>
                  </w:tcBorders>
                  <w:noWrap w:val="0"/>
                  <w:vAlign w:val="bottom"/>
                </w:tcPr>
                <w:p w14:paraId="2C780E6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14:paraId="43452ABB">
              <w:tblPrEx>
                <w:tblCellMar>
                  <w:top w:w="0" w:type="dxa"/>
                  <w:left w:w="108" w:type="dxa"/>
                  <w:bottom w:w="0" w:type="dxa"/>
                  <w:right w:w="108" w:type="dxa"/>
                </w:tblCellMar>
              </w:tblPrEx>
              <w:trPr>
                <w:trHeight w:val="386" w:hRule="atLeast"/>
                <w:jc w:val="center"/>
              </w:trPr>
              <w:tc>
                <w:tcPr>
                  <w:tcW w:w="719" w:type="dxa"/>
                  <w:tcBorders>
                    <w:top w:val="nil"/>
                    <w:left w:val="single" w:color="auto" w:sz="8" w:space="0"/>
                    <w:bottom w:val="single" w:color="auto" w:sz="8" w:space="0"/>
                    <w:right w:val="single" w:color="auto" w:sz="8" w:space="0"/>
                  </w:tcBorders>
                  <w:noWrap w:val="0"/>
                  <w:vAlign w:val="center"/>
                </w:tcPr>
                <w:p w14:paraId="7A582DA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color w:val="auto"/>
                      <w:kern w:val="0"/>
                      <w:szCs w:val="21"/>
                      <w:lang w:val="en-US" w:eastAsia="zh-CN"/>
                    </w:rPr>
                  </w:pPr>
                  <w:r>
                    <w:rPr>
                      <w:rFonts w:hint="eastAsia" w:ascii="Times New Roman" w:hAnsi="Times New Roman" w:eastAsia="宋体" w:cs="Times New Roman"/>
                      <w:b/>
                      <w:color w:val="auto"/>
                      <w:kern w:val="0"/>
                      <w:szCs w:val="21"/>
                      <w:lang w:val="en-US" w:eastAsia="zh-CN"/>
                    </w:rPr>
                    <w:t>5</w:t>
                  </w:r>
                </w:p>
              </w:tc>
              <w:tc>
                <w:tcPr>
                  <w:tcW w:w="3711" w:type="dxa"/>
                  <w:tcBorders>
                    <w:top w:val="nil"/>
                    <w:left w:val="nil"/>
                    <w:bottom w:val="single" w:color="auto" w:sz="8" w:space="0"/>
                    <w:right w:val="single" w:color="auto" w:sz="8" w:space="0"/>
                  </w:tcBorders>
                  <w:noWrap w:val="0"/>
                  <w:vAlign w:val="center"/>
                </w:tcPr>
                <w:p w14:paraId="26E51A6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kern w:val="0"/>
                      <w:szCs w:val="21"/>
                      <w:lang w:val="en-US" w:eastAsia="zh-CN"/>
                    </w:rPr>
                  </w:pPr>
                  <w:r>
                    <w:rPr>
                      <w:rFonts w:hint="eastAsia" w:ascii="Times New Roman" w:hAnsi="Times New Roman" w:eastAsia="宋体" w:cs="Times New Roman"/>
                      <w:b/>
                      <w:color w:val="auto"/>
                      <w:kern w:val="0"/>
                      <w:szCs w:val="21"/>
                      <w:lang w:val="en-US" w:eastAsia="zh-CN"/>
                    </w:rPr>
                    <w:t>固废治理</w:t>
                  </w:r>
                </w:p>
              </w:tc>
              <w:tc>
                <w:tcPr>
                  <w:tcW w:w="759" w:type="dxa"/>
                  <w:tcBorders>
                    <w:top w:val="nil"/>
                    <w:left w:val="nil"/>
                    <w:bottom w:val="single" w:color="auto" w:sz="8" w:space="0"/>
                    <w:right w:val="single" w:color="auto" w:sz="8" w:space="0"/>
                  </w:tcBorders>
                  <w:noWrap w:val="0"/>
                  <w:vAlign w:val="center"/>
                </w:tcPr>
                <w:p w14:paraId="05FD1E0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color w:val="auto"/>
                      <w:kern w:val="0"/>
                      <w:szCs w:val="21"/>
                    </w:rPr>
                  </w:pPr>
                </w:p>
              </w:tc>
              <w:tc>
                <w:tcPr>
                  <w:tcW w:w="757" w:type="dxa"/>
                  <w:tcBorders>
                    <w:top w:val="nil"/>
                    <w:left w:val="nil"/>
                    <w:bottom w:val="single" w:color="auto" w:sz="8" w:space="0"/>
                    <w:right w:val="single" w:color="auto" w:sz="8" w:space="0"/>
                  </w:tcBorders>
                  <w:noWrap w:val="0"/>
                  <w:vAlign w:val="center"/>
                </w:tcPr>
                <w:p w14:paraId="4F3AFBD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color w:val="auto"/>
                      <w:kern w:val="0"/>
                      <w:szCs w:val="21"/>
                    </w:rPr>
                  </w:pPr>
                </w:p>
              </w:tc>
              <w:tc>
                <w:tcPr>
                  <w:tcW w:w="895" w:type="dxa"/>
                  <w:tcBorders>
                    <w:top w:val="nil"/>
                    <w:left w:val="nil"/>
                    <w:bottom w:val="single" w:color="auto" w:sz="8" w:space="0"/>
                    <w:right w:val="single" w:color="auto" w:sz="8" w:space="0"/>
                  </w:tcBorders>
                  <w:noWrap w:val="0"/>
                  <w:vAlign w:val="center"/>
                </w:tcPr>
                <w:p w14:paraId="2F5319C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kern w:val="0"/>
                      <w:szCs w:val="21"/>
                      <w:lang w:val="en-US" w:eastAsia="zh-CN"/>
                    </w:rPr>
                  </w:pPr>
                  <w:r>
                    <w:rPr>
                      <w:rFonts w:hint="eastAsia" w:ascii="Times New Roman" w:hAnsi="Times New Roman" w:eastAsia="宋体" w:cs="Times New Roman"/>
                      <w:b/>
                      <w:color w:val="auto"/>
                      <w:kern w:val="0"/>
                      <w:szCs w:val="21"/>
                      <w:lang w:val="en-US" w:eastAsia="zh-CN"/>
                    </w:rPr>
                    <w:t>2.8</w:t>
                  </w:r>
                </w:p>
              </w:tc>
              <w:tc>
                <w:tcPr>
                  <w:tcW w:w="1126" w:type="dxa"/>
                  <w:tcBorders>
                    <w:top w:val="nil"/>
                    <w:left w:val="nil"/>
                    <w:bottom w:val="single" w:color="auto" w:sz="8" w:space="0"/>
                    <w:right w:val="single" w:color="auto" w:sz="8" w:space="0"/>
                  </w:tcBorders>
                  <w:noWrap w:val="0"/>
                  <w:vAlign w:val="center"/>
                </w:tcPr>
                <w:p w14:paraId="419FD09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color w:val="auto"/>
                      <w:kern w:val="0"/>
                      <w:szCs w:val="21"/>
                    </w:rPr>
                  </w:pPr>
                </w:p>
              </w:tc>
            </w:tr>
            <w:tr w14:paraId="5CB0607D">
              <w:tblPrEx>
                <w:tblCellMar>
                  <w:top w:w="0" w:type="dxa"/>
                  <w:left w:w="108" w:type="dxa"/>
                  <w:bottom w:w="0" w:type="dxa"/>
                  <w:right w:w="108" w:type="dxa"/>
                </w:tblCellMar>
              </w:tblPrEx>
              <w:trPr>
                <w:trHeight w:val="342" w:hRule="atLeast"/>
                <w:jc w:val="center"/>
              </w:trPr>
              <w:tc>
                <w:tcPr>
                  <w:tcW w:w="719" w:type="dxa"/>
                  <w:tcBorders>
                    <w:top w:val="nil"/>
                    <w:left w:val="single" w:color="auto" w:sz="8" w:space="0"/>
                    <w:bottom w:val="single" w:color="auto" w:sz="8" w:space="0"/>
                    <w:right w:val="single" w:color="auto" w:sz="8" w:space="0"/>
                  </w:tcBorders>
                  <w:noWrap w:val="0"/>
                  <w:vAlign w:val="bottom"/>
                </w:tcPr>
                <w:p w14:paraId="2F0DC044">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p>
              </w:tc>
              <w:tc>
                <w:tcPr>
                  <w:tcW w:w="3711" w:type="dxa"/>
                  <w:tcBorders>
                    <w:top w:val="nil"/>
                    <w:left w:val="nil"/>
                    <w:bottom w:val="single" w:color="auto" w:sz="8" w:space="0"/>
                    <w:right w:val="single" w:color="auto" w:sz="8" w:space="0"/>
                  </w:tcBorders>
                  <w:noWrap w:val="0"/>
                  <w:vAlign w:val="bottom"/>
                </w:tcPr>
                <w:p w14:paraId="68871200">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color w:val="auto"/>
                      <w:kern w:val="0"/>
                      <w:szCs w:val="21"/>
                    </w:rPr>
                  </w:pPr>
                  <w:r>
                    <w:rPr>
                      <w:rFonts w:hint="default" w:ascii="Times New Roman" w:hAnsi="Times New Roman" w:cs="Times New Roman"/>
                      <w:b w:val="0"/>
                      <w:bCs/>
                      <w:color w:val="auto"/>
                      <w:kern w:val="0"/>
                      <w:szCs w:val="21"/>
                    </w:rPr>
                    <w:t>生活垃圾</w:t>
                  </w:r>
                  <w:r>
                    <w:rPr>
                      <w:rFonts w:hint="eastAsia" w:ascii="Times New Roman" w:hAnsi="Times New Roman" w:cs="Times New Roman"/>
                      <w:b w:val="0"/>
                      <w:bCs/>
                      <w:color w:val="auto"/>
                      <w:kern w:val="0"/>
                      <w:szCs w:val="21"/>
                    </w:rPr>
                    <w:t>收集及处置</w:t>
                  </w:r>
                </w:p>
              </w:tc>
              <w:tc>
                <w:tcPr>
                  <w:tcW w:w="759" w:type="dxa"/>
                  <w:tcBorders>
                    <w:top w:val="nil"/>
                    <w:left w:val="nil"/>
                    <w:bottom w:val="single" w:color="auto" w:sz="8" w:space="0"/>
                    <w:right w:val="single" w:color="auto" w:sz="8" w:space="0"/>
                  </w:tcBorders>
                  <w:noWrap w:val="0"/>
                  <w:vAlign w:val="bottom"/>
                </w:tcPr>
                <w:p w14:paraId="2C97EC74">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color w:val="auto"/>
                      <w:kern w:val="0"/>
                      <w:szCs w:val="21"/>
                    </w:rPr>
                  </w:pPr>
                </w:p>
              </w:tc>
              <w:tc>
                <w:tcPr>
                  <w:tcW w:w="757" w:type="dxa"/>
                  <w:tcBorders>
                    <w:top w:val="nil"/>
                    <w:left w:val="nil"/>
                    <w:bottom w:val="single" w:color="auto" w:sz="8" w:space="0"/>
                    <w:right w:val="single" w:color="auto" w:sz="8" w:space="0"/>
                  </w:tcBorders>
                  <w:noWrap w:val="0"/>
                  <w:vAlign w:val="bottom"/>
                </w:tcPr>
                <w:p w14:paraId="1EAA43C1">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color w:val="auto"/>
                      <w:kern w:val="0"/>
                      <w:szCs w:val="21"/>
                    </w:rPr>
                  </w:pPr>
                </w:p>
              </w:tc>
              <w:tc>
                <w:tcPr>
                  <w:tcW w:w="895" w:type="dxa"/>
                  <w:tcBorders>
                    <w:top w:val="nil"/>
                    <w:left w:val="nil"/>
                    <w:bottom w:val="single" w:color="auto" w:sz="8" w:space="0"/>
                    <w:right w:val="single" w:color="auto" w:sz="8" w:space="0"/>
                  </w:tcBorders>
                  <w:noWrap w:val="0"/>
                  <w:vAlign w:val="bottom"/>
                </w:tcPr>
                <w:p w14:paraId="25F5E97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color w:val="auto"/>
                      <w:kern w:val="0"/>
                      <w:szCs w:val="21"/>
                      <w:lang w:val="en-US" w:eastAsia="zh-CN"/>
                    </w:rPr>
                  </w:pPr>
                  <w:r>
                    <w:rPr>
                      <w:rFonts w:hint="eastAsia" w:ascii="Times New Roman" w:hAnsi="Times New Roman" w:eastAsia="宋体" w:cs="Times New Roman"/>
                      <w:b w:val="0"/>
                      <w:bCs/>
                      <w:color w:val="auto"/>
                      <w:kern w:val="0"/>
                      <w:szCs w:val="21"/>
                      <w:lang w:val="en-US" w:eastAsia="zh-CN"/>
                    </w:rPr>
                    <w:t>0.8</w:t>
                  </w:r>
                </w:p>
              </w:tc>
              <w:tc>
                <w:tcPr>
                  <w:tcW w:w="1126" w:type="dxa"/>
                  <w:tcBorders>
                    <w:top w:val="nil"/>
                    <w:left w:val="nil"/>
                    <w:bottom w:val="single" w:color="auto" w:sz="8" w:space="0"/>
                    <w:right w:val="single" w:color="auto" w:sz="8" w:space="0"/>
                  </w:tcBorders>
                  <w:noWrap w:val="0"/>
                  <w:vAlign w:val="bottom"/>
                </w:tcPr>
                <w:p w14:paraId="052C2BF3">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p>
              </w:tc>
            </w:tr>
            <w:tr w14:paraId="1C70D46B">
              <w:tblPrEx>
                <w:tblCellMar>
                  <w:top w:w="0" w:type="dxa"/>
                  <w:left w:w="108" w:type="dxa"/>
                  <w:bottom w:w="0" w:type="dxa"/>
                  <w:right w:w="108" w:type="dxa"/>
                </w:tblCellMar>
              </w:tblPrEx>
              <w:trPr>
                <w:trHeight w:val="342" w:hRule="atLeast"/>
                <w:jc w:val="center"/>
              </w:trPr>
              <w:tc>
                <w:tcPr>
                  <w:tcW w:w="719" w:type="dxa"/>
                  <w:tcBorders>
                    <w:top w:val="nil"/>
                    <w:left w:val="single" w:color="auto" w:sz="8" w:space="0"/>
                    <w:bottom w:val="single" w:color="auto" w:sz="8" w:space="0"/>
                    <w:right w:val="single" w:color="auto" w:sz="8" w:space="0"/>
                  </w:tcBorders>
                  <w:noWrap w:val="0"/>
                  <w:vAlign w:val="bottom"/>
                </w:tcPr>
                <w:p w14:paraId="0E17C488">
                  <w:pPr>
                    <w:keepNext w:val="0"/>
                    <w:keepLines w:val="0"/>
                    <w:widowControl/>
                    <w:suppressLineNumbers w:val="0"/>
                    <w:spacing w:before="0" w:beforeAutospacing="0" w:after="0" w:afterAutospacing="0"/>
                    <w:ind w:left="0" w:right="0"/>
                    <w:jc w:val="center"/>
                    <w:rPr>
                      <w:rFonts w:hint="eastAsia" w:ascii="Times New Roman" w:hAnsi="Times New Roman" w:cs="Times New Roman"/>
                      <w:b/>
                      <w:color w:val="auto"/>
                      <w:kern w:val="0"/>
                      <w:szCs w:val="21"/>
                    </w:rPr>
                  </w:pPr>
                </w:p>
              </w:tc>
              <w:tc>
                <w:tcPr>
                  <w:tcW w:w="3711" w:type="dxa"/>
                  <w:tcBorders>
                    <w:top w:val="nil"/>
                    <w:left w:val="nil"/>
                    <w:bottom w:val="single" w:color="auto" w:sz="8" w:space="0"/>
                    <w:right w:val="single" w:color="auto" w:sz="8" w:space="0"/>
                  </w:tcBorders>
                  <w:noWrap w:val="0"/>
                  <w:vAlign w:val="bottom"/>
                </w:tcPr>
                <w:p w14:paraId="2BF72E7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kern w:val="0"/>
                      <w:szCs w:val="21"/>
                      <w:lang w:val="en-US" w:eastAsia="zh-CN"/>
                    </w:rPr>
                  </w:pPr>
                  <w:r>
                    <w:rPr>
                      <w:rFonts w:hint="eastAsia" w:ascii="Times New Roman" w:hAnsi="Times New Roman" w:cs="Times New Roman"/>
                      <w:b w:val="0"/>
                      <w:bCs/>
                      <w:color w:val="auto"/>
                      <w:kern w:val="0"/>
                      <w:szCs w:val="21"/>
                      <w:lang w:val="en-US" w:eastAsia="zh-CN"/>
                    </w:rPr>
                    <w:t>危废暂存间1间，面积5m</w:t>
                  </w:r>
                  <w:r>
                    <w:rPr>
                      <w:rFonts w:hint="eastAsia" w:ascii="Times New Roman" w:hAnsi="Times New Roman" w:cs="Times New Roman"/>
                      <w:b w:val="0"/>
                      <w:bCs/>
                      <w:color w:val="auto"/>
                      <w:kern w:val="0"/>
                      <w:szCs w:val="21"/>
                      <w:vertAlign w:val="superscript"/>
                      <w:lang w:val="en-US" w:eastAsia="zh-CN"/>
                    </w:rPr>
                    <w:t>2</w:t>
                  </w:r>
                </w:p>
              </w:tc>
              <w:tc>
                <w:tcPr>
                  <w:tcW w:w="759" w:type="dxa"/>
                  <w:tcBorders>
                    <w:top w:val="nil"/>
                    <w:left w:val="nil"/>
                    <w:bottom w:val="single" w:color="auto" w:sz="8" w:space="0"/>
                    <w:right w:val="single" w:color="auto" w:sz="8" w:space="0"/>
                  </w:tcBorders>
                  <w:noWrap w:val="0"/>
                  <w:vAlign w:val="bottom"/>
                </w:tcPr>
                <w:p w14:paraId="790252D7">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color w:val="auto"/>
                      <w:kern w:val="0"/>
                      <w:szCs w:val="21"/>
                    </w:rPr>
                  </w:pPr>
                </w:p>
              </w:tc>
              <w:tc>
                <w:tcPr>
                  <w:tcW w:w="757" w:type="dxa"/>
                  <w:tcBorders>
                    <w:top w:val="nil"/>
                    <w:left w:val="nil"/>
                    <w:bottom w:val="single" w:color="auto" w:sz="8" w:space="0"/>
                    <w:right w:val="single" w:color="auto" w:sz="8" w:space="0"/>
                  </w:tcBorders>
                  <w:noWrap w:val="0"/>
                  <w:vAlign w:val="bottom"/>
                </w:tcPr>
                <w:p w14:paraId="7836CF3C">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color w:val="auto"/>
                      <w:kern w:val="0"/>
                      <w:szCs w:val="21"/>
                    </w:rPr>
                  </w:pPr>
                </w:p>
              </w:tc>
              <w:tc>
                <w:tcPr>
                  <w:tcW w:w="895" w:type="dxa"/>
                  <w:tcBorders>
                    <w:top w:val="nil"/>
                    <w:left w:val="nil"/>
                    <w:bottom w:val="single" w:color="auto" w:sz="8" w:space="0"/>
                    <w:right w:val="single" w:color="auto" w:sz="8" w:space="0"/>
                  </w:tcBorders>
                  <w:noWrap w:val="0"/>
                  <w:vAlign w:val="bottom"/>
                </w:tcPr>
                <w:p w14:paraId="1BF42E5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kern w:val="0"/>
                      <w:szCs w:val="21"/>
                      <w:lang w:val="en-US" w:eastAsia="zh-CN"/>
                    </w:rPr>
                  </w:pPr>
                  <w:r>
                    <w:rPr>
                      <w:rFonts w:hint="eastAsia" w:ascii="Times New Roman" w:hAnsi="Times New Roman" w:eastAsia="宋体" w:cs="Times New Roman"/>
                      <w:b w:val="0"/>
                      <w:bCs/>
                      <w:color w:val="auto"/>
                      <w:kern w:val="0"/>
                      <w:szCs w:val="21"/>
                      <w:lang w:val="en-US" w:eastAsia="zh-CN"/>
                    </w:rPr>
                    <w:t>2.0</w:t>
                  </w:r>
                </w:p>
              </w:tc>
              <w:tc>
                <w:tcPr>
                  <w:tcW w:w="1126" w:type="dxa"/>
                  <w:tcBorders>
                    <w:top w:val="nil"/>
                    <w:left w:val="nil"/>
                    <w:bottom w:val="single" w:color="auto" w:sz="8" w:space="0"/>
                    <w:right w:val="single" w:color="auto" w:sz="8" w:space="0"/>
                  </w:tcBorders>
                  <w:noWrap w:val="0"/>
                  <w:vAlign w:val="bottom"/>
                </w:tcPr>
                <w:p w14:paraId="1C6662D7">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p>
              </w:tc>
            </w:tr>
            <w:tr w14:paraId="17BBC794">
              <w:tblPrEx>
                <w:tblCellMar>
                  <w:top w:w="0" w:type="dxa"/>
                  <w:left w:w="108" w:type="dxa"/>
                  <w:bottom w:w="0" w:type="dxa"/>
                  <w:right w:w="108" w:type="dxa"/>
                </w:tblCellMar>
              </w:tblPrEx>
              <w:trPr>
                <w:trHeight w:val="363" w:hRule="atLeast"/>
                <w:jc w:val="center"/>
              </w:trPr>
              <w:tc>
                <w:tcPr>
                  <w:tcW w:w="4430" w:type="dxa"/>
                  <w:gridSpan w:val="2"/>
                  <w:tcBorders>
                    <w:top w:val="nil"/>
                    <w:left w:val="single" w:color="auto" w:sz="8" w:space="0"/>
                    <w:bottom w:val="single" w:color="auto" w:sz="8" w:space="0"/>
                    <w:right w:val="single" w:color="auto" w:sz="8" w:space="0"/>
                  </w:tcBorders>
                  <w:noWrap w:val="0"/>
                  <w:vAlign w:val="bottom"/>
                </w:tcPr>
                <w:p w14:paraId="20582D15">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eastAsia" w:ascii="Times New Roman" w:hAnsi="Times New Roman" w:cs="Times New Roman"/>
                      <w:b/>
                      <w:color w:val="auto"/>
                      <w:kern w:val="0"/>
                      <w:szCs w:val="21"/>
                    </w:rPr>
                    <w:t>合计</w:t>
                  </w:r>
                </w:p>
              </w:tc>
              <w:tc>
                <w:tcPr>
                  <w:tcW w:w="759" w:type="dxa"/>
                  <w:tcBorders>
                    <w:top w:val="nil"/>
                    <w:left w:val="nil"/>
                    <w:bottom w:val="single" w:color="auto" w:sz="8" w:space="0"/>
                    <w:right w:val="single" w:color="auto" w:sz="8" w:space="0"/>
                  </w:tcBorders>
                  <w:noWrap w:val="0"/>
                  <w:vAlign w:val="bottom"/>
                </w:tcPr>
                <w:p w14:paraId="17BAA663">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p>
              </w:tc>
              <w:tc>
                <w:tcPr>
                  <w:tcW w:w="757" w:type="dxa"/>
                  <w:tcBorders>
                    <w:top w:val="nil"/>
                    <w:left w:val="nil"/>
                    <w:bottom w:val="single" w:color="auto" w:sz="8" w:space="0"/>
                    <w:right w:val="single" w:color="auto" w:sz="8" w:space="0"/>
                  </w:tcBorders>
                  <w:noWrap w:val="0"/>
                  <w:vAlign w:val="bottom"/>
                </w:tcPr>
                <w:p w14:paraId="7E856B65">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p>
              </w:tc>
              <w:tc>
                <w:tcPr>
                  <w:tcW w:w="895" w:type="dxa"/>
                  <w:tcBorders>
                    <w:top w:val="nil"/>
                    <w:left w:val="nil"/>
                    <w:bottom w:val="single" w:color="auto" w:sz="8" w:space="0"/>
                    <w:right w:val="single" w:color="auto" w:sz="8" w:space="0"/>
                  </w:tcBorders>
                  <w:noWrap w:val="0"/>
                  <w:vAlign w:val="bottom"/>
                </w:tcPr>
                <w:p w14:paraId="4616111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kern w:val="0"/>
                      <w:szCs w:val="21"/>
                      <w:lang w:val="en-US" w:eastAsia="zh-CN"/>
                    </w:rPr>
                  </w:pPr>
                  <w:r>
                    <w:rPr>
                      <w:rFonts w:hint="eastAsia" w:ascii="Times New Roman" w:hAnsi="Times New Roman" w:eastAsia="宋体" w:cs="Times New Roman"/>
                      <w:b/>
                      <w:color w:val="auto"/>
                      <w:kern w:val="0"/>
                      <w:szCs w:val="21"/>
                      <w:lang w:val="en-US" w:eastAsia="zh-CN"/>
                    </w:rPr>
                    <w:t>27.0</w:t>
                  </w:r>
                </w:p>
              </w:tc>
              <w:tc>
                <w:tcPr>
                  <w:tcW w:w="1126" w:type="dxa"/>
                  <w:tcBorders>
                    <w:top w:val="nil"/>
                    <w:left w:val="nil"/>
                    <w:bottom w:val="single" w:color="auto" w:sz="8" w:space="0"/>
                    <w:right w:val="single" w:color="auto" w:sz="8" w:space="0"/>
                  </w:tcBorders>
                  <w:noWrap w:val="0"/>
                  <w:vAlign w:val="bottom"/>
                </w:tcPr>
                <w:p w14:paraId="11FA89E1">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p>
              </w:tc>
            </w:tr>
          </w:tbl>
          <w:p w14:paraId="7D01D4B1">
            <w:pPr>
              <w:keepNext w:val="0"/>
              <w:keepLines w:val="0"/>
              <w:suppressLineNumbers w:val="0"/>
              <w:spacing w:before="0" w:beforeAutospacing="0" w:after="0" w:afterAutospacing="0"/>
              <w:ind w:left="0" w:right="0"/>
              <w:rPr>
                <w:rFonts w:hint="eastAsia" w:ascii="Calibri" w:hAnsi="Calibri" w:eastAsia="宋体" w:cs="Calibri"/>
                <w:color w:val="auto"/>
                <w:szCs w:val="21"/>
                <w:highlight w:val="none"/>
                <w:lang w:eastAsia="zh-CN"/>
              </w:rPr>
            </w:pPr>
          </w:p>
        </w:tc>
      </w:tr>
    </w:tbl>
    <w:p w14:paraId="4CA5C6BE">
      <w:pPr>
        <w:pStyle w:val="26"/>
        <w:outlineLvl w:val="0"/>
        <w:rPr>
          <w:snapToGrid w:val="0"/>
          <w:color w:val="auto"/>
          <w:highlight w:val="none"/>
        </w:rPr>
        <w:sectPr>
          <w:pgSz w:w="11905" w:h="16838"/>
          <w:pgMar w:top="1440" w:right="1701" w:bottom="1440" w:left="1701" w:header="851" w:footer="1077" w:gutter="0"/>
          <w:pgNumType w:fmt="decimal"/>
          <w:cols w:space="720" w:num="1"/>
          <w:docGrid w:type="lines" w:linePitch="317" w:charSpace="0"/>
        </w:sectPr>
      </w:pPr>
    </w:p>
    <w:p w14:paraId="55EED444">
      <w:pPr>
        <w:pStyle w:val="26"/>
        <w:jc w:val="center"/>
        <w:outlineLvl w:val="0"/>
        <w:rPr>
          <w:b/>
          <w:bCs/>
          <w:color w:val="auto"/>
          <w:sz w:val="30"/>
          <w:szCs w:val="30"/>
          <w:highlight w:val="none"/>
        </w:rPr>
      </w:pPr>
      <w:bookmarkStart w:id="46" w:name="_Toc21108"/>
      <w:r>
        <w:rPr>
          <w:rFonts w:hint="eastAsia" w:ascii="黑体" w:hAnsi="黑体" w:eastAsia="黑体"/>
          <w:snapToGrid w:val="0"/>
          <w:color w:val="auto"/>
          <w:sz w:val="30"/>
          <w:szCs w:val="30"/>
          <w:highlight w:val="none"/>
        </w:rPr>
        <w:t>六、</w:t>
      </w:r>
      <w:r>
        <w:rPr>
          <w:rFonts w:hint="eastAsia"/>
          <w:b/>
          <w:bCs/>
          <w:color w:val="auto"/>
          <w:sz w:val="30"/>
          <w:szCs w:val="30"/>
          <w:highlight w:val="none"/>
        </w:rPr>
        <w:t>生态环境保护措施监督检查清单</w:t>
      </w:r>
      <w:bookmarkEnd w:id="46"/>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8"/>
        <w:gridCol w:w="3267"/>
        <w:gridCol w:w="3562"/>
        <w:gridCol w:w="3853"/>
        <w:gridCol w:w="2544"/>
      </w:tblGrid>
      <w:tr w14:paraId="6A65F3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8" w:type="dxa"/>
            <w:vMerge w:val="restart"/>
            <w:tcBorders>
              <w:top w:val="single" w:color="auto" w:sz="8" w:space="0"/>
              <w:left w:val="single" w:color="auto" w:sz="8" w:space="0"/>
              <w:bottom w:val="single" w:color="auto" w:sz="4" w:space="0"/>
              <w:right w:val="single" w:color="auto" w:sz="4" w:space="0"/>
            </w:tcBorders>
            <w:noWrap w:val="0"/>
            <w:vAlign w:val="top"/>
          </w:tcPr>
          <w:p w14:paraId="69A0A2FB">
            <w:pPr>
              <w:pStyle w:val="26"/>
              <w:keepNext w:val="0"/>
              <w:keepLines w:val="0"/>
              <w:suppressLineNumbers w:val="0"/>
              <w:adjustRightInd w:val="0"/>
              <w:snapToGrid w:val="0"/>
              <w:spacing w:before="95" w:beforeLines="30" w:beforeAutospacing="0" w:after="0" w:afterAutospacing="0"/>
              <w:ind w:left="0" w:right="0"/>
              <w:jc w:val="center"/>
              <w:outlineLvl w:val="0"/>
              <w:rPr>
                <w:rFonts w:hint="default" w:ascii="黑体" w:hAnsi="黑体" w:eastAsia="黑体" w:cs="Times New Roman"/>
                <w:b/>
                <w:bCs/>
                <w:color w:val="auto"/>
                <w:kern w:val="2"/>
                <w:sz w:val="21"/>
                <w:szCs w:val="21"/>
                <w:highlight w:val="none"/>
              </w:rPr>
            </w:pPr>
            <w:r>
              <w:rPr>
                <w:rFonts w:hint="eastAsia" w:ascii="黑体" w:hAnsi="黑体" w:eastAsia="黑体" w:cs="Times New Roman"/>
                <w:b/>
                <w:bCs/>
                <w:color w:val="auto"/>
                <w:kern w:val="2"/>
                <w:sz w:val="21"/>
                <w:szCs w:val="21"/>
                <w:highlight w:val="none"/>
              </w:rPr>
              <w:t xml:space="preserve">                                                                          </w:t>
            </w:r>
            <w:bookmarkStart w:id="47" w:name="_Toc8498"/>
            <w:bookmarkStart w:id="48" w:name="_Toc19496"/>
            <w:r>
              <w:rPr>
                <w:rFonts w:hint="eastAsia" w:ascii="黑体" w:hAnsi="黑体" w:eastAsia="黑体" w:cs="Times New Roman"/>
                <w:b/>
                <w:bCs/>
                <w:color w:val="auto"/>
                <w:kern w:val="2"/>
                <w:sz w:val="21"/>
                <w:szCs w:val="21"/>
                <w:highlight w:val="none"/>
              </w:rPr>
              <w:t>内容</w:t>
            </w:r>
            <w:bookmarkEnd w:id="47"/>
            <w:bookmarkEnd w:id="48"/>
          </w:p>
          <w:p w14:paraId="6C1BD870">
            <w:pPr>
              <w:pStyle w:val="26"/>
              <w:keepNext w:val="0"/>
              <w:keepLines w:val="0"/>
              <w:suppressLineNumbers w:val="0"/>
              <w:adjustRightInd w:val="0"/>
              <w:snapToGrid w:val="0"/>
              <w:spacing w:before="0" w:beforeAutospacing="0" w:after="0" w:afterAutospacing="0"/>
              <w:ind w:left="0" w:right="0"/>
              <w:outlineLvl w:val="0"/>
              <w:rPr>
                <w:rFonts w:hint="eastAsia" w:ascii="黑体" w:hAnsi="黑体" w:eastAsia="黑体" w:cs="Times New Roman"/>
                <w:b/>
                <w:bCs/>
                <w:color w:val="auto"/>
                <w:kern w:val="2"/>
                <w:sz w:val="21"/>
                <w:szCs w:val="21"/>
                <w:highlight w:val="none"/>
              </w:rPr>
            </w:pPr>
            <w:r>
              <w:rPr>
                <w:rFonts w:hint="eastAsia" w:ascii="黑体" w:hAnsi="黑体" w:eastAsia="黑体" w:cs="Times New Roman"/>
                <w:b/>
                <w:bCs/>
                <w:color w:val="auto"/>
                <w:kern w:val="2"/>
                <w:sz w:val="21"/>
                <w:szCs w:val="21"/>
                <w:highlight w:val="none"/>
              </w:rPr>
              <w:t xml:space="preserve">  </w:t>
            </w:r>
          </w:p>
          <w:p w14:paraId="0D27E275">
            <w:pPr>
              <w:pStyle w:val="26"/>
              <w:keepNext w:val="0"/>
              <w:keepLines w:val="0"/>
              <w:suppressLineNumbers w:val="0"/>
              <w:adjustRightInd w:val="0"/>
              <w:snapToGrid w:val="0"/>
              <w:spacing w:before="0" w:beforeAutospacing="0" w:after="0" w:afterAutospacing="0"/>
              <w:ind w:left="0" w:right="0"/>
              <w:outlineLvl w:val="0"/>
              <w:rPr>
                <w:rFonts w:hint="default" w:ascii="黑体" w:hAnsi="黑体" w:eastAsia="黑体" w:cs="Times New Roman"/>
                <w:b/>
                <w:bCs/>
                <w:color w:val="auto"/>
                <w:kern w:val="2"/>
                <w:sz w:val="21"/>
                <w:szCs w:val="21"/>
                <w:highlight w:val="none"/>
              </w:rPr>
            </w:pPr>
            <w:bookmarkStart w:id="49" w:name="_Toc489"/>
            <w:bookmarkStart w:id="50" w:name="_Toc1237"/>
            <w:r>
              <w:rPr>
                <w:rFonts w:hint="eastAsia" w:ascii="黑体" w:hAnsi="黑体" w:eastAsia="黑体" w:cs="Times New Roman"/>
                <w:b/>
                <w:bCs/>
                <w:color w:val="auto"/>
                <w:kern w:val="2"/>
                <w:sz w:val="21"/>
                <w:szCs w:val="21"/>
                <w:highlight w:val="none"/>
              </w:rPr>
              <w:t>要素</w:t>
            </w:r>
            <w:bookmarkEnd w:id="49"/>
            <w:bookmarkEnd w:id="50"/>
          </w:p>
        </w:tc>
        <w:tc>
          <w:tcPr>
            <w:tcW w:w="6829" w:type="dxa"/>
            <w:gridSpan w:val="2"/>
            <w:tcBorders>
              <w:top w:val="single" w:color="auto" w:sz="8" w:space="0"/>
              <w:left w:val="single" w:color="auto" w:sz="4" w:space="0"/>
              <w:bottom w:val="single" w:color="auto" w:sz="4" w:space="0"/>
              <w:right w:val="single" w:color="auto" w:sz="4" w:space="0"/>
            </w:tcBorders>
            <w:noWrap w:val="0"/>
            <w:vAlign w:val="center"/>
          </w:tcPr>
          <w:p w14:paraId="468CDCEF">
            <w:pPr>
              <w:pStyle w:val="26"/>
              <w:keepNext w:val="0"/>
              <w:keepLines w:val="0"/>
              <w:suppressLineNumbers w:val="0"/>
              <w:adjustRightInd w:val="0"/>
              <w:snapToGrid w:val="0"/>
              <w:spacing w:before="0" w:beforeAutospacing="0" w:after="0" w:afterAutospacing="0"/>
              <w:ind w:left="0" w:right="0"/>
              <w:jc w:val="center"/>
              <w:outlineLvl w:val="0"/>
              <w:rPr>
                <w:rFonts w:hint="default" w:ascii="黑体" w:hAnsi="黑体" w:eastAsia="黑体" w:cs="Times New Roman"/>
                <w:b/>
                <w:bCs/>
                <w:color w:val="auto"/>
                <w:kern w:val="2"/>
                <w:sz w:val="21"/>
                <w:szCs w:val="21"/>
                <w:highlight w:val="none"/>
              </w:rPr>
            </w:pPr>
            <w:bookmarkStart w:id="51" w:name="_Toc18496"/>
            <w:bookmarkStart w:id="52" w:name="_Toc22744"/>
            <w:r>
              <w:rPr>
                <w:rFonts w:hint="eastAsia" w:ascii="黑体" w:hAnsi="黑体" w:eastAsia="黑体" w:cs="Times New Roman"/>
                <w:b/>
                <w:bCs/>
                <w:color w:val="auto"/>
                <w:kern w:val="2"/>
                <w:sz w:val="21"/>
                <w:szCs w:val="21"/>
                <w:highlight w:val="none"/>
              </w:rPr>
              <w:t>施工期</w:t>
            </w:r>
            <w:bookmarkEnd w:id="51"/>
            <w:bookmarkEnd w:id="52"/>
          </w:p>
        </w:tc>
        <w:tc>
          <w:tcPr>
            <w:tcW w:w="6397" w:type="dxa"/>
            <w:gridSpan w:val="2"/>
            <w:tcBorders>
              <w:top w:val="single" w:color="auto" w:sz="8" w:space="0"/>
              <w:left w:val="single" w:color="auto" w:sz="4" w:space="0"/>
              <w:bottom w:val="single" w:color="auto" w:sz="4" w:space="0"/>
              <w:right w:val="single" w:color="auto" w:sz="8" w:space="0"/>
            </w:tcBorders>
            <w:noWrap w:val="0"/>
            <w:vAlign w:val="center"/>
          </w:tcPr>
          <w:p w14:paraId="1DC5A60E">
            <w:pPr>
              <w:pStyle w:val="26"/>
              <w:keepNext w:val="0"/>
              <w:keepLines w:val="0"/>
              <w:suppressLineNumbers w:val="0"/>
              <w:adjustRightInd w:val="0"/>
              <w:snapToGrid w:val="0"/>
              <w:spacing w:before="0" w:beforeAutospacing="0" w:after="0" w:afterAutospacing="0"/>
              <w:ind w:left="0" w:right="0"/>
              <w:jc w:val="center"/>
              <w:outlineLvl w:val="0"/>
              <w:rPr>
                <w:rFonts w:hint="default" w:ascii="黑体" w:hAnsi="黑体" w:eastAsia="黑体" w:cs="Times New Roman"/>
                <w:b/>
                <w:bCs/>
                <w:color w:val="auto"/>
                <w:kern w:val="2"/>
                <w:sz w:val="21"/>
                <w:szCs w:val="21"/>
                <w:highlight w:val="none"/>
              </w:rPr>
            </w:pPr>
            <w:bookmarkStart w:id="53" w:name="_Toc22837"/>
            <w:bookmarkStart w:id="54" w:name="_Toc19176"/>
            <w:r>
              <w:rPr>
                <w:rFonts w:hint="eastAsia" w:ascii="黑体" w:hAnsi="黑体" w:eastAsia="黑体" w:cs="Times New Roman"/>
                <w:b/>
                <w:bCs/>
                <w:color w:val="auto"/>
                <w:kern w:val="2"/>
                <w:sz w:val="21"/>
                <w:szCs w:val="21"/>
                <w:highlight w:val="none"/>
              </w:rPr>
              <w:t>运营期</w:t>
            </w:r>
            <w:bookmarkEnd w:id="53"/>
            <w:bookmarkEnd w:id="54"/>
          </w:p>
        </w:tc>
      </w:tr>
      <w:tr w14:paraId="0B4280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8" w:type="dxa"/>
            <w:vMerge w:val="continue"/>
            <w:tcBorders>
              <w:top w:val="single" w:color="auto" w:sz="8" w:space="0"/>
              <w:left w:val="single" w:color="auto" w:sz="8" w:space="0"/>
              <w:bottom w:val="single" w:color="auto" w:sz="4" w:space="0"/>
              <w:right w:val="single" w:color="auto" w:sz="4" w:space="0"/>
            </w:tcBorders>
            <w:noWrap w:val="0"/>
            <w:vAlign w:val="center"/>
          </w:tcPr>
          <w:p w14:paraId="60919A73">
            <w:pPr>
              <w:keepNext w:val="0"/>
              <w:keepLines w:val="0"/>
              <w:widowControl/>
              <w:suppressLineNumbers w:val="0"/>
              <w:spacing w:before="0" w:beforeAutospacing="0" w:after="0" w:afterAutospacing="0"/>
              <w:ind w:left="0" w:right="0"/>
              <w:jc w:val="left"/>
              <w:rPr>
                <w:rFonts w:hint="default" w:ascii="黑体" w:hAnsi="黑体" w:eastAsia="黑体" w:cs="宋体"/>
                <w:b/>
                <w:bCs/>
                <w:color w:val="auto"/>
                <w:szCs w:val="21"/>
                <w:highlight w:val="none"/>
              </w:rPr>
            </w:pPr>
          </w:p>
        </w:tc>
        <w:tc>
          <w:tcPr>
            <w:tcW w:w="3267" w:type="dxa"/>
            <w:tcBorders>
              <w:top w:val="single" w:color="auto" w:sz="4" w:space="0"/>
              <w:left w:val="single" w:color="auto" w:sz="4" w:space="0"/>
              <w:bottom w:val="single" w:color="auto" w:sz="4" w:space="0"/>
              <w:right w:val="single" w:color="auto" w:sz="4" w:space="0"/>
            </w:tcBorders>
            <w:noWrap w:val="0"/>
            <w:vAlign w:val="center"/>
          </w:tcPr>
          <w:p w14:paraId="492D1669">
            <w:pPr>
              <w:pStyle w:val="26"/>
              <w:keepNext w:val="0"/>
              <w:keepLines w:val="0"/>
              <w:suppressLineNumbers w:val="0"/>
              <w:adjustRightInd w:val="0"/>
              <w:snapToGrid w:val="0"/>
              <w:spacing w:before="0" w:beforeAutospacing="0" w:after="0" w:afterAutospacing="0"/>
              <w:ind w:left="0" w:right="0"/>
              <w:jc w:val="center"/>
              <w:outlineLvl w:val="0"/>
              <w:rPr>
                <w:rFonts w:hint="default" w:ascii="黑体" w:hAnsi="黑体" w:eastAsia="黑体" w:cs="Times New Roman"/>
                <w:b/>
                <w:bCs/>
                <w:color w:val="auto"/>
                <w:kern w:val="2"/>
                <w:sz w:val="21"/>
                <w:szCs w:val="21"/>
                <w:highlight w:val="none"/>
              </w:rPr>
            </w:pPr>
            <w:bookmarkStart w:id="55" w:name="_Toc12753"/>
            <w:bookmarkStart w:id="56" w:name="_Toc25129"/>
            <w:r>
              <w:rPr>
                <w:rFonts w:hint="eastAsia" w:ascii="黑体" w:hAnsi="黑体" w:eastAsia="黑体" w:cs="Times New Roman"/>
                <w:b/>
                <w:bCs/>
                <w:color w:val="auto"/>
                <w:kern w:val="2"/>
                <w:sz w:val="21"/>
                <w:szCs w:val="21"/>
                <w:highlight w:val="none"/>
              </w:rPr>
              <w:t>环境保护措施</w:t>
            </w:r>
            <w:bookmarkEnd w:id="55"/>
            <w:bookmarkEnd w:id="56"/>
          </w:p>
        </w:tc>
        <w:tc>
          <w:tcPr>
            <w:tcW w:w="3562" w:type="dxa"/>
            <w:tcBorders>
              <w:top w:val="single" w:color="auto" w:sz="4" w:space="0"/>
              <w:left w:val="single" w:color="auto" w:sz="4" w:space="0"/>
              <w:bottom w:val="single" w:color="auto" w:sz="4" w:space="0"/>
              <w:right w:val="single" w:color="auto" w:sz="4" w:space="0"/>
            </w:tcBorders>
            <w:noWrap w:val="0"/>
            <w:vAlign w:val="center"/>
          </w:tcPr>
          <w:p w14:paraId="51556011">
            <w:pPr>
              <w:pStyle w:val="26"/>
              <w:keepNext w:val="0"/>
              <w:keepLines w:val="0"/>
              <w:suppressLineNumbers w:val="0"/>
              <w:adjustRightInd w:val="0"/>
              <w:snapToGrid w:val="0"/>
              <w:spacing w:before="0" w:beforeAutospacing="0" w:after="0" w:afterAutospacing="0"/>
              <w:ind w:left="0" w:right="0"/>
              <w:jc w:val="center"/>
              <w:outlineLvl w:val="0"/>
              <w:rPr>
                <w:rFonts w:hint="default" w:ascii="黑体" w:hAnsi="黑体" w:eastAsia="黑体" w:cs="Times New Roman"/>
                <w:b/>
                <w:bCs/>
                <w:color w:val="auto"/>
                <w:kern w:val="2"/>
                <w:sz w:val="21"/>
                <w:szCs w:val="21"/>
                <w:highlight w:val="none"/>
              </w:rPr>
            </w:pPr>
            <w:bookmarkStart w:id="57" w:name="_Toc27525"/>
            <w:bookmarkStart w:id="58" w:name="_Toc8375"/>
            <w:r>
              <w:rPr>
                <w:rFonts w:hint="eastAsia" w:ascii="黑体" w:hAnsi="黑体" w:eastAsia="黑体" w:cs="Times New Roman"/>
                <w:b/>
                <w:bCs/>
                <w:color w:val="auto"/>
                <w:kern w:val="2"/>
                <w:sz w:val="21"/>
                <w:szCs w:val="21"/>
                <w:highlight w:val="none"/>
              </w:rPr>
              <w:t>验收要求</w:t>
            </w:r>
            <w:bookmarkEnd w:id="57"/>
            <w:bookmarkEnd w:id="58"/>
          </w:p>
        </w:tc>
        <w:tc>
          <w:tcPr>
            <w:tcW w:w="3853" w:type="dxa"/>
            <w:tcBorders>
              <w:top w:val="single" w:color="auto" w:sz="4" w:space="0"/>
              <w:left w:val="single" w:color="auto" w:sz="4" w:space="0"/>
              <w:bottom w:val="single" w:color="auto" w:sz="4" w:space="0"/>
              <w:right w:val="single" w:color="auto" w:sz="4" w:space="0"/>
            </w:tcBorders>
            <w:noWrap w:val="0"/>
            <w:vAlign w:val="center"/>
          </w:tcPr>
          <w:p w14:paraId="2D46E378">
            <w:pPr>
              <w:pStyle w:val="26"/>
              <w:keepNext w:val="0"/>
              <w:keepLines w:val="0"/>
              <w:suppressLineNumbers w:val="0"/>
              <w:adjustRightInd w:val="0"/>
              <w:snapToGrid w:val="0"/>
              <w:spacing w:before="0" w:beforeAutospacing="0" w:after="0" w:afterAutospacing="0"/>
              <w:ind w:left="0" w:right="0"/>
              <w:jc w:val="center"/>
              <w:outlineLvl w:val="0"/>
              <w:rPr>
                <w:rFonts w:hint="default" w:ascii="黑体" w:hAnsi="黑体" w:eastAsia="黑体" w:cs="Times New Roman"/>
                <w:b/>
                <w:bCs/>
                <w:color w:val="auto"/>
                <w:kern w:val="2"/>
                <w:sz w:val="21"/>
                <w:szCs w:val="21"/>
                <w:highlight w:val="none"/>
              </w:rPr>
            </w:pPr>
            <w:bookmarkStart w:id="59" w:name="_Toc6224"/>
            <w:bookmarkStart w:id="60" w:name="_Toc7092"/>
            <w:r>
              <w:rPr>
                <w:rFonts w:hint="eastAsia" w:ascii="黑体" w:hAnsi="黑体" w:eastAsia="黑体" w:cs="Times New Roman"/>
                <w:b/>
                <w:bCs/>
                <w:color w:val="auto"/>
                <w:kern w:val="2"/>
                <w:sz w:val="21"/>
                <w:szCs w:val="21"/>
                <w:highlight w:val="none"/>
              </w:rPr>
              <w:t>环境保护措施</w:t>
            </w:r>
            <w:bookmarkEnd w:id="59"/>
            <w:bookmarkEnd w:id="60"/>
          </w:p>
        </w:tc>
        <w:tc>
          <w:tcPr>
            <w:tcW w:w="2544" w:type="dxa"/>
            <w:tcBorders>
              <w:top w:val="single" w:color="auto" w:sz="4" w:space="0"/>
              <w:left w:val="single" w:color="auto" w:sz="4" w:space="0"/>
              <w:bottom w:val="single" w:color="auto" w:sz="4" w:space="0"/>
              <w:right w:val="single" w:color="auto" w:sz="8" w:space="0"/>
            </w:tcBorders>
            <w:noWrap w:val="0"/>
            <w:vAlign w:val="center"/>
          </w:tcPr>
          <w:p w14:paraId="010D3DB3">
            <w:pPr>
              <w:pStyle w:val="26"/>
              <w:keepNext w:val="0"/>
              <w:keepLines w:val="0"/>
              <w:suppressLineNumbers w:val="0"/>
              <w:adjustRightInd w:val="0"/>
              <w:snapToGrid w:val="0"/>
              <w:spacing w:before="0" w:beforeAutospacing="0" w:after="0" w:afterAutospacing="0"/>
              <w:ind w:left="0" w:right="0"/>
              <w:jc w:val="center"/>
              <w:outlineLvl w:val="0"/>
              <w:rPr>
                <w:rFonts w:hint="default" w:ascii="黑体" w:hAnsi="黑体" w:eastAsia="黑体" w:cs="Times New Roman"/>
                <w:b/>
                <w:bCs/>
                <w:color w:val="auto"/>
                <w:kern w:val="2"/>
                <w:sz w:val="21"/>
                <w:szCs w:val="21"/>
                <w:highlight w:val="none"/>
              </w:rPr>
            </w:pPr>
            <w:bookmarkStart w:id="61" w:name="_Toc5910"/>
            <w:bookmarkStart w:id="62" w:name="_Toc15245"/>
            <w:r>
              <w:rPr>
                <w:rFonts w:hint="eastAsia" w:ascii="黑体" w:hAnsi="黑体" w:eastAsia="黑体" w:cs="Times New Roman"/>
                <w:b/>
                <w:bCs/>
                <w:color w:val="auto"/>
                <w:kern w:val="2"/>
                <w:sz w:val="21"/>
                <w:szCs w:val="21"/>
                <w:highlight w:val="none"/>
              </w:rPr>
              <w:t>验收要求</w:t>
            </w:r>
            <w:bookmarkEnd w:id="61"/>
            <w:bookmarkEnd w:id="62"/>
          </w:p>
        </w:tc>
      </w:tr>
      <w:tr w14:paraId="6650DC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8" w:type="dxa"/>
            <w:tcBorders>
              <w:top w:val="single" w:color="auto" w:sz="4" w:space="0"/>
              <w:left w:val="single" w:color="auto" w:sz="8" w:space="0"/>
              <w:bottom w:val="single" w:color="auto" w:sz="4" w:space="0"/>
              <w:right w:val="single" w:color="auto" w:sz="4" w:space="0"/>
            </w:tcBorders>
            <w:noWrap w:val="0"/>
            <w:vAlign w:val="center"/>
          </w:tcPr>
          <w:p w14:paraId="48E7AF1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宋体" w:cs="Times New Roman"/>
                <w:b/>
                <w:bCs/>
                <w:color w:val="auto"/>
                <w:highlight w:val="none"/>
              </w:rPr>
              <w:t>陆生生态</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4A0DF34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6DB58835">
            <w:pPr>
              <w:keepNext w:val="0"/>
              <w:keepLines w:val="0"/>
              <w:suppressLineNumbers w:val="0"/>
              <w:adjustRightInd w:val="0"/>
              <w:snapToGrid w:val="0"/>
              <w:spacing w:before="0" w:beforeAutospacing="0" w:after="0" w:afterAutospacing="0"/>
              <w:ind w:left="0" w:right="0"/>
              <w:jc w:val="center"/>
              <w:rPr>
                <w:rFonts w:hint="default" w:ascii="宋体" w:hAnsi="宋体" w:eastAsia="宋体" w:cs="Times New Roman"/>
                <w:color w:val="auto"/>
                <w:szCs w:val="21"/>
                <w:highlight w:val="none"/>
                <w:lang w:val="en-US" w:eastAsia="zh-CN"/>
              </w:rPr>
            </w:pPr>
            <w:r>
              <w:rPr>
                <w:rFonts w:hint="eastAsia" w:ascii="宋体" w:hAnsi="宋体" w:cs="Times New Roman"/>
                <w:color w:val="auto"/>
                <w:highlight w:val="none"/>
              </w:rPr>
              <w:t>/</w:t>
            </w:r>
          </w:p>
        </w:tc>
        <w:tc>
          <w:tcPr>
            <w:tcW w:w="3853" w:type="dxa"/>
            <w:tcBorders>
              <w:top w:val="single" w:color="auto" w:sz="4" w:space="0"/>
              <w:left w:val="single" w:color="auto" w:sz="4" w:space="0"/>
              <w:bottom w:val="single" w:color="auto" w:sz="4" w:space="0"/>
              <w:right w:val="single" w:color="auto" w:sz="4" w:space="0"/>
            </w:tcBorders>
            <w:noWrap w:val="0"/>
            <w:vAlign w:val="center"/>
          </w:tcPr>
          <w:p w14:paraId="4557C06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eastAsia="宋体" w:cs="Times New Roman"/>
                <w:color w:val="auto"/>
                <w:kern w:val="2"/>
                <w:sz w:val="21"/>
                <w:szCs w:val="21"/>
                <w:lang w:val="en-US" w:eastAsia="zh-CN" w:bidi="ar-SA"/>
              </w:rPr>
              <w:t>探矿期间严格控制施工作业范围，工作结束后，应及时拆除工作区设备、临时设施，利用开挖产生的土石方进行回填，进行生态植被恢复。</w:t>
            </w:r>
          </w:p>
        </w:tc>
        <w:tc>
          <w:tcPr>
            <w:tcW w:w="2544" w:type="dxa"/>
            <w:tcBorders>
              <w:top w:val="single" w:color="auto" w:sz="4" w:space="0"/>
              <w:left w:val="single" w:color="auto" w:sz="4" w:space="0"/>
              <w:bottom w:val="single" w:color="auto" w:sz="4" w:space="0"/>
              <w:right w:val="single" w:color="auto" w:sz="8" w:space="0"/>
            </w:tcBorders>
            <w:noWrap w:val="0"/>
            <w:vAlign w:val="center"/>
          </w:tcPr>
          <w:p w14:paraId="6E07E3DF">
            <w:pPr>
              <w:keepNext w:val="0"/>
              <w:keepLines w:val="0"/>
              <w:suppressLineNumbers w:val="0"/>
              <w:adjustRightInd w:val="0"/>
              <w:snapToGrid w:val="0"/>
              <w:spacing w:before="0" w:beforeAutospacing="0" w:after="0" w:afterAutospacing="0"/>
              <w:ind w:left="0" w:right="0"/>
              <w:jc w:val="center"/>
              <w:rPr>
                <w:rFonts w:hint="eastAsia" w:ascii="宋体" w:hAnsi="宋体" w:eastAsia="宋体" w:cs="Times New Roman"/>
                <w:color w:val="auto"/>
                <w:szCs w:val="21"/>
                <w:highlight w:val="none"/>
                <w:lang w:eastAsia="zh-CN"/>
              </w:rPr>
            </w:pPr>
            <w:r>
              <w:rPr>
                <w:rFonts w:hint="eastAsia" w:ascii="宋体" w:hAnsi="宋体" w:cs="Courier New"/>
                <w:color w:val="auto"/>
                <w:highlight w:val="none"/>
              </w:rPr>
              <w:t>周边自然资源未因项目</w:t>
            </w:r>
            <w:r>
              <w:rPr>
                <w:rFonts w:hint="eastAsia" w:ascii="宋体" w:hAnsi="宋体" w:cs="Courier New"/>
                <w:color w:val="auto"/>
                <w:highlight w:val="none"/>
                <w:lang w:val="en-US" w:eastAsia="zh-CN"/>
              </w:rPr>
              <w:t>运行</w:t>
            </w:r>
            <w:r>
              <w:rPr>
                <w:rFonts w:hint="eastAsia" w:ascii="宋体" w:hAnsi="宋体" w:cs="Courier New"/>
                <w:color w:val="auto"/>
                <w:highlight w:val="none"/>
              </w:rPr>
              <w:t>产生二次破坏</w:t>
            </w:r>
            <w:r>
              <w:rPr>
                <w:rFonts w:hint="eastAsia" w:ascii="宋体" w:hAnsi="宋体" w:cs="Courier New"/>
                <w:color w:val="auto"/>
                <w:highlight w:val="none"/>
                <w:lang w:eastAsia="zh-CN"/>
              </w:rPr>
              <w:t>。</w:t>
            </w:r>
          </w:p>
        </w:tc>
      </w:tr>
      <w:tr w14:paraId="6953D5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8" w:type="dxa"/>
            <w:tcBorders>
              <w:top w:val="single" w:color="auto" w:sz="4" w:space="0"/>
              <w:left w:val="single" w:color="auto" w:sz="8" w:space="0"/>
              <w:bottom w:val="single" w:color="auto" w:sz="4" w:space="0"/>
              <w:right w:val="single" w:color="auto" w:sz="4" w:space="0"/>
            </w:tcBorders>
            <w:noWrap w:val="0"/>
            <w:vAlign w:val="center"/>
          </w:tcPr>
          <w:p w14:paraId="556952E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宋体" w:cs="Times New Roman"/>
                <w:b/>
                <w:bCs/>
                <w:color w:val="auto"/>
                <w:highlight w:val="none"/>
              </w:rPr>
              <w:t>水生生态</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1F1E702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0976CB6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c>
          <w:tcPr>
            <w:tcW w:w="3853" w:type="dxa"/>
            <w:tcBorders>
              <w:top w:val="single" w:color="auto" w:sz="4" w:space="0"/>
              <w:left w:val="single" w:color="auto" w:sz="4" w:space="0"/>
              <w:bottom w:val="single" w:color="auto" w:sz="4" w:space="0"/>
              <w:right w:val="single" w:color="auto" w:sz="4" w:space="0"/>
            </w:tcBorders>
            <w:noWrap w:val="0"/>
            <w:vAlign w:val="center"/>
          </w:tcPr>
          <w:p w14:paraId="5CCF3C3C">
            <w:pPr>
              <w:keepNext w:val="0"/>
              <w:keepLines w:val="0"/>
              <w:suppressLineNumbers w:val="0"/>
              <w:adjustRightInd w:val="0"/>
              <w:snapToGrid w:val="0"/>
              <w:spacing w:before="0" w:beforeAutospacing="0" w:after="0" w:afterAutospacing="0"/>
              <w:ind w:left="0" w:right="0"/>
              <w:jc w:val="center"/>
              <w:rPr>
                <w:rFonts w:hint="default" w:ascii="宋体" w:hAnsi="宋体" w:eastAsia="宋体" w:cs="Times New Roman"/>
                <w:color w:val="auto"/>
                <w:highlight w:val="none"/>
                <w:lang w:val="en-US" w:eastAsia="zh-CN"/>
              </w:rPr>
            </w:pPr>
            <w:r>
              <w:rPr>
                <w:rFonts w:hint="eastAsia" w:ascii="宋体" w:hAnsi="宋体" w:cs="Times New Roman"/>
                <w:color w:val="auto"/>
                <w:highlight w:val="none"/>
              </w:rPr>
              <w:t>/</w:t>
            </w:r>
          </w:p>
        </w:tc>
        <w:tc>
          <w:tcPr>
            <w:tcW w:w="2544" w:type="dxa"/>
            <w:tcBorders>
              <w:top w:val="single" w:color="auto" w:sz="4" w:space="0"/>
              <w:left w:val="single" w:color="auto" w:sz="4" w:space="0"/>
              <w:bottom w:val="single" w:color="auto" w:sz="4" w:space="0"/>
              <w:right w:val="single" w:color="auto" w:sz="8" w:space="0"/>
            </w:tcBorders>
            <w:noWrap w:val="0"/>
            <w:vAlign w:val="center"/>
          </w:tcPr>
          <w:p w14:paraId="52EC4062">
            <w:pPr>
              <w:keepNext w:val="0"/>
              <w:keepLines w:val="0"/>
              <w:suppressLineNumbers w:val="0"/>
              <w:adjustRightInd w:val="0"/>
              <w:snapToGrid w:val="0"/>
              <w:spacing w:before="0" w:beforeAutospacing="0" w:after="0" w:afterAutospacing="0"/>
              <w:ind w:left="0" w:right="0"/>
              <w:jc w:val="center"/>
              <w:rPr>
                <w:rFonts w:hint="default" w:ascii="宋体" w:hAnsi="宋体" w:eastAsia="宋体" w:cs="Times New Roman"/>
                <w:color w:val="auto"/>
                <w:szCs w:val="21"/>
                <w:highlight w:val="none"/>
                <w:lang w:val="en-US" w:eastAsia="zh-CN"/>
              </w:rPr>
            </w:pPr>
            <w:r>
              <w:rPr>
                <w:rFonts w:hint="eastAsia" w:ascii="宋体" w:hAnsi="宋体" w:cs="Times New Roman"/>
                <w:color w:val="auto"/>
                <w:highlight w:val="none"/>
              </w:rPr>
              <w:t>/</w:t>
            </w:r>
          </w:p>
        </w:tc>
      </w:tr>
      <w:tr w14:paraId="0D9501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8" w:type="dxa"/>
            <w:tcBorders>
              <w:top w:val="single" w:color="auto" w:sz="4" w:space="0"/>
              <w:left w:val="single" w:color="auto" w:sz="8" w:space="0"/>
              <w:bottom w:val="single" w:color="auto" w:sz="4" w:space="0"/>
              <w:right w:val="single" w:color="auto" w:sz="4" w:space="0"/>
            </w:tcBorders>
            <w:noWrap w:val="0"/>
            <w:vAlign w:val="center"/>
          </w:tcPr>
          <w:p w14:paraId="0797908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宋体" w:cs="Times New Roman"/>
                <w:b/>
                <w:bCs/>
                <w:color w:val="auto"/>
                <w:highlight w:val="none"/>
              </w:rPr>
              <w:t>地表水环境</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2B71318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692D7AA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c>
          <w:tcPr>
            <w:tcW w:w="3853" w:type="dxa"/>
            <w:tcBorders>
              <w:top w:val="single" w:color="auto" w:sz="4" w:space="0"/>
              <w:left w:val="single" w:color="auto" w:sz="4" w:space="0"/>
              <w:bottom w:val="single" w:color="auto" w:sz="4" w:space="0"/>
              <w:right w:val="single" w:color="auto" w:sz="4" w:space="0"/>
            </w:tcBorders>
            <w:noWrap w:val="0"/>
            <w:vAlign w:val="center"/>
          </w:tcPr>
          <w:p w14:paraId="36DC1E1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highlight w:val="none"/>
                <w:lang w:eastAsia="zh-CN"/>
              </w:rPr>
            </w:pPr>
            <w:r>
              <w:rPr>
                <w:rFonts w:hint="eastAsia" w:ascii="宋体" w:hAnsi="宋体" w:eastAsia="宋体" w:cs="Times New Roman"/>
                <w:color w:val="auto"/>
                <w:kern w:val="0"/>
                <w:szCs w:val="21"/>
                <w:highlight w:val="none"/>
                <w:lang w:val="en-US" w:eastAsia="zh-CN"/>
              </w:rPr>
              <w:t>（1）实行</w:t>
            </w:r>
            <w:r>
              <w:rPr>
                <w:rFonts w:hint="default" w:ascii="宋体" w:hAnsi="宋体" w:eastAsia="宋体" w:cs="Times New Roman"/>
                <w:color w:val="auto"/>
                <w:kern w:val="0"/>
                <w:szCs w:val="21"/>
                <w:highlight w:val="none"/>
                <w:lang w:val="en-US" w:eastAsia="zh-CN"/>
              </w:rPr>
              <w:t>雨污分流</w:t>
            </w:r>
            <w:r>
              <w:rPr>
                <w:rFonts w:hint="eastAsia" w:ascii="宋体" w:hAnsi="宋体" w:eastAsia="宋体" w:cs="Times New Roman"/>
                <w:color w:val="auto"/>
                <w:kern w:val="0"/>
                <w:szCs w:val="21"/>
                <w:highlight w:val="none"/>
                <w:lang w:val="en-US" w:eastAsia="zh-CN"/>
              </w:rPr>
              <w:t>排水方式</w:t>
            </w:r>
            <w:r>
              <w:rPr>
                <w:rFonts w:hint="default" w:ascii="宋体" w:hAnsi="宋体" w:eastAsia="宋体" w:cs="Times New Roman"/>
                <w:color w:val="auto"/>
                <w:kern w:val="0"/>
                <w:szCs w:val="21"/>
                <w:highlight w:val="none"/>
                <w:lang w:val="en-US" w:eastAsia="zh-CN"/>
              </w:rPr>
              <w:t>，雨水通过场区内的</w:t>
            </w:r>
            <w:r>
              <w:rPr>
                <w:rFonts w:hint="eastAsia" w:ascii="宋体" w:hAnsi="宋体" w:eastAsia="宋体" w:cs="Times New Roman"/>
                <w:color w:val="auto"/>
                <w:kern w:val="0"/>
                <w:szCs w:val="21"/>
                <w:highlight w:val="none"/>
                <w:lang w:val="en-US" w:eastAsia="zh-CN"/>
              </w:rPr>
              <w:t>截排水沟</w:t>
            </w:r>
            <w:r>
              <w:rPr>
                <w:rFonts w:hint="default" w:ascii="宋体" w:hAnsi="宋体" w:eastAsia="宋体" w:cs="Times New Roman"/>
                <w:color w:val="auto"/>
                <w:kern w:val="0"/>
                <w:szCs w:val="21"/>
                <w:highlight w:val="none"/>
                <w:lang w:val="en-US" w:eastAsia="zh-CN"/>
              </w:rPr>
              <w:t>引至场区外周边</w:t>
            </w:r>
            <w:r>
              <w:rPr>
                <w:rFonts w:hint="eastAsia" w:ascii="宋体" w:hAnsi="宋体" w:eastAsia="宋体" w:cs="Times New Roman"/>
                <w:color w:val="auto"/>
                <w:kern w:val="0"/>
                <w:szCs w:val="21"/>
                <w:highlight w:val="none"/>
              </w:rPr>
              <w:t>地表径流。</w:t>
            </w:r>
            <w:r>
              <w:rPr>
                <w:rFonts w:hint="eastAsia" w:ascii="宋体" w:hAnsi="宋体" w:eastAsia="宋体" w:cs="Times New Roman"/>
                <w:color w:val="auto"/>
                <w:kern w:val="0"/>
                <w:szCs w:val="21"/>
                <w:highlight w:val="none"/>
                <w:lang w:val="en-US" w:eastAsia="zh-CN"/>
              </w:rPr>
              <w:t>（2）泥浆水从孔底沿着钻孔送至地表，排入每个钻探平台设置的临时沉淀池沉淀后（沉淀池内铺设防水土工布，容积为1.0m</w:t>
            </w:r>
            <w:r>
              <w:rPr>
                <w:rFonts w:hint="eastAsia" w:ascii="宋体" w:hAnsi="宋体" w:eastAsia="宋体" w:cs="Times New Roman"/>
                <w:color w:val="auto"/>
                <w:kern w:val="0"/>
                <w:szCs w:val="21"/>
                <w:highlight w:val="none"/>
                <w:vertAlign w:val="superscript"/>
                <w:lang w:val="en-US" w:eastAsia="zh-CN"/>
              </w:rPr>
              <w:t>3</w:t>
            </w:r>
            <w:r>
              <w:rPr>
                <w:rFonts w:hint="eastAsia" w:ascii="宋体" w:hAnsi="宋体" w:eastAsia="宋体" w:cs="Times New Roman"/>
                <w:color w:val="auto"/>
                <w:kern w:val="0"/>
                <w:szCs w:val="21"/>
                <w:highlight w:val="none"/>
                <w:lang w:val="en-US" w:eastAsia="zh-CN"/>
              </w:rPr>
              <w:t>）循环使用，不外排。待探矿结束后，沉淀池上清液用于场地洒水降尘。（3）生活污水经过矿区办公生活区已有的化粪池（容积30m</w:t>
            </w:r>
            <w:r>
              <w:rPr>
                <w:rFonts w:hint="eastAsia" w:ascii="宋体" w:hAnsi="宋体" w:eastAsia="宋体" w:cs="Times New Roman"/>
                <w:color w:val="auto"/>
                <w:kern w:val="0"/>
                <w:szCs w:val="21"/>
                <w:highlight w:val="none"/>
                <w:vertAlign w:val="superscript"/>
                <w:lang w:val="en-US" w:eastAsia="zh-CN"/>
              </w:rPr>
              <w:t>3</w:t>
            </w:r>
            <w:r>
              <w:rPr>
                <w:rFonts w:hint="eastAsia" w:ascii="宋体" w:hAnsi="宋体" w:eastAsia="宋体" w:cs="Times New Roman"/>
                <w:color w:val="auto"/>
                <w:kern w:val="0"/>
                <w:szCs w:val="21"/>
                <w:highlight w:val="none"/>
                <w:lang w:val="en-US" w:eastAsia="zh-CN"/>
              </w:rPr>
              <w:t>）沉淀</w:t>
            </w:r>
            <w:r>
              <w:rPr>
                <w:rFonts w:hint="default" w:ascii="宋体" w:hAnsi="宋体" w:eastAsia="宋体" w:cs="Times New Roman"/>
                <w:color w:val="auto"/>
                <w:kern w:val="0"/>
                <w:szCs w:val="21"/>
                <w:highlight w:val="none"/>
                <w:lang w:val="en-US" w:eastAsia="zh-CN"/>
              </w:rPr>
              <w:t>发酵处理后，定期由</w:t>
            </w:r>
            <w:r>
              <w:rPr>
                <w:rFonts w:hint="eastAsia" w:ascii="宋体" w:hAnsi="宋体" w:eastAsia="宋体" w:cs="Times New Roman"/>
                <w:color w:val="auto"/>
                <w:kern w:val="0"/>
                <w:szCs w:val="21"/>
                <w:highlight w:val="none"/>
                <w:lang w:val="en-US" w:eastAsia="zh-CN"/>
              </w:rPr>
              <w:t>清掏作为周边山林施肥使用</w:t>
            </w:r>
            <w:r>
              <w:rPr>
                <w:rFonts w:hint="default" w:ascii="宋体" w:hAnsi="宋体" w:eastAsia="宋体" w:cs="Times New Roman"/>
                <w:color w:val="auto"/>
                <w:kern w:val="0"/>
                <w:szCs w:val="21"/>
                <w:highlight w:val="none"/>
                <w:lang w:val="en-US" w:eastAsia="zh-CN"/>
              </w:rPr>
              <w:t>，不外排。</w:t>
            </w:r>
          </w:p>
        </w:tc>
        <w:tc>
          <w:tcPr>
            <w:tcW w:w="2544" w:type="dxa"/>
            <w:tcBorders>
              <w:top w:val="single" w:color="auto" w:sz="4" w:space="0"/>
              <w:left w:val="single" w:color="auto" w:sz="4" w:space="0"/>
              <w:bottom w:val="single" w:color="auto" w:sz="4" w:space="0"/>
              <w:right w:val="single" w:color="auto" w:sz="8" w:space="0"/>
            </w:tcBorders>
            <w:noWrap w:val="0"/>
            <w:vAlign w:val="center"/>
          </w:tcPr>
          <w:p w14:paraId="572F8115">
            <w:pPr>
              <w:keepNext w:val="0"/>
              <w:keepLines w:val="0"/>
              <w:suppressLineNumbers w:val="0"/>
              <w:adjustRightInd w:val="0"/>
              <w:snapToGrid w:val="0"/>
              <w:spacing w:before="0" w:beforeAutospacing="0" w:after="0" w:afterAutospacing="0"/>
              <w:ind w:left="0" w:right="0"/>
              <w:jc w:val="center"/>
              <w:rPr>
                <w:rFonts w:hint="default" w:ascii="宋体" w:hAnsi="宋体"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废水不外排。</w:t>
            </w:r>
          </w:p>
        </w:tc>
      </w:tr>
      <w:tr w14:paraId="3C88DD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8" w:type="dxa"/>
            <w:tcBorders>
              <w:top w:val="single" w:color="auto" w:sz="4" w:space="0"/>
              <w:left w:val="single" w:color="auto" w:sz="8" w:space="0"/>
              <w:bottom w:val="single" w:color="auto" w:sz="4" w:space="0"/>
              <w:right w:val="single" w:color="auto" w:sz="4" w:space="0"/>
            </w:tcBorders>
            <w:noWrap w:val="0"/>
            <w:vAlign w:val="center"/>
          </w:tcPr>
          <w:p w14:paraId="03ED96B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宋体" w:cs="Times New Roman"/>
                <w:b/>
                <w:bCs/>
                <w:color w:val="auto"/>
                <w:highlight w:val="none"/>
              </w:rPr>
              <w:t>地下水及土壤环境</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63E66029">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6AFFB350">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c>
          <w:tcPr>
            <w:tcW w:w="3853" w:type="dxa"/>
            <w:tcBorders>
              <w:top w:val="single" w:color="auto" w:sz="4" w:space="0"/>
              <w:left w:val="single" w:color="auto" w:sz="4" w:space="0"/>
              <w:bottom w:val="single" w:color="auto" w:sz="4" w:space="0"/>
              <w:right w:val="single" w:color="auto" w:sz="4" w:space="0"/>
            </w:tcBorders>
            <w:noWrap w:val="0"/>
            <w:vAlign w:val="center"/>
          </w:tcPr>
          <w:p w14:paraId="6BC1EEFF">
            <w:pPr>
              <w:keepNext w:val="0"/>
              <w:keepLines w:val="0"/>
              <w:suppressLineNumbers w:val="0"/>
              <w:adjustRightInd w:val="0"/>
              <w:snapToGrid w:val="0"/>
              <w:spacing w:before="0" w:beforeAutospacing="0" w:after="0" w:afterAutospacing="0"/>
              <w:ind w:left="0" w:right="0"/>
              <w:jc w:val="center"/>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highlight w:val="none"/>
                <w:lang w:val="en-US" w:eastAsia="zh-CN"/>
              </w:rPr>
              <w:t>设置临时沉淀池使用防水土工布进行防渗。</w:t>
            </w:r>
          </w:p>
        </w:tc>
        <w:tc>
          <w:tcPr>
            <w:tcW w:w="2544" w:type="dxa"/>
            <w:tcBorders>
              <w:top w:val="single" w:color="auto" w:sz="4" w:space="0"/>
              <w:left w:val="single" w:color="auto" w:sz="4" w:space="0"/>
              <w:bottom w:val="single" w:color="auto" w:sz="4" w:space="0"/>
              <w:right w:val="single" w:color="auto" w:sz="8" w:space="0"/>
            </w:tcBorders>
            <w:noWrap w:val="0"/>
            <w:vAlign w:val="center"/>
          </w:tcPr>
          <w:p w14:paraId="0F9B5D86">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对地下水和土壤环境影响较小</w:t>
            </w:r>
          </w:p>
        </w:tc>
      </w:tr>
      <w:tr w14:paraId="0E10D9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8" w:type="dxa"/>
            <w:tcBorders>
              <w:top w:val="single" w:color="auto" w:sz="4" w:space="0"/>
              <w:left w:val="single" w:color="auto" w:sz="8" w:space="0"/>
              <w:bottom w:val="single" w:color="auto" w:sz="4" w:space="0"/>
              <w:right w:val="single" w:color="auto" w:sz="4" w:space="0"/>
            </w:tcBorders>
            <w:noWrap w:val="0"/>
            <w:vAlign w:val="center"/>
          </w:tcPr>
          <w:p w14:paraId="0EA7870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宋体" w:cs="Times New Roman"/>
                <w:b/>
                <w:bCs/>
                <w:color w:val="auto"/>
                <w:highlight w:val="none"/>
              </w:rPr>
              <w:t>声环境</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325B0B3C">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34D450A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c>
          <w:tcPr>
            <w:tcW w:w="3853" w:type="dxa"/>
            <w:tcBorders>
              <w:top w:val="single" w:color="auto" w:sz="4" w:space="0"/>
              <w:left w:val="single" w:color="auto" w:sz="4" w:space="0"/>
              <w:bottom w:val="single" w:color="auto" w:sz="4" w:space="0"/>
              <w:right w:val="single" w:color="auto" w:sz="4" w:space="0"/>
            </w:tcBorders>
            <w:noWrap w:val="0"/>
            <w:vAlign w:val="center"/>
          </w:tcPr>
          <w:p w14:paraId="09AA6483">
            <w:pPr>
              <w:keepNext w:val="0"/>
              <w:keepLines w:val="0"/>
              <w:suppressLineNumbers w:val="0"/>
              <w:spacing w:before="0" w:beforeAutospacing="0" w:after="0" w:afterAutospacing="0"/>
              <w:ind w:left="0" w:right="0"/>
              <w:jc w:val="center"/>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山体隔声，距离衰减，使用低噪声设备且设置减振垫，隔声罩壳。</w:t>
            </w:r>
            <w:r>
              <w:rPr>
                <w:rFonts w:hint="default" w:ascii="宋体" w:hAnsi="宋体" w:eastAsia="宋体" w:cs="Times New Roman"/>
                <w:color w:val="auto"/>
                <w:szCs w:val="21"/>
                <w:highlight w:val="none"/>
                <w:lang w:val="en-US" w:eastAsia="zh-CN"/>
              </w:rPr>
              <w:t>车辆加强管理、设置禁鸣和限速标志。</w:t>
            </w:r>
          </w:p>
        </w:tc>
        <w:tc>
          <w:tcPr>
            <w:tcW w:w="2544" w:type="dxa"/>
            <w:tcBorders>
              <w:top w:val="single" w:color="auto" w:sz="4" w:space="0"/>
              <w:left w:val="single" w:color="auto" w:sz="4" w:space="0"/>
              <w:bottom w:val="single" w:color="auto" w:sz="4" w:space="0"/>
              <w:right w:val="single" w:color="auto" w:sz="8" w:space="0"/>
            </w:tcBorders>
            <w:noWrap w:val="0"/>
            <w:vAlign w:val="center"/>
          </w:tcPr>
          <w:p w14:paraId="03A93C0F">
            <w:pPr>
              <w:keepNext w:val="0"/>
              <w:keepLines w:val="0"/>
              <w:suppressLineNumbers w:val="0"/>
              <w:autoSpaceDE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达到《工业企业厂界环境噪声排放标准》</w:t>
            </w:r>
            <w:r>
              <w:rPr>
                <w:rFonts w:hint="eastAsia" w:ascii="Times New Roman" w:hAnsi="Times New Roman" w:eastAsia="宋体" w:cs="Times New Roman"/>
                <w:color w:val="auto"/>
                <w:highlight w:val="none"/>
              </w:rPr>
              <w:t>（GB12348-2008）</w:t>
            </w:r>
            <w:r>
              <w:rPr>
                <w:rFonts w:hint="eastAsia" w:ascii="Times New Roman" w:hAnsi="Times New Roman" w:eastAsia="宋体" w:cs="Times New Roman"/>
                <w:color w:val="auto"/>
                <w:highlight w:val="none"/>
                <w:lang w:val="en-US" w:eastAsia="zh-CN"/>
              </w:rPr>
              <w:t>2</w:t>
            </w:r>
            <w:r>
              <w:rPr>
                <w:rFonts w:hint="eastAsia" w:ascii="宋体" w:hAnsi="宋体" w:cs="Times New Roman"/>
                <w:color w:val="auto"/>
                <w:highlight w:val="none"/>
              </w:rPr>
              <w:t xml:space="preserve">类标准，即：昼间 </w:t>
            </w:r>
            <w:r>
              <w:rPr>
                <w:rFonts w:hint="eastAsia" w:ascii="Times New Roman" w:hAnsi="Times New Roman" w:eastAsia="宋体" w:cs="Times New Roman"/>
                <w:color w:val="auto"/>
                <w:highlight w:val="none"/>
                <w:lang w:val="en-US" w:eastAsia="zh-CN"/>
              </w:rPr>
              <w:t>60</w:t>
            </w:r>
            <w:r>
              <w:rPr>
                <w:rFonts w:hint="eastAsia" w:ascii="Times New Roman" w:hAnsi="Times New Roman" w:eastAsia="宋体" w:cs="Times New Roman"/>
                <w:color w:val="auto"/>
                <w:highlight w:val="none"/>
              </w:rPr>
              <w:t>dB(A)、夜间</w:t>
            </w:r>
            <w:r>
              <w:rPr>
                <w:rFonts w:hint="eastAsia" w:ascii="Times New Roman" w:hAnsi="Times New Roman" w:eastAsia="宋体" w:cs="Times New Roman"/>
                <w:color w:val="auto"/>
                <w:highlight w:val="none"/>
                <w:lang w:val="en-US" w:eastAsia="zh-CN"/>
              </w:rPr>
              <w:t>50</w:t>
            </w:r>
            <w:r>
              <w:rPr>
                <w:rFonts w:hint="eastAsia" w:ascii="Times New Roman" w:hAnsi="Times New Roman" w:eastAsia="宋体" w:cs="Times New Roman"/>
                <w:color w:val="auto"/>
                <w:highlight w:val="none"/>
              </w:rPr>
              <w:t>B(A)</w:t>
            </w:r>
          </w:p>
        </w:tc>
      </w:tr>
      <w:tr w14:paraId="18B263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48" w:type="dxa"/>
            <w:tcBorders>
              <w:top w:val="single" w:color="auto" w:sz="4" w:space="0"/>
              <w:left w:val="single" w:color="auto" w:sz="8" w:space="0"/>
              <w:bottom w:val="single" w:color="auto" w:sz="4" w:space="0"/>
              <w:right w:val="single" w:color="auto" w:sz="4" w:space="0"/>
            </w:tcBorders>
            <w:noWrap w:val="0"/>
            <w:vAlign w:val="center"/>
          </w:tcPr>
          <w:p w14:paraId="0328406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宋体" w:cs="Times New Roman"/>
                <w:b/>
                <w:bCs/>
                <w:color w:val="auto"/>
                <w:highlight w:val="none"/>
              </w:rPr>
              <w:t>振动</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14E770D1">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7DA01AA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c>
          <w:tcPr>
            <w:tcW w:w="3853" w:type="dxa"/>
            <w:tcBorders>
              <w:top w:val="single" w:color="auto" w:sz="4" w:space="0"/>
              <w:left w:val="single" w:color="auto" w:sz="4" w:space="0"/>
              <w:bottom w:val="single" w:color="auto" w:sz="4" w:space="0"/>
              <w:right w:val="single" w:color="auto" w:sz="4" w:space="0"/>
            </w:tcBorders>
            <w:noWrap w:val="0"/>
            <w:vAlign w:val="center"/>
          </w:tcPr>
          <w:p w14:paraId="254B7640">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c>
          <w:tcPr>
            <w:tcW w:w="2544" w:type="dxa"/>
            <w:tcBorders>
              <w:top w:val="single" w:color="auto" w:sz="4" w:space="0"/>
              <w:left w:val="single" w:color="auto" w:sz="4" w:space="0"/>
              <w:bottom w:val="single" w:color="auto" w:sz="4" w:space="0"/>
              <w:right w:val="single" w:color="auto" w:sz="8" w:space="0"/>
            </w:tcBorders>
            <w:noWrap w:val="0"/>
            <w:vAlign w:val="center"/>
          </w:tcPr>
          <w:p w14:paraId="10B95EF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r>
      <w:tr w14:paraId="6D8AFF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8" w:type="dxa"/>
            <w:tcBorders>
              <w:top w:val="single" w:color="auto" w:sz="4" w:space="0"/>
              <w:left w:val="single" w:color="auto" w:sz="8" w:space="0"/>
              <w:bottom w:val="single" w:color="auto" w:sz="4" w:space="0"/>
              <w:right w:val="single" w:color="auto" w:sz="4" w:space="0"/>
            </w:tcBorders>
            <w:noWrap w:val="0"/>
            <w:vAlign w:val="center"/>
          </w:tcPr>
          <w:p w14:paraId="417161A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宋体" w:cs="Times New Roman"/>
                <w:b/>
                <w:bCs/>
                <w:color w:val="auto"/>
                <w:highlight w:val="none"/>
              </w:rPr>
              <w:t>大气环境</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02FE1359">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4E90CCB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c>
          <w:tcPr>
            <w:tcW w:w="3853" w:type="dxa"/>
            <w:tcBorders>
              <w:top w:val="single" w:color="auto" w:sz="4" w:space="0"/>
              <w:left w:val="single" w:color="auto" w:sz="4" w:space="0"/>
              <w:bottom w:val="single" w:color="auto" w:sz="4" w:space="0"/>
              <w:right w:val="single" w:color="auto" w:sz="4" w:space="0"/>
            </w:tcBorders>
            <w:noWrap w:val="0"/>
            <w:vAlign w:val="center"/>
          </w:tcPr>
          <w:p w14:paraId="5044D4B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洒水降尘，废土石采用土工布遮盖</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食堂安装1套油烟净化装置，净化效率不低于60%。</w:t>
            </w:r>
          </w:p>
        </w:tc>
        <w:tc>
          <w:tcPr>
            <w:tcW w:w="2544" w:type="dxa"/>
            <w:tcBorders>
              <w:top w:val="single" w:color="auto" w:sz="4" w:space="0"/>
              <w:left w:val="single" w:color="auto" w:sz="4" w:space="0"/>
              <w:bottom w:val="single" w:color="auto" w:sz="4" w:space="0"/>
              <w:right w:val="single" w:color="auto" w:sz="8" w:space="0"/>
            </w:tcBorders>
            <w:noWrap w:val="0"/>
            <w:vAlign w:val="center"/>
          </w:tcPr>
          <w:p w14:paraId="6ECDC43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对空气环境影响较小</w:t>
            </w:r>
          </w:p>
        </w:tc>
      </w:tr>
      <w:tr w14:paraId="5F3435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48" w:type="dxa"/>
            <w:tcBorders>
              <w:top w:val="single" w:color="auto" w:sz="4" w:space="0"/>
              <w:left w:val="single" w:color="auto" w:sz="8" w:space="0"/>
              <w:bottom w:val="single" w:color="auto" w:sz="4" w:space="0"/>
              <w:right w:val="single" w:color="auto" w:sz="4" w:space="0"/>
            </w:tcBorders>
            <w:noWrap w:val="0"/>
            <w:vAlign w:val="center"/>
          </w:tcPr>
          <w:p w14:paraId="4EE2725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宋体" w:cs="Times New Roman"/>
                <w:b/>
                <w:bCs/>
                <w:color w:val="auto"/>
                <w:highlight w:val="none"/>
              </w:rPr>
              <w:t>固体废物</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517E9501">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68F4E98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c>
          <w:tcPr>
            <w:tcW w:w="3853" w:type="dxa"/>
            <w:tcBorders>
              <w:top w:val="single" w:color="auto" w:sz="4" w:space="0"/>
              <w:left w:val="single" w:color="auto" w:sz="4" w:space="0"/>
              <w:bottom w:val="single" w:color="auto" w:sz="4" w:space="0"/>
              <w:right w:val="single" w:color="auto" w:sz="4" w:space="0"/>
            </w:tcBorders>
            <w:noWrap w:val="0"/>
            <w:vAlign w:val="center"/>
          </w:tcPr>
          <w:p w14:paraId="2B7FCCAB">
            <w:pPr>
              <w:keepNext w:val="0"/>
              <w:keepLines w:val="0"/>
              <w:suppressLineNumbers w:val="0"/>
              <w:spacing w:before="0" w:beforeAutospacing="0" w:after="0" w:afterAutospacing="0"/>
              <w:ind w:left="0" w:right="0"/>
              <w:jc w:val="center"/>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w:t>
            </w:r>
            <w:r>
              <w:rPr>
                <w:rFonts w:hint="default" w:ascii="宋体" w:hAnsi="宋体" w:eastAsia="宋体" w:cs="Times New Roman"/>
                <w:color w:val="auto"/>
                <w:szCs w:val="21"/>
                <w:highlight w:val="none"/>
                <w:lang w:val="en-US" w:eastAsia="zh-CN"/>
              </w:rPr>
              <w:t>本环评建议</w:t>
            </w:r>
            <w:r>
              <w:rPr>
                <w:rFonts w:hint="eastAsia" w:ascii="宋体" w:hAnsi="宋体" w:eastAsia="宋体" w:cs="Times New Roman"/>
                <w:color w:val="auto"/>
                <w:szCs w:val="21"/>
                <w:highlight w:val="none"/>
                <w:lang w:val="en-US" w:eastAsia="zh-CN"/>
              </w:rPr>
              <w:t>废土石方不得露天存放，采用防雨土工布遮盖，</w:t>
            </w:r>
            <w:r>
              <w:rPr>
                <w:rFonts w:hint="default" w:ascii="宋体" w:hAnsi="宋体" w:eastAsia="宋体" w:cs="Times New Roman"/>
                <w:color w:val="auto"/>
                <w:szCs w:val="21"/>
                <w:highlight w:val="none"/>
                <w:lang w:val="en-US" w:eastAsia="zh-CN"/>
              </w:rPr>
              <w:t>减少存放时间，</w:t>
            </w:r>
            <w:r>
              <w:rPr>
                <w:rFonts w:hint="eastAsia" w:ascii="宋体" w:hAnsi="宋体" w:eastAsia="宋体" w:cs="Times New Roman"/>
                <w:color w:val="auto"/>
                <w:szCs w:val="21"/>
                <w:highlight w:val="none"/>
                <w:lang w:val="en-US" w:eastAsia="zh-CN"/>
              </w:rPr>
              <w:t>及时回填，</w:t>
            </w:r>
            <w:r>
              <w:rPr>
                <w:rFonts w:hint="default" w:ascii="宋体" w:hAnsi="宋体" w:eastAsia="宋体" w:cs="Times New Roman"/>
                <w:color w:val="auto"/>
                <w:szCs w:val="21"/>
                <w:highlight w:val="none"/>
                <w:lang w:val="en-US" w:eastAsia="zh-CN"/>
              </w:rPr>
              <w:t>可避免二次污染。</w:t>
            </w:r>
          </w:p>
          <w:p w14:paraId="5D3186EE">
            <w:pPr>
              <w:keepNext w:val="0"/>
              <w:keepLines w:val="0"/>
              <w:suppressLineNumbers w:val="0"/>
              <w:spacing w:before="0" w:beforeAutospacing="0" w:after="0" w:afterAutospacing="0"/>
              <w:ind w:left="0" w:right="0"/>
              <w:jc w:val="center"/>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w:t>
            </w:r>
            <w:r>
              <w:rPr>
                <w:rFonts w:hint="default" w:ascii="宋体" w:hAnsi="宋体" w:eastAsia="宋体" w:cs="Times New Roman"/>
                <w:color w:val="auto"/>
                <w:szCs w:val="21"/>
                <w:highlight w:val="none"/>
                <w:lang w:val="en-US" w:eastAsia="zh-CN"/>
              </w:rPr>
              <w:t>生活垃圾设置</w:t>
            </w:r>
            <w:r>
              <w:rPr>
                <w:rFonts w:hint="eastAsia" w:ascii="宋体" w:hAnsi="宋体" w:eastAsia="宋体" w:cs="Times New Roman"/>
                <w:color w:val="auto"/>
                <w:szCs w:val="21"/>
                <w:highlight w:val="none"/>
                <w:lang w:val="en-US" w:eastAsia="zh-CN"/>
              </w:rPr>
              <w:t>2</w:t>
            </w:r>
            <w:r>
              <w:rPr>
                <w:rFonts w:hint="default" w:ascii="宋体" w:hAnsi="宋体" w:eastAsia="宋体" w:cs="Times New Roman"/>
                <w:color w:val="auto"/>
                <w:szCs w:val="21"/>
                <w:highlight w:val="none"/>
                <w:lang w:val="en-US" w:eastAsia="zh-CN"/>
              </w:rPr>
              <w:t>个环保型垃圾桶分类收集，能回收利用部分回收，其余无法回收部分生活垃圾，如包装废料、白色垃圾等，</w:t>
            </w:r>
            <w:r>
              <w:rPr>
                <w:rFonts w:hint="eastAsia" w:ascii="宋体" w:hAnsi="宋体" w:eastAsia="宋体" w:cs="Times New Roman"/>
                <w:color w:val="auto"/>
                <w:szCs w:val="21"/>
                <w:highlight w:val="none"/>
                <w:lang w:val="en-US" w:eastAsia="zh-CN"/>
              </w:rPr>
              <w:t>清运至当地乡镇垃圾收集点随着村民生活垃圾一起集中处置</w:t>
            </w:r>
            <w:r>
              <w:rPr>
                <w:rFonts w:hint="default" w:ascii="宋体" w:hAnsi="宋体" w:eastAsia="宋体" w:cs="Times New Roman"/>
                <w:color w:val="auto"/>
                <w:szCs w:val="21"/>
                <w:highlight w:val="none"/>
                <w:lang w:val="en-US" w:eastAsia="zh-CN"/>
              </w:rPr>
              <w:t>。</w:t>
            </w:r>
          </w:p>
          <w:p w14:paraId="160A875C">
            <w:pPr>
              <w:keepNext w:val="0"/>
              <w:keepLines w:val="0"/>
              <w:suppressLineNumbers w:val="0"/>
              <w:spacing w:before="0" w:beforeAutospacing="0" w:after="0" w:afterAutospacing="0"/>
              <w:ind w:left="0" w:right="0"/>
              <w:jc w:val="center"/>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w:t>
            </w:r>
            <w:r>
              <w:rPr>
                <w:rFonts w:hint="default" w:ascii="宋体" w:hAnsi="宋体" w:eastAsia="宋体" w:cs="Times New Roman"/>
                <w:color w:val="auto"/>
                <w:szCs w:val="21"/>
                <w:highlight w:val="none"/>
                <w:lang w:val="en-US" w:eastAsia="zh-CN"/>
              </w:rPr>
              <w:t>化粪池污泥定期</w:t>
            </w:r>
            <w:r>
              <w:rPr>
                <w:rFonts w:hint="eastAsia" w:ascii="宋体" w:hAnsi="宋体" w:eastAsia="宋体" w:cs="Times New Roman"/>
                <w:color w:val="auto"/>
                <w:szCs w:val="21"/>
                <w:highlight w:val="none"/>
                <w:lang w:val="en-US" w:eastAsia="zh-CN"/>
              </w:rPr>
              <w:t>清掏用于周边山林施肥</w:t>
            </w:r>
            <w:r>
              <w:rPr>
                <w:rFonts w:hint="default" w:ascii="宋体" w:hAnsi="宋体" w:eastAsia="宋体" w:cs="Times New Roman"/>
                <w:color w:val="auto"/>
                <w:szCs w:val="21"/>
                <w:highlight w:val="none"/>
                <w:lang w:val="en-US" w:eastAsia="zh-CN"/>
              </w:rPr>
              <w:t>，合理安排清掏周期。</w:t>
            </w:r>
          </w:p>
          <w:p w14:paraId="622F320F">
            <w:pPr>
              <w:keepNext w:val="0"/>
              <w:keepLines w:val="0"/>
              <w:suppressLineNumbers w:val="0"/>
              <w:spacing w:before="0" w:beforeAutospacing="0" w:after="0" w:afterAutospacing="0"/>
              <w:ind w:left="0" w:right="0"/>
              <w:jc w:val="center"/>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（4）废包装材料集中收集后统一由废品回收商回收利用。</w:t>
            </w:r>
          </w:p>
          <w:p w14:paraId="5B608EF1">
            <w:pPr>
              <w:keepNext w:val="0"/>
              <w:keepLines w:val="0"/>
              <w:suppressLineNumbers w:val="0"/>
              <w:spacing w:before="0" w:beforeAutospacing="0" w:after="0" w:afterAutospacing="0"/>
              <w:ind w:left="0" w:right="0"/>
              <w:jc w:val="center"/>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w:t>
            </w:r>
            <w:r>
              <w:rPr>
                <w:rFonts w:hint="default" w:ascii="宋体" w:hAnsi="宋体" w:eastAsia="宋体" w:cs="Times New Roman"/>
                <w:color w:val="auto"/>
                <w:szCs w:val="21"/>
                <w:highlight w:val="none"/>
                <w:lang w:val="en-US" w:eastAsia="zh-CN"/>
              </w:rPr>
              <w:t>沉淀底泥暂存于</w:t>
            </w:r>
            <w:r>
              <w:rPr>
                <w:rFonts w:hint="eastAsia" w:ascii="宋体" w:hAnsi="宋体" w:eastAsia="宋体" w:cs="Times New Roman"/>
                <w:color w:val="auto"/>
                <w:szCs w:val="21"/>
                <w:highlight w:val="none"/>
                <w:lang w:val="en-US" w:eastAsia="zh-CN"/>
              </w:rPr>
              <w:t>沉淀池</w:t>
            </w:r>
            <w:r>
              <w:rPr>
                <w:rFonts w:hint="default" w:ascii="宋体" w:hAnsi="宋体" w:eastAsia="宋体" w:cs="Times New Roman"/>
                <w:color w:val="auto"/>
                <w:szCs w:val="21"/>
                <w:highlight w:val="none"/>
                <w:lang w:val="en-US" w:eastAsia="zh-CN"/>
              </w:rPr>
              <w:t>内，完孔后用于平整迹地或回填</w:t>
            </w:r>
            <w:r>
              <w:rPr>
                <w:rFonts w:hint="eastAsia" w:ascii="宋体" w:hAnsi="宋体" w:eastAsia="宋体" w:cs="Times New Roman"/>
                <w:color w:val="auto"/>
                <w:szCs w:val="21"/>
                <w:highlight w:val="none"/>
                <w:lang w:val="en-US" w:eastAsia="zh-CN"/>
              </w:rPr>
              <w:t>。</w:t>
            </w:r>
          </w:p>
          <w:p w14:paraId="178F0949">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eastAsia" w:ascii="宋体" w:hAnsi="宋体" w:eastAsia="宋体" w:cs="Times New Roman"/>
                <w:color w:val="auto"/>
                <w:szCs w:val="21"/>
                <w:highlight w:val="none"/>
                <w:lang w:val="en-US" w:eastAsia="zh-CN"/>
              </w:rPr>
              <w:t>（7）废机油等危废在办公生活区机修车间旁设置1间5m</w:t>
            </w:r>
            <w:r>
              <w:rPr>
                <w:rFonts w:hint="eastAsia" w:ascii="宋体" w:hAnsi="宋体" w:eastAsia="宋体" w:cs="Times New Roman"/>
                <w:color w:val="auto"/>
                <w:szCs w:val="21"/>
                <w:highlight w:val="none"/>
                <w:vertAlign w:val="superscript"/>
                <w:lang w:val="en-US" w:eastAsia="zh-CN"/>
              </w:rPr>
              <w:t>2</w:t>
            </w:r>
            <w:r>
              <w:rPr>
                <w:rFonts w:hint="eastAsia" w:ascii="宋体" w:hAnsi="宋体" w:eastAsia="宋体" w:cs="Times New Roman"/>
                <w:color w:val="auto"/>
                <w:szCs w:val="21"/>
                <w:highlight w:val="none"/>
                <w:lang w:val="en-US" w:eastAsia="zh-CN"/>
              </w:rPr>
              <w:t>专门危险废物暂存间，采用专用的容器进行储存，委托有资质单位回收处置。</w:t>
            </w:r>
          </w:p>
        </w:tc>
        <w:tc>
          <w:tcPr>
            <w:tcW w:w="2544" w:type="dxa"/>
            <w:tcBorders>
              <w:top w:val="single" w:color="auto" w:sz="4" w:space="0"/>
              <w:left w:val="single" w:color="auto" w:sz="4" w:space="0"/>
              <w:bottom w:val="single" w:color="auto" w:sz="4" w:space="0"/>
              <w:right w:val="single" w:color="auto" w:sz="8" w:space="0"/>
            </w:tcBorders>
            <w:noWrap w:val="0"/>
            <w:vAlign w:val="center"/>
          </w:tcPr>
          <w:p w14:paraId="76C13C5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default" w:ascii="Times New Roman" w:hAnsi="Times New Roman" w:cs="Times New Roman"/>
                <w:color w:val="auto"/>
                <w:highlight w:val="none"/>
              </w:rPr>
              <w:t>处置率</w:t>
            </w:r>
            <w:r>
              <w:rPr>
                <w:rFonts w:hint="default" w:ascii="Times New Roman" w:hAnsi="Times New Roman" w:eastAsia="宋体" w:cs="Times New Roman"/>
                <w:color w:val="auto"/>
                <w:highlight w:val="none"/>
              </w:rPr>
              <w:t>100%</w:t>
            </w:r>
          </w:p>
        </w:tc>
      </w:tr>
      <w:tr w14:paraId="07F6E9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8" w:type="dxa"/>
            <w:tcBorders>
              <w:top w:val="single" w:color="auto" w:sz="4" w:space="0"/>
              <w:left w:val="single" w:color="auto" w:sz="8" w:space="0"/>
              <w:bottom w:val="single" w:color="auto" w:sz="4" w:space="0"/>
              <w:right w:val="single" w:color="auto" w:sz="4" w:space="0"/>
            </w:tcBorders>
            <w:noWrap w:val="0"/>
            <w:vAlign w:val="center"/>
          </w:tcPr>
          <w:p w14:paraId="2BCB665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宋体" w:cs="Times New Roman"/>
                <w:b/>
                <w:bCs/>
                <w:color w:val="auto"/>
                <w:highlight w:val="none"/>
              </w:rPr>
              <w:t>电磁环境</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5984CCA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148052B0">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c>
          <w:tcPr>
            <w:tcW w:w="3853" w:type="dxa"/>
            <w:tcBorders>
              <w:top w:val="single" w:color="auto" w:sz="4" w:space="0"/>
              <w:left w:val="single" w:color="auto" w:sz="4" w:space="0"/>
              <w:bottom w:val="single" w:color="auto" w:sz="4" w:space="0"/>
              <w:right w:val="single" w:color="auto" w:sz="4" w:space="0"/>
            </w:tcBorders>
            <w:noWrap w:val="0"/>
            <w:vAlign w:val="center"/>
          </w:tcPr>
          <w:p w14:paraId="3C4A83A6">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c>
          <w:tcPr>
            <w:tcW w:w="2544" w:type="dxa"/>
            <w:tcBorders>
              <w:top w:val="single" w:color="auto" w:sz="4" w:space="0"/>
              <w:left w:val="single" w:color="auto" w:sz="4" w:space="0"/>
              <w:bottom w:val="single" w:color="auto" w:sz="4" w:space="0"/>
              <w:right w:val="single" w:color="auto" w:sz="8" w:space="0"/>
            </w:tcBorders>
            <w:noWrap w:val="0"/>
            <w:vAlign w:val="center"/>
          </w:tcPr>
          <w:p w14:paraId="272FCC4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r>
      <w:tr w14:paraId="4052B8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8" w:type="dxa"/>
            <w:tcBorders>
              <w:top w:val="single" w:color="auto" w:sz="4" w:space="0"/>
              <w:left w:val="single" w:color="auto" w:sz="8" w:space="0"/>
              <w:bottom w:val="single" w:color="auto" w:sz="4" w:space="0"/>
              <w:right w:val="single" w:color="auto" w:sz="4" w:space="0"/>
            </w:tcBorders>
            <w:noWrap w:val="0"/>
            <w:vAlign w:val="center"/>
          </w:tcPr>
          <w:p w14:paraId="0BFFAD1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宋体" w:cs="Times New Roman"/>
                <w:b/>
                <w:bCs/>
                <w:color w:val="auto"/>
                <w:highlight w:val="none"/>
              </w:rPr>
              <w:t>环境风险</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15FB0D8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21737E97">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c>
          <w:tcPr>
            <w:tcW w:w="3853" w:type="dxa"/>
            <w:tcBorders>
              <w:top w:val="single" w:color="auto" w:sz="4" w:space="0"/>
              <w:left w:val="single" w:color="auto" w:sz="4" w:space="0"/>
              <w:bottom w:val="single" w:color="auto" w:sz="4" w:space="0"/>
              <w:right w:val="single" w:color="auto" w:sz="4" w:space="0"/>
            </w:tcBorders>
            <w:noWrap w:val="0"/>
            <w:vAlign w:val="center"/>
          </w:tcPr>
          <w:p w14:paraId="1DC4C1E4">
            <w:pPr>
              <w:keepNext w:val="0"/>
              <w:keepLines w:val="0"/>
              <w:suppressLineNumbers w:val="0"/>
              <w:spacing w:before="0" w:beforeAutospacing="0" w:after="0" w:afterAutospacing="0"/>
              <w:ind w:left="0" w:right="0" w:firstLine="0" w:firstLineChars="0"/>
              <w:jc w:val="center"/>
              <w:rPr>
                <w:rFonts w:hint="default" w:ascii="宋体" w:hAnsi="Times New Roman" w:eastAsia="宋体" w:cs="Times New Roman"/>
                <w:color w:val="auto"/>
                <w:highlight w:val="none"/>
                <w:lang w:val="en-US" w:eastAsia="zh-CN"/>
              </w:rPr>
            </w:pPr>
            <w:r>
              <w:rPr>
                <w:rFonts w:hint="eastAsia" w:ascii="宋体" w:hAnsi="宋体" w:eastAsia="宋体" w:cs="Times New Roman"/>
                <w:color w:val="auto"/>
                <w:highlight w:val="none"/>
                <w:lang w:val="en-US" w:eastAsia="zh-CN"/>
              </w:rPr>
              <w:t>加强管理和环境保护意识。</w:t>
            </w:r>
          </w:p>
        </w:tc>
        <w:tc>
          <w:tcPr>
            <w:tcW w:w="2544" w:type="dxa"/>
            <w:tcBorders>
              <w:top w:val="single" w:color="auto" w:sz="4" w:space="0"/>
              <w:left w:val="single" w:color="auto" w:sz="4" w:space="0"/>
              <w:bottom w:val="single" w:color="auto" w:sz="4" w:space="0"/>
              <w:right w:val="single" w:color="auto" w:sz="8" w:space="0"/>
            </w:tcBorders>
            <w:noWrap w:val="0"/>
            <w:vAlign w:val="center"/>
          </w:tcPr>
          <w:p w14:paraId="3BD3F5DE">
            <w:pPr>
              <w:keepNext w:val="0"/>
              <w:keepLines w:val="0"/>
              <w:suppressLineNumbers w:val="0"/>
              <w:adjustRightInd w:val="0"/>
              <w:snapToGrid w:val="0"/>
              <w:spacing w:before="0" w:beforeAutospacing="0" w:after="0" w:afterAutospacing="0"/>
              <w:ind w:left="0" w:right="0"/>
              <w:jc w:val="center"/>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避免环境风险事故发生。</w:t>
            </w:r>
          </w:p>
        </w:tc>
      </w:tr>
      <w:tr w14:paraId="673912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8" w:type="dxa"/>
            <w:tcBorders>
              <w:top w:val="single" w:color="auto" w:sz="4" w:space="0"/>
              <w:left w:val="single" w:color="auto" w:sz="8" w:space="0"/>
              <w:bottom w:val="single" w:color="auto" w:sz="4" w:space="0"/>
              <w:right w:val="single" w:color="auto" w:sz="4" w:space="0"/>
            </w:tcBorders>
            <w:noWrap w:val="0"/>
            <w:vAlign w:val="center"/>
          </w:tcPr>
          <w:p w14:paraId="598A7AE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宋体" w:cs="Times New Roman"/>
                <w:b/>
                <w:bCs/>
                <w:color w:val="auto"/>
                <w:highlight w:val="none"/>
              </w:rPr>
              <w:t>环境监测</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14406E1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3AD3667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c>
          <w:tcPr>
            <w:tcW w:w="3853" w:type="dxa"/>
            <w:tcBorders>
              <w:top w:val="single" w:color="auto" w:sz="4" w:space="0"/>
              <w:left w:val="single" w:color="auto" w:sz="4" w:space="0"/>
              <w:bottom w:val="single" w:color="auto" w:sz="4" w:space="0"/>
              <w:right w:val="single" w:color="auto" w:sz="4" w:space="0"/>
            </w:tcBorders>
            <w:noWrap w:val="0"/>
            <w:vAlign w:val="center"/>
          </w:tcPr>
          <w:p w14:paraId="13418E61">
            <w:pPr>
              <w:keepNext w:val="0"/>
              <w:keepLines w:val="0"/>
              <w:suppressLineNumbers w:val="0"/>
              <w:adjustRightInd w:val="0"/>
              <w:snapToGrid w:val="0"/>
              <w:spacing w:before="0" w:beforeAutospacing="0" w:after="0" w:afterAutospacing="0"/>
              <w:ind w:left="0" w:right="0"/>
              <w:jc w:val="center"/>
              <w:rPr>
                <w:rFonts w:hint="eastAsia" w:ascii="宋体" w:hAnsi="宋体" w:eastAsia="宋体" w:cs="Times New Roman"/>
                <w:color w:val="auto"/>
                <w:szCs w:val="21"/>
                <w:highlight w:val="none"/>
                <w:lang w:eastAsia="zh-CN"/>
              </w:rPr>
            </w:pPr>
            <w:r>
              <w:rPr>
                <w:rFonts w:hint="eastAsia" w:ascii="宋体" w:hAnsi="宋体" w:cs="Times New Roman"/>
                <w:color w:val="auto"/>
                <w:highlight w:val="none"/>
              </w:rPr>
              <w:t>/</w:t>
            </w:r>
          </w:p>
        </w:tc>
        <w:tc>
          <w:tcPr>
            <w:tcW w:w="2544" w:type="dxa"/>
            <w:tcBorders>
              <w:top w:val="single" w:color="auto" w:sz="4" w:space="0"/>
              <w:left w:val="single" w:color="auto" w:sz="4" w:space="0"/>
              <w:bottom w:val="single" w:color="auto" w:sz="4" w:space="0"/>
              <w:right w:val="single" w:color="auto" w:sz="8" w:space="0"/>
            </w:tcBorders>
            <w:noWrap w:val="0"/>
            <w:vAlign w:val="center"/>
          </w:tcPr>
          <w:p w14:paraId="66DBAE60">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r>
      <w:tr w14:paraId="1043C8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48" w:type="dxa"/>
            <w:tcBorders>
              <w:top w:val="single" w:color="auto" w:sz="4" w:space="0"/>
              <w:left w:val="single" w:color="auto" w:sz="8" w:space="0"/>
              <w:bottom w:val="single" w:color="auto" w:sz="8" w:space="0"/>
              <w:right w:val="single" w:color="auto" w:sz="4" w:space="0"/>
            </w:tcBorders>
            <w:noWrap w:val="0"/>
            <w:vAlign w:val="center"/>
          </w:tcPr>
          <w:p w14:paraId="6829958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宋体" w:cs="Times New Roman"/>
                <w:b/>
                <w:bCs/>
                <w:color w:val="auto"/>
                <w:highlight w:val="none"/>
              </w:rPr>
              <w:t>其他</w:t>
            </w:r>
          </w:p>
        </w:tc>
        <w:tc>
          <w:tcPr>
            <w:tcW w:w="3267" w:type="dxa"/>
            <w:tcBorders>
              <w:top w:val="single" w:color="auto" w:sz="4" w:space="0"/>
              <w:left w:val="single" w:color="auto" w:sz="4" w:space="0"/>
              <w:bottom w:val="single" w:color="auto" w:sz="8" w:space="0"/>
              <w:right w:val="single" w:color="auto" w:sz="4" w:space="0"/>
            </w:tcBorders>
            <w:noWrap w:val="0"/>
            <w:vAlign w:val="center"/>
          </w:tcPr>
          <w:p w14:paraId="2E48555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c>
          <w:tcPr>
            <w:tcW w:w="3562" w:type="dxa"/>
            <w:tcBorders>
              <w:top w:val="single" w:color="auto" w:sz="4" w:space="0"/>
              <w:left w:val="single" w:color="auto" w:sz="4" w:space="0"/>
              <w:bottom w:val="single" w:color="auto" w:sz="8" w:space="0"/>
              <w:right w:val="single" w:color="auto" w:sz="4" w:space="0"/>
            </w:tcBorders>
            <w:noWrap w:val="0"/>
            <w:vAlign w:val="center"/>
          </w:tcPr>
          <w:p w14:paraId="252A8BC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c>
          <w:tcPr>
            <w:tcW w:w="3853" w:type="dxa"/>
            <w:tcBorders>
              <w:top w:val="single" w:color="auto" w:sz="4" w:space="0"/>
              <w:left w:val="single" w:color="auto" w:sz="4" w:space="0"/>
              <w:bottom w:val="single" w:color="auto" w:sz="8" w:space="0"/>
              <w:right w:val="single" w:color="auto" w:sz="4" w:space="0"/>
            </w:tcBorders>
            <w:noWrap w:val="0"/>
            <w:vAlign w:val="center"/>
          </w:tcPr>
          <w:p w14:paraId="784420F0">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c>
          <w:tcPr>
            <w:tcW w:w="2544" w:type="dxa"/>
            <w:tcBorders>
              <w:top w:val="single" w:color="auto" w:sz="4" w:space="0"/>
              <w:left w:val="single" w:color="auto" w:sz="4" w:space="0"/>
              <w:bottom w:val="single" w:color="auto" w:sz="8" w:space="0"/>
              <w:right w:val="single" w:color="auto" w:sz="8" w:space="0"/>
            </w:tcBorders>
            <w:noWrap w:val="0"/>
            <w:vAlign w:val="center"/>
          </w:tcPr>
          <w:p w14:paraId="32E28C5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w:t>
            </w:r>
          </w:p>
        </w:tc>
      </w:tr>
    </w:tbl>
    <w:p w14:paraId="3F8D80BC">
      <w:pPr>
        <w:pStyle w:val="26"/>
        <w:spacing w:before="0" w:beforeAutospacing="0" w:after="0" w:afterAutospacing="0" w:line="360" w:lineRule="auto"/>
        <w:outlineLvl w:val="0"/>
        <w:rPr>
          <w:rFonts w:ascii="黑体" w:hAnsi="黑体" w:eastAsia="黑体"/>
          <w:snapToGrid w:val="0"/>
          <w:color w:val="auto"/>
          <w:sz w:val="30"/>
          <w:szCs w:val="30"/>
          <w:highlight w:val="none"/>
        </w:rPr>
        <w:sectPr>
          <w:pgSz w:w="16838" w:h="11905" w:orient="landscape"/>
          <w:pgMar w:top="1701" w:right="1440" w:bottom="1701" w:left="1440" w:header="851" w:footer="1077" w:gutter="0"/>
          <w:pgNumType w:fmt="decimal"/>
          <w:cols w:space="720" w:num="1"/>
          <w:docGrid w:type="lines" w:linePitch="317" w:charSpace="0"/>
        </w:sectPr>
      </w:pPr>
    </w:p>
    <w:p w14:paraId="1EA4DE3B">
      <w:pPr>
        <w:pStyle w:val="26"/>
        <w:spacing w:before="253" w:beforeLines="80" w:beforeAutospacing="0"/>
        <w:jc w:val="center"/>
        <w:outlineLvl w:val="0"/>
        <w:rPr>
          <w:b/>
          <w:bCs/>
          <w:color w:val="auto"/>
          <w:sz w:val="30"/>
          <w:szCs w:val="30"/>
          <w:highlight w:val="none"/>
        </w:rPr>
      </w:pPr>
      <w:bookmarkStart w:id="63" w:name="_Toc19266"/>
      <w:r>
        <w:rPr>
          <w:rFonts w:hint="eastAsia"/>
          <w:b/>
          <w:bCs/>
          <w:color w:val="auto"/>
          <w:sz w:val="30"/>
          <w:szCs w:val="30"/>
          <w:highlight w:val="none"/>
        </w:rPr>
        <w:t>七、结论</w:t>
      </w:r>
      <w:bookmarkEnd w:id="63"/>
    </w:p>
    <w:tbl>
      <w:tblPr>
        <w:tblStyle w:val="31"/>
        <w:tblW w:w="87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39"/>
      </w:tblGrid>
      <w:tr w14:paraId="4B0ED4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9" w:type="dxa"/>
            <w:noWrap w:val="0"/>
            <w:vAlign w:val="top"/>
          </w:tcPr>
          <w:p w14:paraId="36DC517B">
            <w:pPr>
              <w:keepNext w:val="0"/>
              <w:keepLines w:val="0"/>
              <w:suppressLineNumbers w:val="0"/>
              <w:spacing w:before="0" w:beforeAutospacing="0" w:after="0" w:afterAutospacing="0" w:line="360" w:lineRule="auto"/>
              <w:ind w:left="0" w:right="0" w:firstLine="480"/>
              <w:jc w:val="both"/>
              <w:rPr>
                <w:rFonts w:hint="default" w:ascii="Times New Roman" w:hAnsi="Times New Roman" w:cs="Times New Roman"/>
                <w:color w:val="auto"/>
                <w:sz w:val="24"/>
              </w:rPr>
            </w:pPr>
            <w:r>
              <w:rPr>
                <w:rFonts w:hint="default" w:ascii="Times New Roman" w:hAnsi="Times New Roman" w:cs="Times New Roman"/>
                <w:color w:val="auto"/>
                <w:sz w:val="24"/>
              </w:rPr>
              <w:t>通过对该项目环境影响分析可得如下结论：</w:t>
            </w:r>
          </w:p>
          <w:p w14:paraId="72D7DF2F">
            <w:pPr>
              <w:keepNext w:val="0"/>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rPr>
              <w:t>本项目建设符合国家当前产业政策，选址合理可行，平面布置合理。项目选址不涉及自然保护区、风景名胜区、世界文化和自然遗产地、饮用水水源保护区</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生态保护红线</w:t>
            </w:r>
            <w:r>
              <w:rPr>
                <w:rFonts w:hint="eastAsia" w:ascii="Times New Roman" w:hAnsi="Times New Roman" w:cs="Times New Roman"/>
                <w:color w:val="auto"/>
                <w:sz w:val="24"/>
                <w:szCs w:val="24"/>
              </w:rPr>
              <w:t>。项目运营期产生的废气、废水、噪声、固废通过采取相应的措施处理、处置后，能够达标排放，不会对项目区及外环境造成大的影响</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对生态环境影响较小</w:t>
            </w:r>
            <w:r>
              <w:rPr>
                <w:rFonts w:hint="eastAsia" w:ascii="Times New Roman" w:hAnsi="Times New Roman" w:cs="Times New Roman"/>
                <w:color w:val="auto"/>
                <w:sz w:val="24"/>
                <w:szCs w:val="24"/>
              </w:rPr>
              <w:t>。通过分析，项目采取的污染控制措施有效、可行。在认真落实环评中提出的污染防治对策措施</w:t>
            </w:r>
            <w:r>
              <w:rPr>
                <w:rFonts w:hint="eastAsia" w:ascii="Times New Roman" w:hAnsi="Times New Roman" w:cs="Times New Roman"/>
                <w:color w:val="auto"/>
                <w:sz w:val="24"/>
                <w:szCs w:val="24"/>
                <w:lang w:val="en-US" w:eastAsia="zh-CN"/>
              </w:rPr>
              <w:t>及生态保护措施</w:t>
            </w:r>
            <w:r>
              <w:rPr>
                <w:rFonts w:hint="eastAsia" w:ascii="Times New Roman" w:hAnsi="Times New Roman" w:cs="Times New Roman"/>
                <w:color w:val="auto"/>
                <w:sz w:val="24"/>
                <w:szCs w:val="24"/>
              </w:rPr>
              <w:t>情况下，项目建设不会降低和改变该区域的环境质量和环境功能。从环境保护角度看，项目的建设是可行的</w:t>
            </w:r>
            <w:r>
              <w:rPr>
                <w:rFonts w:hint="eastAsia" w:ascii="Times New Roman" w:hAnsi="Times New Roman" w:cs="Times New Roman"/>
                <w:color w:val="auto"/>
                <w:sz w:val="24"/>
                <w:szCs w:val="24"/>
                <w:lang w:eastAsia="zh-CN"/>
              </w:rPr>
              <w:t>。</w:t>
            </w:r>
          </w:p>
          <w:p w14:paraId="0A73ECBC">
            <w:pPr>
              <w:keepNext w:val="0"/>
              <w:keepLines w:val="0"/>
              <w:suppressLineNumbers w:val="0"/>
              <w:spacing w:before="0" w:beforeAutospacing="0" w:after="0" w:afterAutospacing="0"/>
              <w:ind w:left="0" w:right="0"/>
              <w:rPr>
                <w:rFonts w:hint="eastAsia" w:ascii="Times New Roman" w:hAnsi="Times New Roman" w:cs="Times New Roman"/>
                <w:color w:val="auto"/>
                <w:lang w:eastAsia="zh-CN"/>
              </w:rPr>
            </w:pPr>
          </w:p>
          <w:p w14:paraId="3670A761">
            <w:pPr>
              <w:pStyle w:val="10"/>
              <w:keepNext w:val="0"/>
              <w:keepLines w:val="0"/>
              <w:suppressLineNumbers w:val="0"/>
              <w:spacing w:beforeAutospacing="0" w:afterAutospacing="0"/>
              <w:ind w:left="0"/>
              <w:rPr>
                <w:rFonts w:hint="eastAsia" w:ascii="Times New Roman" w:hAnsi="Times New Roman" w:cs="Times New Roman"/>
                <w:color w:val="auto"/>
                <w:lang w:eastAsia="zh-CN"/>
              </w:rPr>
            </w:pPr>
          </w:p>
          <w:p w14:paraId="060E8660">
            <w:pPr>
              <w:keepNext w:val="0"/>
              <w:keepLines w:val="0"/>
              <w:suppressLineNumbers w:val="0"/>
              <w:spacing w:before="0" w:beforeAutospacing="0" w:after="0" w:afterAutospacing="0"/>
              <w:ind w:left="0" w:right="0"/>
              <w:rPr>
                <w:rFonts w:hint="eastAsia" w:ascii="Times New Roman" w:hAnsi="Times New Roman" w:cs="Times New Roman"/>
                <w:color w:val="auto"/>
                <w:lang w:eastAsia="zh-CN"/>
              </w:rPr>
            </w:pPr>
          </w:p>
          <w:p w14:paraId="63B05E53">
            <w:pPr>
              <w:pStyle w:val="10"/>
              <w:keepNext w:val="0"/>
              <w:keepLines w:val="0"/>
              <w:suppressLineNumbers w:val="0"/>
              <w:spacing w:beforeAutospacing="0" w:afterAutospacing="0"/>
              <w:ind w:left="0"/>
              <w:rPr>
                <w:rFonts w:hint="eastAsia" w:ascii="Times New Roman" w:hAnsi="Times New Roman" w:cs="Times New Roman"/>
                <w:color w:val="auto"/>
                <w:lang w:eastAsia="zh-CN"/>
              </w:rPr>
            </w:pPr>
          </w:p>
          <w:p w14:paraId="1E240470">
            <w:pPr>
              <w:keepNext w:val="0"/>
              <w:keepLines w:val="0"/>
              <w:suppressLineNumbers w:val="0"/>
              <w:spacing w:before="0" w:beforeAutospacing="0" w:after="0" w:afterAutospacing="0"/>
              <w:ind w:left="0" w:right="0"/>
              <w:rPr>
                <w:rFonts w:hint="eastAsia" w:ascii="Times New Roman" w:hAnsi="Times New Roman" w:cs="Times New Roman"/>
                <w:color w:val="auto"/>
                <w:lang w:eastAsia="zh-CN"/>
              </w:rPr>
            </w:pPr>
          </w:p>
          <w:p w14:paraId="40999D18">
            <w:pPr>
              <w:pStyle w:val="10"/>
              <w:keepNext w:val="0"/>
              <w:keepLines w:val="0"/>
              <w:suppressLineNumbers w:val="0"/>
              <w:spacing w:beforeAutospacing="0" w:afterAutospacing="0"/>
              <w:ind w:left="0"/>
              <w:rPr>
                <w:rFonts w:hint="eastAsia" w:ascii="Times New Roman" w:hAnsi="Times New Roman" w:cs="Times New Roman"/>
                <w:color w:val="auto"/>
                <w:lang w:eastAsia="zh-CN"/>
              </w:rPr>
            </w:pPr>
          </w:p>
          <w:p w14:paraId="199150B7">
            <w:pPr>
              <w:keepNext w:val="0"/>
              <w:keepLines w:val="0"/>
              <w:suppressLineNumbers w:val="0"/>
              <w:spacing w:before="0" w:beforeAutospacing="0" w:after="0" w:afterAutospacing="0"/>
              <w:ind w:left="0" w:right="0"/>
              <w:rPr>
                <w:rFonts w:hint="eastAsia" w:ascii="Times New Roman" w:hAnsi="Times New Roman" w:cs="Times New Roman"/>
                <w:color w:val="auto"/>
                <w:lang w:eastAsia="zh-CN"/>
              </w:rPr>
            </w:pPr>
          </w:p>
          <w:p w14:paraId="040AD333">
            <w:pPr>
              <w:pStyle w:val="10"/>
              <w:keepNext w:val="0"/>
              <w:keepLines w:val="0"/>
              <w:suppressLineNumbers w:val="0"/>
              <w:spacing w:beforeAutospacing="0" w:afterAutospacing="0"/>
              <w:ind w:left="0"/>
              <w:rPr>
                <w:rFonts w:hint="eastAsia" w:ascii="Times New Roman" w:hAnsi="Times New Roman" w:cs="Times New Roman"/>
                <w:color w:val="auto"/>
                <w:lang w:eastAsia="zh-CN"/>
              </w:rPr>
            </w:pPr>
          </w:p>
          <w:p w14:paraId="7C52E531">
            <w:pPr>
              <w:keepNext w:val="0"/>
              <w:keepLines w:val="0"/>
              <w:suppressLineNumbers w:val="0"/>
              <w:spacing w:before="0" w:beforeAutospacing="0" w:after="0" w:afterAutospacing="0"/>
              <w:ind w:left="0" w:right="0"/>
              <w:rPr>
                <w:rFonts w:hint="eastAsia" w:ascii="Times New Roman" w:hAnsi="Times New Roman" w:cs="Times New Roman"/>
                <w:color w:val="auto"/>
                <w:lang w:eastAsia="zh-CN"/>
              </w:rPr>
            </w:pPr>
          </w:p>
          <w:p w14:paraId="7BEF8EF4">
            <w:pPr>
              <w:pStyle w:val="10"/>
              <w:keepNext w:val="0"/>
              <w:keepLines w:val="0"/>
              <w:suppressLineNumbers w:val="0"/>
              <w:spacing w:beforeAutospacing="0" w:afterAutospacing="0"/>
              <w:ind w:left="0"/>
              <w:rPr>
                <w:rFonts w:hint="eastAsia" w:ascii="Times New Roman" w:hAnsi="Times New Roman" w:cs="Times New Roman"/>
                <w:color w:val="auto"/>
                <w:lang w:eastAsia="zh-CN"/>
              </w:rPr>
            </w:pPr>
          </w:p>
          <w:p w14:paraId="4CEA5FE8">
            <w:pPr>
              <w:keepNext w:val="0"/>
              <w:keepLines w:val="0"/>
              <w:suppressLineNumbers w:val="0"/>
              <w:spacing w:before="0" w:beforeAutospacing="0" w:after="0" w:afterAutospacing="0"/>
              <w:ind w:left="0" w:right="0"/>
              <w:rPr>
                <w:rFonts w:hint="eastAsia" w:ascii="Times New Roman" w:hAnsi="Times New Roman" w:cs="Times New Roman"/>
                <w:color w:val="auto"/>
                <w:lang w:eastAsia="zh-CN"/>
              </w:rPr>
            </w:pPr>
          </w:p>
          <w:p w14:paraId="2777E982">
            <w:pPr>
              <w:pStyle w:val="10"/>
              <w:keepNext w:val="0"/>
              <w:keepLines w:val="0"/>
              <w:suppressLineNumbers w:val="0"/>
              <w:spacing w:beforeAutospacing="0" w:afterAutospacing="0"/>
              <w:ind w:left="0"/>
              <w:rPr>
                <w:rFonts w:hint="eastAsia" w:ascii="Times New Roman" w:hAnsi="Times New Roman" w:cs="Times New Roman"/>
                <w:color w:val="auto"/>
                <w:lang w:eastAsia="zh-CN"/>
              </w:rPr>
            </w:pPr>
          </w:p>
          <w:p w14:paraId="7215CF2C">
            <w:pPr>
              <w:keepNext w:val="0"/>
              <w:keepLines w:val="0"/>
              <w:suppressLineNumbers w:val="0"/>
              <w:spacing w:before="0" w:beforeAutospacing="0" w:after="0" w:afterAutospacing="0"/>
              <w:ind w:left="0" w:right="0"/>
              <w:rPr>
                <w:rFonts w:hint="eastAsia" w:ascii="Times New Roman" w:hAnsi="Times New Roman" w:cs="Times New Roman"/>
                <w:color w:val="auto"/>
                <w:lang w:eastAsia="zh-CN"/>
              </w:rPr>
            </w:pPr>
          </w:p>
          <w:p w14:paraId="5384B696">
            <w:pPr>
              <w:pStyle w:val="10"/>
              <w:keepNext w:val="0"/>
              <w:keepLines w:val="0"/>
              <w:suppressLineNumbers w:val="0"/>
              <w:spacing w:beforeAutospacing="0" w:afterAutospacing="0"/>
              <w:ind w:left="0"/>
              <w:rPr>
                <w:rFonts w:hint="eastAsia" w:ascii="Times New Roman" w:hAnsi="Times New Roman" w:cs="Times New Roman"/>
                <w:color w:val="auto"/>
                <w:lang w:eastAsia="zh-CN"/>
              </w:rPr>
            </w:pPr>
          </w:p>
          <w:p w14:paraId="04EEBD32">
            <w:pPr>
              <w:keepNext w:val="0"/>
              <w:keepLines w:val="0"/>
              <w:suppressLineNumbers w:val="0"/>
              <w:spacing w:before="0" w:beforeAutospacing="0" w:after="0" w:afterAutospacing="0"/>
              <w:ind w:left="0" w:right="0"/>
              <w:rPr>
                <w:rFonts w:hint="eastAsia" w:ascii="Times New Roman" w:hAnsi="Times New Roman" w:cs="Times New Roman"/>
                <w:color w:val="auto"/>
                <w:lang w:eastAsia="zh-CN"/>
              </w:rPr>
            </w:pPr>
          </w:p>
          <w:p w14:paraId="77754AB3">
            <w:pPr>
              <w:pStyle w:val="10"/>
              <w:keepNext w:val="0"/>
              <w:keepLines w:val="0"/>
              <w:suppressLineNumbers w:val="0"/>
              <w:spacing w:beforeAutospacing="0" w:afterAutospacing="0"/>
              <w:ind w:left="0"/>
              <w:rPr>
                <w:rFonts w:hint="eastAsia" w:ascii="Times New Roman" w:hAnsi="Times New Roman" w:cs="Times New Roman"/>
                <w:color w:val="auto"/>
                <w:lang w:eastAsia="zh-CN"/>
              </w:rPr>
            </w:pPr>
          </w:p>
          <w:p w14:paraId="5C646C63">
            <w:pPr>
              <w:keepNext w:val="0"/>
              <w:keepLines w:val="0"/>
              <w:suppressLineNumbers w:val="0"/>
              <w:spacing w:before="0" w:beforeAutospacing="0" w:after="0" w:afterAutospacing="0"/>
              <w:ind w:left="0" w:right="0"/>
              <w:rPr>
                <w:rFonts w:hint="eastAsia" w:ascii="Times New Roman" w:hAnsi="Times New Roman" w:cs="Times New Roman"/>
                <w:color w:val="auto"/>
                <w:lang w:eastAsia="zh-CN"/>
              </w:rPr>
            </w:pPr>
          </w:p>
          <w:p w14:paraId="28AE7B4A">
            <w:pPr>
              <w:keepNext w:val="0"/>
              <w:keepLines w:val="0"/>
              <w:suppressLineNumbers w:val="0"/>
              <w:spacing w:before="0" w:beforeAutospacing="0" w:after="0" w:afterAutospacing="0"/>
              <w:ind w:left="0" w:right="0"/>
              <w:rPr>
                <w:rFonts w:hint="eastAsia" w:ascii="Times New Roman" w:hAnsi="Times New Roman" w:cs="Times New Roman"/>
                <w:color w:val="auto"/>
                <w:lang w:eastAsia="zh-CN"/>
              </w:rPr>
            </w:pPr>
          </w:p>
          <w:p w14:paraId="63510169">
            <w:pPr>
              <w:pStyle w:val="10"/>
              <w:keepNext w:val="0"/>
              <w:keepLines w:val="0"/>
              <w:suppressLineNumbers w:val="0"/>
              <w:spacing w:beforeAutospacing="0" w:afterAutospacing="0"/>
              <w:ind w:left="0"/>
              <w:rPr>
                <w:rFonts w:hint="eastAsia" w:ascii="Times New Roman" w:hAnsi="Times New Roman" w:cs="Times New Roman"/>
                <w:color w:val="auto"/>
                <w:lang w:eastAsia="zh-CN"/>
              </w:rPr>
            </w:pPr>
          </w:p>
          <w:p w14:paraId="50BC56D0">
            <w:pPr>
              <w:keepNext w:val="0"/>
              <w:keepLines w:val="0"/>
              <w:suppressLineNumbers w:val="0"/>
              <w:spacing w:before="0" w:beforeAutospacing="0" w:after="0" w:afterAutospacing="0"/>
              <w:ind w:left="0" w:right="0"/>
              <w:rPr>
                <w:rFonts w:hint="eastAsia" w:ascii="Times New Roman" w:hAnsi="Times New Roman" w:cs="Times New Roman"/>
                <w:color w:val="auto"/>
                <w:lang w:eastAsia="zh-CN"/>
              </w:rPr>
            </w:pPr>
          </w:p>
          <w:p w14:paraId="0D690182">
            <w:pPr>
              <w:pStyle w:val="10"/>
              <w:keepNext w:val="0"/>
              <w:keepLines w:val="0"/>
              <w:suppressLineNumbers w:val="0"/>
              <w:spacing w:beforeAutospacing="0" w:afterAutospacing="0"/>
              <w:ind w:left="0"/>
              <w:rPr>
                <w:rFonts w:hint="eastAsia" w:ascii="Times New Roman" w:hAnsi="Times New Roman" w:cs="Times New Roman"/>
                <w:color w:val="auto"/>
                <w:lang w:eastAsia="zh-CN"/>
              </w:rPr>
            </w:pPr>
          </w:p>
          <w:p w14:paraId="44CFAA67">
            <w:pPr>
              <w:keepNext w:val="0"/>
              <w:keepLines w:val="0"/>
              <w:suppressLineNumbers w:val="0"/>
              <w:spacing w:before="0" w:beforeAutospacing="0" w:after="0" w:afterAutospacing="0"/>
              <w:ind w:left="0" w:right="0"/>
              <w:rPr>
                <w:rFonts w:hint="eastAsia" w:ascii="Times New Roman" w:hAnsi="Times New Roman" w:cs="Times New Roman"/>
                <w:color w:val="auto"/>
                <w:lang w:eastAsia="zh-CN"/>
              </w:rPr>
            </w:pPr>
          </w:p>
        </w:tc>
      </w:tr>
    </w:tbl>
    <w:p w14:paraId="6E301BC7">
      <w:pPr>
        <w:rPr>
          <w:rFonts w:ascii="宋体"/>
          <w:color w:val="auto"/>
          <w:highlight w:val="none"/>
        </w:rPr>
        <w:sectPr>
          <w:pgSz w:w="11905" w:h="16838"/>
          <w:pgMar w:top="1440" w:right="1701" w:bottom="1440" w:left="1701" w:header="851" w:footer="1077" w:gutter="0"/>
          <w:pgNumType w:fmt="decimal"/>
          <w:cols w:space="720" w:num="1"/>
          <w:docGrid w:type="lines" w:linePitch="317" w:charSpace="0"/>
        </w:sectPr>
      </w:pPr>
    </w:p>
    <w:p w14:paraId="6FB2F539">
      <w:pPr>
        <w:pStyle w:val="26"/>
        <w:adjustRightInd w:val="0"/>
        <w:snapToGrid w:val="0"/>
        <w:spacing w:before="0" w:beforeAutospacing="0" w:after="0" w:afterAutospacing="0"/>
        <w:outlineLvl w:val="0"/>
        <w:rPr>
          <w:rFonts w:ascii="黑体" w:hAnsi="黑体" w:eastAsia="黑体"/>
          <w:snapToGrid w:val="0"/>
          <w:color w:val="auto"/>
          <w:sz w:val="28"/>
          <w:szCs w:val="28"/>
          <w:highlight w:val="none"/>
        </w:rPr>
      </w:pPr>
      <w:bookmarkStart w:id="64" w:name="_Toc32205"/>
      <w:bookmarkStart w:id="65" w:name="_Toc3348"/>
      <w:r>
        <w:rPr>
          <w:rFonts w:hint="eastAsia" w:ascii="黑体" w:hAnsi="黑体" w:eastAsia="黑体"/>
          <w:snapToGrid w:val="0"/>
          <w:color w:val="auto"/>
          <w:sz w:val="28"/>
          <w:szCs w:val="28"/>
          <w:highlight w:val="none"/>
        </w:rPr>
        <w:t>附表</w:t>
      </w:r>
      <w:bookmarkEnd w:id="64"/>
      <w:bookmarkEnd w:id="65"/>
    </w:p>
    <w:p w14:paraId="3230BD3E">
      <w:pPr>
        <w:pStyle w:val="26"/>
        <w:spacing w:before="0" w:beforeAutospacing="0" w:after="0" w:afterAutospacing="0" w:line="360" w:lineRule="auto"/>
        <w:jc w:val="center"/>
        <w:outlineLvl w:val="0"/>
        <w:rPr>
          <w:rFonts w:hint="eastAsia" w:ascii="宋体" w:hAnsi="宋体" w:eastAsia="宋体" w:cs="宋体"/>
          <w:b/>
          <w:bCs/>
          <w:snapToGrid w:val="0"/>
          <w:color w:val="auto"/>
          <w:sz w:val="38"/>
          <w:szCs w:val="38"/>
          <w:highlight w:val="none"/>
        </w:rPr>
      </w:pPr>
      <w:bookmarkStart w:id="66" w:name="_Toc30909"/>
      <w:bookmarkStart w:id="67" w:name="_Toc4284"/>
      <w:r>
        <w:rPr>
          <w:rFonts w:hint="eastAsia" w:ascii="宋体" w:hAnsi="宋体" w:eastAsia="宋体" w:cs="宋体"/>
          <w:b/>
          <w:bCs/>
          <w:snapToGrid w:val="0"/>
          <w:color w:val="auto"/>
          <w:sz w:val="28"/>
          <w:szCs w:val="28"/>
          <w:highlight w:val="none"/>
        </w:rPr>
        <w:t>建设项目污染物排放量汇总表</w:t>
      </w:r>
      <w:bookmarkEnd w:id="66"/>
      <w:bookmarkEnd w:id="67"/>
    </w:p>
    <w:tbl>
      <w:tblPr>
        <w:tblStyle w:val="31"/>
        <w:tblW w:w="151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925"/>
        <w:gridCol w:w="1623"/>
        <w:gridCol w:w="1298"/>
        <w:gridCol w:w="2181"/>
        <w:gridCol w:w="2285"/>
        <w:gridCol w:w="1462"/>
        <w:gridCol w:w="2183"/>
        <w:gridCol w:w="1405"/>
      </w:tblGrid>
      <w:tr w14:paraId="6A33D9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83" w:hRule="atLeast"/>
          <w:jc w:val="center"/>
        </w:trPr>
        <w:tc>
          <w:tcPr>
            <w:tcW w:w="747" w:type="dxa"/>
            <w:tcBorders>
              <w:tl2br w:val="single" w:color="auto" w:sz="4" w:space="0"/>
            </w:tcBorders>
            <w:noWrap w:val="0"/>
            <w:tcMar>
              <w:left w:w="28" w:type="dxa"/>
              <w:right w:w="28" w:type="dxa"/>
            </w:tcMar>
            <w:vAlign w:val="center"/>
          </w:tcPr>
          <w:p w14:paraId="7253D2A1">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eastAsia" w:ascii="Times New Roman" w:hAnsi="Times New Roman" w:cs="Times New Roman"/>
                <w:snapToGrid w:val="0"/>
                <w:color w:val="auto"/>
                <w:spacing w:val="-6"/>
                <w:kern w:val="21"/>
                <w:sz w:val="21"/>
                <w:szCs w:val="21"/>
                <w:highlight w:val="none"/>
              </w:rPr>
              <w:t xml:space="preserve">   </w:t>
            </w:r>
            <w:r>
              <w:rPr>
                <w:rFonts w:hint="default" w:ascii="Times New Roman" w:hAnsi="Times New Roman" w:cs="Times New Roman"/>
                <w:snapToGrid w:val="0"/>
                <w:color w:val="auto"/>
                <w:spacing w:val="-6"/>
                <w:kern w:val="21"/>
                <w:sz w:val="21"/>
                <w:szCs w:val="21"/>
                <w:highlight w:val="none"/>
              </w:rPr>
              <w:t>项目</w:t>
            </w:r>
          </w:p>
          <w:p w14:paraId="472C59CD">
            <w:pPr>
              <w:pStyle w:val="64"/>
              <w:keepNext w:val="0"/>
              <w:keepLines w:val="0"/>
              <w:suppressLineNumbers w:val="0"/>
              <w:spacing w:before="0" w:beforeLines="0" w:beforeAutospacing="0" w:after="0" w:afterLines="0" w:afterAutospacing="0" w:line="240" w:lineRule="auto"/>
              <w:ind w:left="0" w:right="0"/>
              <w:jc w:val="both"/>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分类</w:t>
            </w:r>
          </w:p>
        </w:tc>
        <w:tc>
          <w:tcPr>
            <w:tcW w:w="1925" w:type="dxa"/>
            <w:noWrap w:val="0"/>
            <w:tcMar>
              <w:left w:w="28" w:type="dxa"/>
              <w:right w:w="28" w:type="dxa"/>
            </w:tcMar>
            <w:vAlign w:val="center"/>
          </w:tcPr>
          <w:p w14:paraId="131705BC">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污染物名称</w:t>
            </w:r>
          </w:p>
        </w:tc>
        <w:tc>
          <w:tcPr>
            <w:tcW w:w="1623" w:type="dxa"/>
            <w:noWrap w:val="0"/>
            <w:tcMar>
              <w:left w:w="28" w:type="dxa"/>
              <w:right w:w="28" w:type="dxa"/>
            </w:tcMar>
            <w:vAlign w:val="center"/>
          </w:tcPr>
          <w:p w14:paraId="69734A53">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现有工程</w:t>
            </w:r>
          </w:p>
          <w:p w14:paraId="3F01A97D">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排放量（固体废物产生量）</w:t>
            </w:r>
            <w:r>
              <w:rPr>
                <w:rFonts w:hint="default" w:ascii="Times New Roman" w:hAnsi="Times New Roman" w:cs="Times New Roman"/>
                <w:snapToGrid w:val="0"/>
                <w:color w:val="auto"/>
                <w:spacing w:val="-6"/>
                <w:kern w:val="21"/>
                <w:sz w:val="21"/>
                <w:szCs w:val="21"/>
                <w:highlight w:val="none"/>
              </w:rPr>
              <w:fldChar w:fldCharType="begin"/>
            </w:r>
            <w:r>
              <w:rPr>
                <w:rFonts w:hint="default" w:ascii="Times New Roman" w:hAnsi="Times New Roman" w:cs="Times New Roman"/>
                <w:snapToGrid w:val="0"/>
                <w:color w:val="auto"/>
                <w:spacing w:val="-6"/>
                <w:kern w:val="21"/>
                <w:sz w:val="21"/>
                <w:szCs w:val="21"/>
                <w:highlight w:val="none"/>
              </w:rPr>
              <w:instrText xml:space="preserve"> = 1 \* GB3 \* MERGEFORMAT </w:instrText>
            </w:r>
            <w:r>
              <w:rPr>
                <w:rFonts w:hint="default" w:ascii="Times New Roman" w:hAnsi="Times New Roman" w:cs="Times New Roman"/>
                <w:snapToGrid w:val="0"/>
                <w:color w:val="auto"/>
                <w:spacing w:val="-6"/>
                <w:kern w:val="21"/>
                <w:sz w:val="21"/>
                <w:szCs w:val="21"/>
                <w:highlight w:val="none"/>
              </w:rPr>
              <w:fldChar w:fldCharType="separate"/>
            </w:r>
            <w:r>
              <w:rPr>
                <w:rFonts w:hint="default" w:ascii="Times New Roman" w:hAnsi="Times New Roman" w:cs="Times New Roman"/>
                <w:color w:val="auto"/>
                <w:kern w:val="2"/>
                <w:sz w:val="21"/>
                <w:szCs w:val="21"/>
                <w:highlight w:val="none"/>
              </w:rPr>
              <w:t>①</w:t>
            </w:r>
            <w:r>
              <w:rPr>
                <w:rFonts w:hint="default" w:ascii="Times New Roman" w:hAnsi="Times New Roman" w:cs="Times New Roman"/>
                <w:snapToGrid w:val="0"/>
                <w:color w:val="auto"/>
                <w:spacing w:val="-6"/>
                <w:kern w:val="21"/>
                <w:sz w:val="21"/>
                <w:szCs w:val="21"/>
                <w:highlight w:val="none"/>
              </w:rPr>
              <w:fldChar w:fldCharType="end"/>
            </w:r>
          </w:p>
        </w:tc>
        <w:tc>
          <w:tcPr>
            <w:tcW w:w="1298" w:type="dxa"/>
            <w:noWrap w:val="0"/>
            <w:tcMar>
              <w:left w:w="28" w:type="dxa"/>
              <w:right w:w="28" w:type="dxa"/>
            </w:tcMar>
            <w:vAlign w:val="center"/>
          </w:tcPr>
          <w:p w14:paraId="4839DA1B">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现有工程</w:t>
            </w:r>
          </w:p>
          <w:p w14:paraId="6C1BE0F4">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许可排放量</w:t>
            </w:r>
            <w:r>
              <w:rPr>
                <w:rFonts w:hint="default" w:ascii="Times New Roman" w:hAnsi="Times New Roman" w:cs="Times New Roman"/>
                <w:snapToGrid w:val="0"/>
                <w:color w:val="auto"/>
                <w:spacing w:val="-6"/>
                <w:kern w:val="21"/>
                <w:sz w:val="21"/>
                <w:szCs w:val="21"/>
                <w:highlight w:val="none"/>
              </w:rPr>
              <w:fldChar w:fldCharType="begin"/>
            </w:r>
            <w:r>
              <w:rPr>
                <w:rFonts w:hint="default" w:ascii="Times New Roman" w:hAnsi="Times New Roman" w:cs="Times New Roman"/>
                <w:snapToGrid w:val="0"/>
                <w:color w:val="auto"/>
                <w:spacing w:val="-6"/>
                <w:kern w:val="21"/>
                <w:sz w:val="21"/>
                <w:szCs w:val="21"/>
                <w:highlight w:val="none"/>
              </w:rPr>
              <w:instrText xml:space="preserve"> = 2 \* GB3 \* MERGEFORMAT </w:instrText>
            </w:r>
            <w:r>
              <w:rPr>
                <w:rFonts w:hint="default" w:ascii="Times New Roman" w:hAnsi="Times New Roman" w:cs="Times New Roman"/>
                <w:snapToGrid w:val="0"/>
                <w:color w:val="auto"/>
                <w:spacing w:val="-6"/>
                <w:kern w:val="21"/>
                <w:sz w:val="21"/>
                <w:szCs w:val="21"/>
                <w:highlight w:val="none"/>
              </w:rPr>
              <w:fldChar w:fldCharType="separate"/>
            </w:r>
            <w:r>
              <w:rPr>
                <w:rFonts w:hint="default" w:ascii="Times New Roman" w:hAnsi="Times New Roman" w:cs="Times New Roman"/>
                <w:snapToGrid w:val="0"/>
                <w:color w:val="auto"/>
                <w:spacing w:val="-6"/>
                <w:kern w:val="21"/>
                <w:sz w:val="21"/>
                <w:szCs w:val="21"/>
                <w:highlight w:val="none"/>
              </w:rPr>
              <w:t>②</w:t>
            </w:r>
            <w:r>
              <w:rPr>
                <w:rFonts w:hint="default" w:ascii="Times New Roman" w:hAnsi="Times New Roman" w:cs="Times New Roman"/>
                <w:snapToGrid w:val="0"/>
                <w:color w:val="auto"/>
                <w:spacing w:val="-6"/>
                <w:kern w:val="21"/>
                <w:sz w:val="21"/>
                <w:szCs w:val="21"/>
                <w:highlight w:val="none"/>
              </w:rPr>
              <w:fldChar w:fldCharType="end"/>
            </w:r>
          </w:p>
        </w:tc>
        <w:tc>
          <w:tcPr>
            <w:tcW w:w="2181" w:type="dxa"/>
            <w:noWrap w:val="0"/>
            <w:tcMar>
              <w:left w:w="28" w:type="dxa"/>
              <w:right w:w="28" w:type="dxa"/>
            </w:tcMar>
            <w:vAlign w:val="center"/>
          </w:tcPr>
          <w:p w14:paraId="5E17C64A">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在建工程</w:t>
            </w:r>
          </w:p>
          <w:p w14:paraId="5DB4790B">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排放量（固体废物产生量）</w:t>
            </w:r>
            <w:r>
              <w:rPr>
                <w:rFonts w:hint="default" w:ascii="Times New Roman" w:hAnsi="Times New Roman" w:cs="Times New Roman"/>
                <w:snapToGrid w:val="0"/>
                <w:color w:val="auto"/>
                <w:spacing w:val="-6"/>
                <w:kern w:val="21"/>
                <w:sz w:val="21"/>
                <w:szCs w:val="21"/>
                <w:highlight w:val="none"/>
              </w:rPr>
              <w:fldChar w:fldCharType="begin"/>
            </w:r>
            <w:r>
              <w:rPr>
                <w:rFonts w:hint="default" w:ascii="Times New Roman" w:hAnsi="Times New Roman" w:cs="Times New Roman"/>
                <w:snapToGrid w:val="0"/>
                <w:color w:val="auto"/>
                <w:spacing w:val="-6"/>
                <w:kern w:val="21"/>
                <w:sz w:val="21"/>
                <w:szCs w:val="21"/>
                <w:highlight w:val="none"/>
              </w:rPr>
              <w:instrText xml:space="preserve"> = 3 \* GB3 \* MERGEFORMAT </w:instrText>
            </w:r>
            <w:r>
              <w:rPr>
                <w:rFonts w:hint="default" w:ascii="Times New Roman" w:hAnsi="Times New Roman" w:cs="Times New Roman"/>
                <w:snapToGrid w:val="0"/>
                <w:color w:val="auto"/>
                <w:spacing w:val="-6"/>
                <w:kern w:val="21"/>
                <w:sz w:val="21"/>
                <w:szCs w:val="21"/>
                <w:highlight w:val="none"/>
              </w:rPr>
              <w:fldChar w:fldCharType="separate"/>
            </w:r>
            <w:r>
              <w:rPr>
                <w:rFonts w:hint="default" w:ascii="Times New Roman" w:hAnsi="Times New Roman" w:cs="Times New Roman"/>
                <w:color w:val="auto"/>
                <w:kern w:val="2"/>
                <w:sz w:val="21"/>
                <w:szCs w:val="21"/>
                <w:highlight w:val="none"/>
              </w:rPr>
              <w:t>③</w:t>
            </w:r>
            <w:r>
              <w:rPr>
                <w:rFonts w:hint="default" w:ascii="Times New Roman" w:hAnsi="Times New Roman" w:cs="Times New Roman"/>
                <w:snapToGrid w:val="0"/>
                <w:color w:val="auto"/>
                <w:spacing w:val="-6"/>
                <w:kern w:val="21"/>
                <w:sz w:val="21"/>
                <w:szCs w:val="21"/>
                <w:highlight w:val="none"/>
              </w:rPr>
              <w:fldChar w:fldCharType="end"/>
            </w:r>
          </w:p>
        </w:tc>
        <w:tc>
          <w:tcPr>
            <w:tcW w:w="2285" w:type="dxa"/>
            <w:noWrap w:val="0"/>
            <w:tcMar>
              <w:left w:w="28" w:type="dxa"/>
              <w:right w:w="28" w:type="dxa"/>
            </w:tcMar>
            <w:vAlign w:val="center"/>
          </w:tcPr>
          <w:p w14:paraId="7E9D5521">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本项目</w:t>
            </w:r>
          </w:p>
          <w:p w14:paraId="1ECFD22F">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排放量（固体废物产生量）</w:t>
            </w:r>
            <w:r>
              <w:rPr>
                <w:rFonts w:hint="default" w:ascii="Times New Roman" w:hAnsi="Times New Roman" w:cs="Times New Roman"/>
                <w:snapToGrid w:val="0"/>
                <w:color w:val="auto"/>
                <w:spacing w:val="-6"/>
                <w:kern w:val="21"/>
                <w:sz w:val="21"/>
                <w:szCs w:val="21"/>
                <w:highlight w:val="none"/>
              </w:rPr>
              <w:fldChar w:fldCharType="begin"/>
            </w:r>
            <w:r>
              <w:rPr>
                <w:rFonts w:hint="default" w:ascii="Times New Roman" w:hAnsi="Times New Roman" w:cs="Times New Roman"/>
                <w:snapToGrid w:val="0"/>
                <w:color w:val="auto"/>
                <w:spacing w:val="-6"/>
                <w:kern w:val="21"/>
                <w:sz w:val="21"/>
                <w:szCs w:val="21"/>
                <w:highlight w:val="none"/>
              </w:rPr>
              <w:instrText xml:space="preserve"> = 4 \* GB3 \* MERGEFORMAT </w:instrText>
            </w:r>
            <w:r>
              <w:rPr>
                <w:rFonts w:hint="default" w:ascii="Times New Roman" w:hAnsi="Times New Roman" w:cs="Times New Roman"/>
                <w:snapToGrid w:val="0"/>
                <w:color w:val="auto"/>
                <w:spacing w:val="-6"/>
                <w:kern w:val="21"/>
                <w:sz w:val="21"/>
                <w:szCs w:val="21"/>
                <w:highlight w:val="none"/>
              </w:rPr>
              <w:fldChar w:fldCharType="separate"/>
            </w:r>
            <w:r>
              <w:rPr>
                <w:rFonts w:hint="default" w:ascii="Times New Roman" w:hAnsi="Times New Roman" w:cs="Times New Roman"/>
                <w:color w:val="auto"/>
                <w:kern w:val="2"/>
                <w:sz w:val="21"/>
                <w:szCs w:val="21"/>
                <w:highlight w:val="none"/>
              </w:rPr>
              <w:t>④</w:t>
            </w:r>
            <w:r>
              <w:rPr>
                <w:rFonts w:hint="default" w:ascii="Times New Roman" w:hAnsi="Times New Roman" w:cs="Times New Roman"/>
                <w:snapToGrid w:val="0"/>
                <w:color w:val="auto"/>
                <w:spacing w:val="-6"/>
                <w:kern w:val="21"/>
                <w:sz w:val="21"/>
                <w:szCs w:val="21"/>
                <w:highlight w:val="none"/>
              </w:rPr>
              <w:fldChar w:fldCharType="end"/>
            </w:r>
          </w:p>
        </w:tc>
        <w:tc>
          <w:tcPr>
            <w:tcW w:w="1462" w:type="dxa"/>
            <w:noWrap w:val="0"/>
            <w:tcMar>
              <w:left w:w="28" w:type="dxa"/>
              <w:right w:w="28" w:type="dxa"/>
            </w:tcMar>
            <w:vAlign w:val="center"/>
          </w:tcPr>
          <w:p w14:paraId="0478A777">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16"/>
                <w:kern w:val="21"/>
                <w:sz w:val="21"/>
                <w:szCs w:val="21"/>
                <w:highlight w:val="none"/>
              </w:rPr>
            </w:pPr>
            <w:r>
              <w:rPr>
                <w:rFonts w:hint="default" w:ascii="Times New Roman" w:hAnsi="Times New Roman" w:cs="Times New Roman"/>
                <w:snapToGrid w:val="0"/>
                <w:color w:val="auto"/>
                <w:spacing w:val="-16"/>
                <w:kern w:val="21"/>
                <w:sz w:val="21"/>
                <w:szCs w:val="21"/>
                <w:highlight w:val="none"/>
              </w:rPr>
              <w:t>以新带老削减量</w:t>
            </w:r>
          </w:p>
          <w:p w14:paraId="2D99BD57">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16"/>
                <w:kern w:val="21"/>
                <w:sz w:val="21"/>
                <w:szCs w:val="21"/>
                <w:highlight w:val="none"/>
              </w:rPr>
            </w:pPr>
            <w:r>
              <w:rPr>
                <w:rFonts w:hint="default" w:ascii="Times New Roman" w:hAnsi="Times New Roman" w:cs="Times New Roman"/>
                <w:snapToGrid w:val="0"/>
                <w:color w:val="auto"/>
                <w:spacing w:val="-16"/>
                <w:kern w:val="21"/>
                <w:sz w:val="21"/>
                <w:szCs w:val="21"/>
                <w:highlight w:val="none"/>
              </w:rPr>
              <w:t>（新建项目不填）</w:t>
            </w:r>
            <w:r>
              <w:rPr>
                <w:rFonts w:hint="default" w:ascii="Times New Roman" w:hAnsi="Times New Roman" w:cs="Times New Roman"/>
                <w:snapToGrid w:val="0"/>
                <w:color w:val="auto"/>
                <w:spacing w:val="-16"/>
                <w:kern w:val="21"/>
                <w:sz w:val="21"/>
                <w:szCs w:val="21"/>
                <w:highlight w:val="none"/>
              </w:rPr>
              <w:fldChar w:fldCharType="begin"/>
            </w:r>
            <w:r>
              <w:rPr>
                <w:rFonts w:hint="default" w:ascii="Times New Roman" w:hAnsi="Times New Roman" w:cs="Times New Roman"/>
                <w:snapToGrid w:val="0"/>
                <w:color w:val="auto"/>
                <w:spacing w:val="-16"/>
                <w:kern w:val="21"/>
                <w:sz w:val="21"/>
                <w:szCs w:val="21"/>
                <w:highlight w:val="none"/>
              </w:rPr>
              <w:instrText xml:space="preserve"> = 5 \* GB3 \* MERGEFORMAT </w:instrText>
            </w:r>
            <w:r>
              <w:rPr>
                <w:rFonts w:hint="default" w:ascii="Times New Roman" w:hAnsi="Times New Roman" w:cs="Times New Roman"/>
                <w:snapToGrid w:val="0"/>
                <w:color w:val="auto"/>
                <w:spacing w:val="-16"/>
                <w:kern w:val="21"/>
                <w:sz w:val="21"/>
                <w:szCs w:val="21"/>
                <w:highlight w:val="none"/>
              </w:rPr>
              <w:fldChar w:fldCharType="separate"/>
            </w:r>
            <w:r>
              <w:rPr>
                <w:rFonts w:hint="default" w:ascii="Times New Roman" w:hAnsi="Times New Roman" w:cs="Times New Roman"/>
                <w:color w:val="auto"/>
                <w:kern w:val="2"/>
                <w:sz w:val="21"/>
                <w:szCs w:val="21"/>
                <w:highlight w:val="none"/>
              </w:rPr>
              <w:t>⑤</w:t>
            </w:r>
            <w:r>
              <w:rPr>
                <w:rFonts w:hint="default" w:ascii="Times New Roman" w:hAnsi="Times New Roman" w:cs="Times New Roman"/>
                <w:snapToGrid w:val="0"/>
                <w:color w:val="auto"/>
                <w:spacing w:val="-16"/>
                <w:kern w:val="21"/>
                <w:sz w:val="21"/>
                <w:szCs w:val="21"/>
                <w:highlight w:val="none"/>
              </w:rPr>
              <w:fldChar w:fldCharType="end"/>
            </w:r>
          </w:p>
        </w:tc>
        <w:tc>
          <w:tcPr>
            <w:tcW w:w="2183" w:type="dxa"/>
            <w:noWrap w:val="0"/>
            <w:tcMar>
              <w:left w:w="28" w:type="dxa"/>
              <w:right w:w="28" w:type="dxa"/>
            </w:tcMar>
            <w:vAlign w:val="center"/>
          </w:tcPr>
          <w:p w14:paraId="19192A63">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16"/>
                <w:kern w:val="21"/>
                <w:sz w:val="21"/>
                <w:szCs w:val="21"/>
                <w:highlight w:val="none"/>
              </w:rPr>
            </w:pPr>
            <w:r>
              <w:rPr>
                <w:rFonts w:hint="default" w:ascii="Times New Roman" w:hAnsi="Times New Roman" w:cs="Times New Roman"/>
                <w:snapToGrid w:val="0"/>
                <w:color w:val="auto"/>
                <w:spacing w:val="-16"/>
                <w:kern w:val="21"/>
                <w:sz w:val="21"/>
                <w:szCs w:val="21"/>
                <w:highlight w:val="none"/>
              </w:rPr>
              <w:t>本项目建成后</w:t>
            </w:r>
          </w:p>
          <w:p w14:paraId="3073C55D">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16"/>
                <w:kern w:val="21"/>
                <w:sz w:val="21"/>
                <w:szCs w:val="21"/>
                <w:highlight w:val="none"/>
              </w:rPr>
            </w:pPr>
            <w:r>
              <w:rPr>
                <w:rFonts w:hint="default" w:ascii="Times New Roman" w:hAnsi="Times New Roman" w:cs="Times New Roman"/>
                <w:snapToGrid w:val="0"/>
                <w:color w:val="auto"/>
                <w:spacing w:val="-16"/>
                <w:kern w:val="21"/>
                <w:sz w:val="21"/>
                <w:szCs w:val="21"/>
                <w:highlight w:val="none"/>
              </w:rPr>
              <w:t>全厂排放量（固体废物产生量）</w:t>
            </w:r>
            <w:r>
              <w:rPr>
                <w:rFonts w:hint="default" w:ascii="Times New Roman" w:hAnsi="Times New Roman" w:cs="Times New Roman"/>
                <w:snapToGrid w:val="0"/>
                <w:color w:val="auto"/>
                <w:spacing w:val="-16"/>
                <w:kern w:val="21"/>
                <w:sz w:val="21"/>
                <w:szCs w:val="21"/>
                <w:highlight w:val="none"/>
              </w:rPr>
              <w:fldChar w:fldCharType="begin"/>
            </w:r>
            <w:r>
              <w:rPr>
                <w:rFonts w:hint="default" w:ascii="Times New Roman" w:hAnsi="Times New Roman" w:cs="Times New Roman"/>
                <w:snapToGrid w:val="0"/>
                <w:color w:val="auto"/>
                <w:spacing w:val="-16"/>
                <w:kern w:val="21"/>
                <w:sz w:val="21"/>
                <w:szCs w:val="21"/>
                <w:highlight w:val="none"/>
              </w:rPr>
              <w:instrText xml:space="preserve"> = 6 \* GB3 \* MERGEFORMAT </w:instrText>
            </w:r>
            <w:r>
              <w:rPr>
                <w:rFonts w:hint="default" w:ascii="Times New Roman" w:hAnsi="Times New Roman" w:cs="Times New Roman"/>
                <w:snapToGrid w:val="0"/>
                <w:color w:val="auto"/>
                <w:spacing w:val="-16"/>
                <w:kern w:val="21"/>
                <w:sz w:val="21"/>
                <w:szCs w:val="21"/>
                <w:highlight w:val="none"/>
              </w:rPr>
              <w:fldChar w:fldCharType="separate"/>
            </w:r>
            <w:r>
              <w:rPr>
                <w:rFonts w:hint="default" w:ascii="Times New Roman" w:hAnsi="Times New Roman" w:cs="Times New Roman"/>
                <w:color w:val="auto"/>
                <w:kern w:val="2"/>
                <w:sz w:val="21"/>
                <w:szCs w:val="21"/>
                <w:highlight w:val="none"/>
              </w:rPr>
              <w:t>⑥</w:t>
            </w:r>
            <w:r>
              <w:rPr>
                <w:rFonts w:hint="default" w:ascii="Times New Roman" w:hAnsi="Times New Roman" w:cs="Times New Roman"/>
                <w:snapToGrid w:val="0"/>
                <w:color w:val="auto"/>
                <w:spacing w:val="-16"/>
                <w:kern w:val="21"/>
                <w:sz w:val="21"/>
                <w:szCs w:val="21"/>
                <w:highlight w:val="none"/>
              </w:rPr>
              <w:fldChar w:fldCharType="end"/>
            </w:r>
          </w:p>
        </w:tc>
        <w:tc>
          <w:tcPr>
            <w:tcW w:w="1405" w:type="dxa"/>
            <w:noWrap w:val="0"/>
            <w:tcMar>
              <w:left w:w="28" w:type="dxa"/>
              <w:right w:w="28" w:type="dxa"/>
            </w:tcMar>
            <w:vAlign w:val="center"/>
          </w:tcPr>
          <w:p w14:paraId="7260389E">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变化量</w:t>
            </w:r>
          </w:p>
          <w:p w14:paraId="52A5E695">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fldChar w:fldCharType="begin"/>
            </w:r>
            <w:r>
              <w:rPr>
                <w:rFonts w:hint="default" w:ascii="Times New Roman" w:hAnsi="Times New Roman" w:cs="Times New Roman"/>
                <w:snapToGrid w:val="0"/>
                <w:color w:val="auto"/>
                <w:spacing w:val="-6"/>
                <w:kern w:val="21"/>
                <w:sz w:val="21"/>
                <w:szCs w:val="21"/>
                <w:highlight w:val="none"/>
              </w:rPr>
              <w:instrText xml:space="preserve"> = 7 \* GB3 \* MERGEFORMAT </w:instrText>
            </w:r>
            <w:r>
              <w:rPr>
                <w:rFonts w:hint="default" w:ascii="Times New Roman" w:hAnsi="Times New Roman" w:cs="Times New Roman"/>
                <w:snapToGrid w:val="0"/>
                <w:color w:val="auto"/>
                <w:spacing w:val="-6"/>
                <w:kern w:val="21"/>
                <w:sz w:val="21"/>
                <w:szCs w:val="21"/>
                <w:highlight w:val="none"/>
              </w:rPr>
              <w:fldChar w:fldCharType="separate"/>
            </w:r>
            <w:r>
              <w:rPr>
                <w:rFonts w:hint="default" w:ascii="Times New Roman" w:hAnsi="Times New Roman" w:cs="Times New Roman"/>
                <w:color w:val="auto"/>
                <w:kern w:val="2"/>
                <w:sz w:val="21"/>
                <w:szCs w:val="21"/>
                <w:highlight w:val="none"/>
              </w:rPr>
              <w:t>⑦</w:t>
            </w:r>
            <w:r>
              <w:rPr>
                <w:rFonts w:hint="default" w:ascii="Times New Roman" w:hAnsi="Times New Roman" w:cs="Times New Roman"/>
                <w:snapToGrid w:val="0"/>
                <w:color w:val="auto"/>
                <w:spacing w:val="-6"/>
                <w:kern w:val="21"/>
                <w:sz w:val="21"/>
                <w:szCs w:val="21"/>
                <w:highlight w:val="none"/>
              </w:rPr>
              <w:fldChar w:fldCharType="end"/>
            </w:r>
          </w:p>
        </w:tc>
      </w:tr>
      <w:tr w14:paraId="78C611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7" w:type="dxa"/>
            <w:vMerge w:val="restart"/>
            <w:noWrap w:val="0"/>
            <w:vAlign w:val="center"/>
          </w:tcPr>
          <w:p w14:paraId="3C9338F6">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废气</w:t>
            </w:r>
          </w:p>
        </w:tc>
        <w:tc>
          <w:tcPr>
            <w:tcW w:w="1925" w:type="dxa"/>
            <w:noWrap w:val="0"/>
            <w:vAlign w:val="center"/>
          </w:tcPr>
          <w:p w14:paraId="4AFAEE2D">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无组织粉尘</w:t>
            </w:r>
          </w:p>
        </w:tc>
        <w:tc>
          <w:tcPr>
            <w:tcW w:w="1623" w:type="dxa"/>
            <w:noWrap w:val="0"/>
            <w:vAlign w:val="center"/>
          </w:tcPr>
          <w:p w14:paraId="3050E396">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rPr>
            </w:pPr>
            <w:r>
              <w:rPr>
                <w:rFonts w:hint="eastAsia" w:ascii="Times New Roman" w:hAnsi="Times New Roman" w:cs="Times New Roman"/>
                <w:snapToGrid w:val="0"/>
                <w:color w:val="auto"/>
                <w:kern w:val="21"/>
                <w:sz w:val="21"/>
                <w:szCs w:val="21"/>
                <w:highlight w:val="none"/>
              </w:rPr>
              <w:t>/</w:t>
            </w:r>
          </w:p>
        </w:tc>
        <w:tc>
          <w:tcPr>
            <w:tcW w:w="1298" w:type="dxa"/>
            <w:noWrap w:val="0"/>
            <w:vAlign w:val="center"/>
          </w:tcPr>
          <w:p w14:paraId="361FB2D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rPr>
              <w:t>/</w:t>
            </w:r>
          </w:p>
        </w:tc>
        <w:tc>
          <w:tcPr>
            <w:tcW w:w="2181" w:type="dxa"/>
            <w:noWrap w:val="0"/>
            <w:vAlign w:val="center"/>
          </w:tcPr>
          <w:p w14:paraId="05F20D5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rPr>
              <w:t>/</w:t>
            </w:r>
          </w:p>
        </w:tc>
        <w:tc>
          <w:tcPr>
            <w:tcW w:w="2285" w:type="dxa"/>
            <w:noWrap w:val="0"/>
            <w:vAlign w:val="center"/>
          </w:tcPr>
          <w:p w14:paraId="18A9E40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highlight w:val="none"/>
                <w:lang w:eastAsia="zh-CN"/>
              </w:rPr>
            </w:pPr>
            <w:r>
              <w:rPr>
                <w:rFonts w:hint="eastAsia" w:ascii="Times New Roman" w:hAnsi="Times New Roman" w:cs="Times New Roman"/>
                <w:snapToGrid w:val="0"/>
                <w:color w:val="auto"/>
                <w:kern w:val="21"/>
                <w:sz w:val="21"/>
                <w:szCs w:val="21"/>
                <w:highlight w:val="none"/>
                <w:lang w:val="en-US" w:eastAsia="zh-CN"/>
              </w:rPr>
              <w:t>少量</w:t>
            </w:r>
          </w:p>
        </w:tc>
        <w:tc>
          <w:tcPr>
            <w:tcW w:w="1462" w:type="dxa"/>
            <w:noWrap w:val="0"/>
            <w:vAlign w:val="center"/>
          </w:tcPr>
          <w:p w14:paraId="6FAAEE75">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rPr>
              <w:t>/</w:t>
            </w:r>
          </w:p>
        </w:tc>
        <w:tc>
          <w:tcPr>
            <w:tcW w:w="2183" w:type="dxa"/>
            <w:noWrap w:val="0"/>
            <w:vAlign w:val="center"/>
          </w:tcPr>
          <w:p w14:paraId="05A2947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lang w:val="en-US" w:eastAsia="zh-CN" w:bidi="ar-SA"/>
              </w:rPr>
              <w:t>少量</w:t>
            </w:r>
          </w:p>
        </w:tc>
        <w:tc>
          <w:tcPr>
            <w:tcW w:w="1405" w:type="dxa"/>
            <w:noWrap w:val="0"/>
            <w:vAlign w:val="center"/>
          </w:tcPr>
          <w:p w14:paraId="33D3E21B">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rPr>
              <w:t>/</w:t>
            </w:r>
          </w:p>
        </w:tc>
      </w:tr>
      <w:tr w14:paraId="2FDE16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7" w:type="dxa"/>
            <w:vMerge w:val="continue"/>
            <w:noWrap w:val="0"/>
            <w:vAlign w:val="center"/>
          </w:tcPr>
          <w:p w14:paraId="6B99D78C">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p>
        </w:tc>
        <w:tc>
          <w:tcPr>
            <w:tcW w:w="1925" w:type="dxa"/>
            <w:noWrap w:val="0"/>
            <w:vAlign w:val="center"/>
          </w:tcPr>
          <w:p w14:paraId="1D80DE63">
            <w:pPr>
              <w:pStyle w:val="64"/>
              <w:keepNext w:val="0"/>
              <w:keepLines w:val="0"/>
              <w:suppressLineNumbers w:val="0"/>
              <w:spacing w:before="0" w:beforeLines="0" w:beforeAutospacing="0" w:after="0" w:afterLines="0" w:afterAutospacing="0" w:line="240" w:lineRule="auto"/>
              <w:ind w:left="0" w:right="0"/>
              <w:rPr>
                <w:rFonts w:hint="eastAsia" w:ascii="Times New Roman" w:hAnsi="Times New Roman" w:cs="Times New Roman"/>
                <w:snapToGrid w:val="0"/>
                <w:color w:val="auto"/>
                <w:kern w:val="21"/>
                <w:sz w:val="21"/>
                <w:szCs w:val="21"/>
                <w:highlight w:val="none"/>
              </w:rPr>
            </w:pPr>
            <w:r>
              <w:rPr>
                <w:rFonts w:hint="eastAsia" w:ascii="Times New Roman" w:hAnsi="Times New Roman" w:cs="Times New Roman"/>
                <w:snapToGrid w:val="0"/>
                <w:color w:val="auto"/>
                <w:kern w:val="21"/>
                <w:sz w:val="21"/>
                <w:szCs w:val="21"/>
                <w:highlight w:val="none"/>
              </w:rPr>
              <w:t>食堂油烟</w:t>
            </w:r>
          </w:p>
        </w:tc>
        <w:tc>
          <w:tcPr>
            <w:tcW w:w="1623" w:type="dxa"/>
            <w:noWrap w:val="0"/>
            <w:vAlign w:val="center"/>
          </w:tcPr>
          <w:p w14:paraId="39DF1AD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21"/>
                <w:sz w:val="21"/>
                <w:szCs w:val="21"/>
                <w:highlight w:val="none"/>
              </w:rPr>
            </w:pPr>
            <w:r>
              <w:rPr>
                <w:rFonts w:hint="eastAsia" w:ascii="Times New Roman" w:hAnsi="Times New Roman" w:cs="Times New Roman"/>
                <w:snapToGrid w:val="0"/>
                <w:color w:val="auto"/>
                <w:kern w:val="21"/>
                <w:sz w:val="21"/>
                <w:szCs w:val="21"/>
                <w:highlight w:val="none"/>
                <w:lang w:val="en-US" w:eastAsia="zh-CN"/>
              </w:rPr>
              <w:t>/</w:t>
            </w:r>
          </w:p>
        </w:tc>
        <w:tc>
          <w:tcPr>
            <w:tcW w:w="1298" w:type="dxa"/>
            <w:noWrap w:val="0"/>
            <w:vAlign w:val="center"/>
          </w:tcPr>
          <w:p w14:paraId="6295AB1F">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rPr>
              <w:t>/</w:t>
            </w:r>
          </w:p>
        </w:tc>
        <w:tc>
          <w:tcPr>
            <w:tcW w:w="2181" w:type="dxa"/>
            <w:noWrap w:val="0"/>
            <w:vAlign w:val="center"/>
          </w:tcPr>
          <w:p w14:paraId="65E115A6">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rPr>
              <w:t>/</w:t>
            </w:r>
          </w:p>
        </w:tc>
        <w:tc>
          <w:tcPr>
            <w:tcW w:w="2285" w:type="dxa"/>
            <w:noWrap w:val="0"/>
            <w:vAlign w:val="center"/>
          </w:tcPr>
          <w:p w14:paraId="0BE5AC17">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 w:val="21"/>
                <w:szCs w:val="21"/>
                <w:highlight w:val="none"/>
              </w:rPr>
            </w:pPr>
            <w:r>
              <w:rPr>
                <w:rFonts w:hint="eastAsia" w:ascii="Times New Roman" w:hAnsi="Times New Roman" w:eastAsia="宋体" w:cs="Times New Roman"/>
                <w:snapToGrid w:val="0"/>
                <w:color w:val="auto"/>
                <w:kern w:val="21"/>
                <w:sz w:val="21"/>
                <w:szCs w:val="21"/>
                <w:lang w:val="en-US" w:eastAsia="zh-CN" w:bidi="ar-SA"/>
              </w:rPr>
              <w:t>1.392kg</w:t>
            </w:r>
          </w:p>
        </w:tc>
        <w:tc>
          <w:tcPr>
            <w:tcW w:w="1462" w:type="dxa"/>
            <w:noWrap w:val="0"/>
            <w:vAlign w:val="center"/>
          </w:tcPr>
          <w:p w14:paraId="0AEFE18A">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eastAsia" w:ascii="Times New Roman" w:hAnsi="Times New Roman"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lang w:val="en-US" w:eastAsia="zh-CN" w:bidi="ar-SA"/>
              </w:rPr>
              <w:t>0</w:t>
            </w:r>
          </w:p>
        </w:tc>
        <w:tc>
          <w:tcPr>
            <w:tcW w:w="2183" w:type="dxa"/>
            <w:noWrap w:val="0"/>
            <w:vAlign w:val="center"/>
          </w:tcPr>
          <w:p w14:paraId="759FC555">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lang w:val="en-US" w:eastAsia="zh-CN" w:bidi="ar-SA"/>
              </w:rPr>
              <w:t>1.392kg</w:t>
            </w:r>
          </w:p>
        </w:tc>
        <w:tc>
          <w:tcPr>
            <w:tcW w:w="1405" w:type="dxa"/>
            <w:noWrap w:val="0"/>
            <w:vAlign w:val="center"/>
          </w:tcPr>
          <w:p w14:paraId="3AF2716B">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lang w:val="en-US" w:eastAsia="zh-CN" w:bidi="ar-SA"/>
              </w:rPr>
              <w:t>+1.392kg</w:t>
            </w:r>
          </w:p>
        </w:tc>
      </w:tr>
      <w:tr w14:paraId="209CCC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7" w:type="dxa"/>
            <w:vMerge w:val="continue"/>
            <w:noWrap w:val="0"/>
            <w:vAlign w:val="center"/>
          </w:tcPr>
          <w:p w14:paraId="6EF7C456">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p>
        </w:tc>
        <w:tc>
          <w:tcPr>
            <w:tcW w:w="1925" w:type="dxa"/>
            <w:noWrap w:val="0"/>
            <w:vAlign w:val="center"/>
          </w:tcPr>
          <w:p w14:paraId="31AD08B7">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cs="Times New Roman"/>
                <w:snapToGrid w:val="0"/>
                <w:color w:val="auto"/>
                <w:kern w:val="21"/>
                <w:sz w:val="21"/>
                <w:szCs w:val="21"/>
                <w:highlight w:val="none"/>
                <w:lang w:val="en-US" w:eastAsia="zh-CN"/>
              </w:rPr>
              <w:t>柴油发电机燃油废气</w:t>
            </w:r>
          </w:p>
        </w:tc>
        <w:tc>
          <w:tcPr>
            <w:tcW w:w="1623" w:type="dxa"/>
            <w:noWrap w:val="0"/>
            <w:vAlign w:val="center"/>
          </w:tcPr>
          <w:p w14:paraId="7894BF70">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lang w:val="en-US" w:eastAsia="zh-CN"/>
              </w:rPr>
            </w:pPr>
            <w:r>
              <w:rPr>
                <w:rFonts w:hint="eastAsia" w:ascii="Times New Roman" w:hAnsi="Times New Roman" w:cs="Times New Roman"/>
                <w:snapToGrid w:val="0"/>
                <w:color w:val="auto"/>
                <w:kern w:val="21"/>
                <w:sz w:val="21"/>
                <w:szCs w:val="21"/>
                <w:highlight w:val="none"/>
                <w:lang w:val="en-US" w:eastAsia="zh-CN"/>
              </w:rPr>
              <w:t>/</w:t>
            </w:r>
          </w:p>
        </w:tc>
        <w:tc>
          <w:tcPr>
            <w:tcW w:w="1298" w:type="dxa"/>
            <w:noWrap w:val="0"/>
            <w:vAlign w:val="center"/>
          </w:tcPr>
          <w:p w14:paraId="2BC58531">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rPr>
            </w:pPr>
            <w:r>
              <w:rPr>
                <w:rFonts w:hint="eastAsia" w:ascii="Times New Roman" w:hAnsi="Times New Roman" w:cs="Times New Roman"/>
                <w:snapToGrid w:val="0"/>
                <w:color w:val="auto"/>
                <w:kern w:val="21"/>
                <w:sz w:val="21"/>
                <w:szCs w:val="21"/>
                <w:highlight w:val="none"/>
              </w:rPr>
              <w:t>/</w:t>
            </w:r>
          </w:p>
        </w:tc>
        <w:tc>
          <w:tcPr>
            <w:tcW w:w="2181" w:type="dxa"/>
            <w:noWrap w:val="0"/>
            <w:vAlign w:val="center"/>
          </w:tcPr>
          <w:p w14:paraId="5270DC6B">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rPr>
            </w:pPr>
            <w:r>
              <w:rPr>
                <w:rFonts w:hint="eastAsia" w:ascii="Times New Roman" w:hAnsi="Times New Roman" w:cs="Times New Roman"/>
                <w:snapToGrid w:val="0"/>
                <w:color w:val="auto"/>
                <w:kern w:val="21"/>
                <w:sz w:val="21"/>
                <w:szCs w:val="21"/>
                <w:highlight w:val="none"/>
              </w:rPr>
              <w:t>/</w:t>
            </w:r>
          </w:p>
        </w:tc>
        <w:tc>
          <w:tcPr>
            <w:tcW w:w="2285" w:type="dxa"/>
            <w:noWrap w:val="0"/>
            <w:vAlign w:val="center"/>
          </w:tcPr>
          <w:p w14:paraId="50F4023C">
            <w:pPr>
              <w:pStyle w:val="64"/>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 w:val="21"/>
                <w:szCs w:val="21"/>
                <w:highlight w:val="none"/>
                <w:lang w:eastAsia="zh-CN"/>
              </w:rPr>
            </w:pPr>
            <w:r>
              <w:rPr>
                <w:rFonts w:hint="eastAsia" w:ascii="Times New Roman" w:hAnsi="Times New Roman" w:cs="Times New Roman"/>
                <w:snapToGrid w:val="0"/>
                <w:color w:val="auto"/>
                <w:kern w:val="21"/>
                <w:sz w:val="21"/>
                <w:szCs w:val="21"/>
                <w:highlight w:val="none"/>
                <w:lang w:val="en-US" w:eastAsia="zh-CN"/>
              </w:rPr>
              <w:t>少量</w:t>
            </w:r>
          </w:p>
        </w:tc>
        <w:tc>
          <w:tcPr>
            <w:tcW w:w="1462" w:type="dxa"/>
            <w:noWrap w:val="0"/>
            <w:vAlign w:val="center"/>
          </w:tcPr>
          <w:p w14:paraId="347C928F">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rPr>
            </w:pPr>
            <w:r>
              <w:rPr>
                <w:rFonts w:hint="eastAsia" w:ascii="Times New Roman" w:hAnsi="Times New Roman" w:cs="Times New Roman"/>
                <w:snapToGrid w:val="0"/>
                <w:color w:val="auto"/>
                <w:kern w:val="21"/>
                <w:sz w:val="21"/>
                <w:szCs w:val="21"/>
                <w:highlight w:val="none"/>
              </w:rPr>
              <w:t>/</w:t>
            </w:r>
          </w:p>
        </w:tc>
        <w:tc>
          <w:tcPr>
            <w:tcW w:w="2183" w:type="dxa"/>
            <w:noWrap w:val="0"/>
            <w:vAlign w:val="center"/>
          </w:tcPr>
          <w:p w14:paraId="7CB90D7D">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rPr>
            </w:pPr>
            <w:r>
              <w:rPr>
                <w:rFonts w:hint="eastAsia" w:ascii="Times New Roman" w:hAnsi="Times New Roman" w:cs="Times New Roman"/>
                <w:snapToGrid w:val="0"/>
                <w:color w:val="auto"/>
                <w:kern w:val="21"/>
                <w:sz w:val="21"/>
                <w:szCs w:val="21"/>
                <w:highlight w:val="none"/>
                <w:lang w:val="en-US" w:eastAsia="zh-CN"/>
              </w:rPr>
              <w:t>少量</w:t>
            </w:r>
          </w:p>
        </w:tc>
        <w:tc>
          <w:tcPr>
            <w:tcW w:w="1405" w:type="dxa"/>
            <w:noWrap w:val="0"/>
            <w:vAlign w:val="center"/>
          </w:tcPr>
          <w:p w14:paraId="1AE0FFD1">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rPr>
            </w:pPr>
            <w:r>
              <w:rPr>
                <w:rFonts w:hint="eastAsia" w:ascii="Times New Roman" w:hAnsi="Times New Roman" w:cs="Times New Roman"/>
                <w:snapToGrid w:val="0"/>
                <w:color w:val="auto"/>
                <w:kern w:val="21"/>
                <w:sz w:val="21"/>
                <w:szCs w:val="21"/>
                <w:highlight w:val="none"/>
              </w:rPr>
              <w:t>/</w:t>
            </w:r>
          </w:p>
        </w:tc>
      </w:tr>
      <w:tr w14:paraId="3D9784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7" w:type="dxa"/>
            <w:vMerge w:val="restart"/>
            <w:noWrap w:val="0"/>
            <w:vAlign w:val="center"/>
          </w:tcPr>
          <w:p w14:paraId="23763D1D">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废水</w:t>
            </w:r>
          </w:p>
        </w:tc>
        <w:tc>
          <w:tcPr>
            <w:tcW w:w="1925" w:type="dxa"/>
            <w:noWrap w:val="0"/>
            <w:vAlign w:val="center"/>
          </w:tcPr>
          <w:p w14:paraId="69C7F5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探矿废水（SS）</w:t>
            </w:r>
          </w:p>
        </w:tc>
        <w:tc>
          <w:tcPr>
            <w:tcW w:w="1623" w:type="dxa"/>
            <w:noWrap w:val="0"/>
            <w:vAlign w:val="center"/>
          </w:tcPr>
          <w:p w14:paraId="4C7DA9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cs="Times New Roman"/>
                <w:snapToGrid w:val="0"/>
                <w:color w:val="auto"/>
                <w:kern w:val="21"/>
                <w:sz w:val="21"/>
                <w:szCs w:val="21"/>
                <w:highlight w:val="none"/>
                <w:lang w:val="en-US" w:eastAsia="zh-CN"/>
              </w:rPr>
              <w:t>/</w:t>
            </w:r>
          </w:p>
        </w:tc>
        <w:tc>
          <w:tcPr>
            <w:tcW w:w="1298" w:type="dxa"/>
            <w:noWrap w:val="0"/>
            <w:vAlign w:val="center"/>
          </w:tcPr>
          <w:p w14:paraId="4504FFB3">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rPr>
              <w:t>/</w:t>
            </w:r>
          </w:p>
        </w:tc>
        <w:tc>
          <w:tcPr>
            <w:tcW w:w="2181" w:type="dxa"/>
            <w:noWrap w:val="0"/>
            <w:vAlign w:val="center"/>
          </w:tcPr>
          <w:p w14:paraId="5B45EA1F">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rPr>
              <w:t>/</w:t>
            </w:r>
          </w:p>
        </w:tc>
        <w:tc>
          <w:tcPr>
            <w:tcW w:w="2285" w:type="dxa"/>
            <w:noWrap w:val="0"/>
            <w:vAlign w:val="center"/>
          </w:tcPr>
          <w:p w14:paraId="2847F600">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cs="Times New Roman"/>
                <w:snapToGrid w:val="0"/>
                <w:color w:val="auto"/>
                <w:kern w:val="21"/>
                <w:sz w:val="21"/>
                <w:szCs w:val="21"/>
                <w:highlight w:val="none"/>
                <w:lang w:val="en-US" w:eastAsia="zh-CN"/>
              </w:rPr>
              <w:t>0</w:t>
            </w:r>
          </w:p>
        </w:tc>
        <w:tc>
          <w:tcPr>
            <w:tcW w:w="1462" w:type="dxa"/>
            <w:noWrap w:val="0"/>
            <w:vAlign w:val="center"/>
          </w:tcPr>
          <w:p w14:paraId="5DACC5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rPr>
              <w:t>/</w:t>
            </w:r>
          </w:p>
        </w:tc>
        <w:tc>
          <w:tcPr>
            <w:tcW w:w="2183" w:type="dxa"/>
            <w:noWrap w:val="0"/>
            <w:vAlign w:val="center"/>
          </w:tcPr>
          <w:p w14:paraId="0DF1929C">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 w:val="21"/>
                <w:szCs w:val="21"/>
                <w:highlight w:val="none"/>
              </w:rPr>
            </w:pPr>
            <w:r>
              <w:rPr>
                <w:rFonts w:hint="eastAsia" w:ascii="Times New Roman" w:hAnsi="Times New Roman" w:cs="Times New Roman"/>
                <w:snapToGrid w:val="0"/>
                <w:color w:val="auto"/>
                <w:kern w:val="21"/>
                <w:sz w:val="21"/>
                <w:szCs w:val="21"/>
                <w:highlight w:val="none"/>
                <w:lang w:val="en-US" w:eastAsia="zh-CN"/>
              </w:rPr>
              <w:t>0</w:t>
            </w:r>
          </w:p>
        </w:tc>
        <w:tc>
          <w:tcPr>
            <w:tcW w:w="1405" w:type="dxa"/>
            <w:noWrap w:val="0"/>
            <w:vAlign w:val="center"/>
          </w:tcPr>
          <w:p w14:paraId="7B3002B7">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 w:val="21"/>
                <w:szCs w:val="21"/>
                <w:highlight w:val="none"/>
              </w:rPr>
            </w:pPr>
            <w:r>
              <w:rPr>
                <w:rFonts w:hint="eastAsia" w:ascii="Times New Roman" w:hAnsi="Times New Roman" w:cs="Times New Roman"/>
                <w:snapToGrid w:val="0"/>
                <w:color w:val="auto"/>
                <w:kern w:val="21"/>
                <w:sz w:val="21"/>
                <w:szCs w:val="21"/>
                <w:highlight w:val="none"/>
                <w:lang w:val="en-US" w:eastAsia="zh-CN"/>
              </w:rPr>
              <w:t>0</w:t>
            </w:r>
          </w:p>
        </w:tc>
      </w:tr>
      <w:tr w14:paraId="6DF6E5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7" w:type="dxa"/>
            <w:vMerge w:val="continue"/>
            <w:noWrap w:val="0"/>
            <w:vAlign w:val="center"/>
          </w:tcPr>
          <w:p w14:paraId="5744C316">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p>
        </w:tc>
        <w:tc>
          <w:tcPr>
            <w:tcW w:w="1925" w:type="dxa"/>
            <w:noWrap w:val="0"/>
            <w:vAlign w:val="center"/>
          </w:tcPr>
          <w:p w14:paraId="34FE31D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生活污水</w:t>
            </w:r>
          </w:p>
        </w:tc>
        <w:tc>
          <w:tcPr>
            <w:tcW w:w="1623" w:type="dxa"/>
            <w:noWrap w:val="0"/>
            <w:vAlign w:val="center"/>
          </w:tcPr>
          <w:p w14:paraId="06A568FA">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lang w:val="en-US" w:eastAsia="zh-CN"/>
              </w:rPr>
            </w:pPr>
          </w:p>
        </w:tc>
        <w:tc>
          <w:tcPr>
            <w:tcW w:w="1298" w:type="dxa"/>
            <w:noWrap w:val="0"/>
            <w:vAlign w:val="center"/>
          </w:tcPr>
          <w:p w14:paraId="1312D082">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rPr>
            </w:pPr>
          </w:p>
        </w:tc>
        <w:tc>
          <w:tcPr>
            <w:tcW w:w="2181" w:type="dxa"/>
            <w:noWrap w:val="0"/>
            <w:vAlign w:val="center"/>
          </w:tcPr>
          <w:p w14:paraId="552E3ADB">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rPr>
            </w:pPr>
          </w:p>
        </w:tc>
        <w:tc>
          <w:tcPr>
            <w:tcW w:w="2285" w:type="dxa"/>
            <w:noWrap w:val="0"/>
            <w:vAlign w:val="center"/>
          </w:tcPr>
          <w:p w14:paraId="7C7A0E87">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 w:val="21"/>
                <w:szCs w:val="21"/>
                <w:highlight w:val="none"/>
                <w:lang w:val="en-US" w:eastAsia="zh-CN"/>
              </w:rPr>
            </w:pPr>
            <w:r>
              <w:rPr>
                <w:rFonts w:hint="eastAsia" w:ascii="Times New Roman" w:hAnsi="Times New Roman" w:cs="Times New Roman"/>
                <w:snapToGrid w:val="0"/>
                <w:color w:val="auto"/>
                <w:kern w:val="21"/>
                <w:sz w:val="21"/>
                <w:szCs w:val="21"/>
                <w:highlight w:val="none"/>
                <w:lang w:val="en-US" w:eastAsia="zh-CN"/>
              </w:rPr>
              <w:t>0</w:t>
            </w:r>
          </w:p>
        </w:tc>
        <w:tc>
          <w:tcPr>
            <w:tcW w:w="1462" w:type="dxa"/>
            <w:noWrap w:val="0"/>
            <w:vAlign w:val="center"/>
          </w:tcPr>
          <w:p w14:paraId="52CE5C9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highlight w:val="none"/>
                <w:lang w:eastAsia="zh-CN"/>
              </w:rPr>
            </w:pPr>
            <w:r>
              <w:rPr>
                <w:rFonts w:hint="eastAsia" w:ascii="Times New Roman" w:hAnsi="Times New Roman" w:cs="Times New Roman"/>
                <w:snapToGrid w:val="0"/>
                <w:color w:val="auto"/>
                <w:kern w:val="21"/>
                <w:sz w:val="21"/>
                <w:szCs w:val="21"/>
                <w:highlight w:val="none"/>
                <w:lang w:val="en-US" w:eastAsia="zh-CN"/>
              </w:rPr>
              <w:t>/</w:t>
            </w:r>
          </w:p>
        </w:tc>
        <w:tc>
          <w:tcPr>
            <w:tcW w:w="2183" w:type="dxa"/>
            <w:noWrap w:val="0"/>
            <w:vAlign w:val="center"/>
          </w:tcPr>
          <w:p w14:paraId="112542AC">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 w:val="21"/>
                <w:szCs w:val="21"/>
                <w:highlight w:val="none"/>
                <w:lang w:val="en-US" w:eastAsia="zh-CN"/>
              </w:rPr>
            </w:pPr>
            <w:r>
              <w:rPr>
                <w:rFonts w:hint="eastAsia" w:ascii="Times New Roman" w:hAnsi="Times New Roman" w:cs="Times New Roman"/>
                <w:snapToGrid w:val="0"/>
                <w:color w:val="auto"/>
                <w:kern w:val="21"/>
                <w:sz w:val="21"/>
                <w:szCs w:val="21"/>
                <w:highlight w:val="none"/>
                <w:lang w:val="en-US" w:eastAsia="zh-CN"/>
              </w:rPr>
              <w:t>0</w:t>
            </w:r>
          </w:p>
        </w:tc>
        <w:tc>
          <w:tcPr>
            <w:tcW w:w="1405" w:type="dxa"/>
            <w:noWrap w:val="0"/>
            <w:vAlign w:val="center"/>
          </w:tcPr>
          <w:p w14:paraId="1050628F">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 w:val="21"/>
                <w:szCs w:val="21"/>
                <w:highlight w:val="none"/>
                <w:lang w:val="en-US" w:eastAsia="zh-CN"/>
              </w:rPr>
            </w:pPr>
            <w:r>
              <w:rPr>
                <w:rFonts w:hint="eastAsia" w:ascii="Times New Roman" w:hAnsi="Times New Roman" w:cs="Times New Roman"/>
                <w:snapToGrid w:val="0"/>
                <w:color w:val="auto"/>
                <w:kern w:val="21"/>
                <w:sz w:val="21"/>
                <w:szCs w:val="21"/>
                <w:highlight w:val="none"/>
                <w:lang w:val="en-US" w:eastAsia="zh-CN"/>
              </w:rPr>
              <w:t>0</w:t>
            </w:r>
          </w:p>
        </w:tc>
      </w:tr>
      <w:tr w14:paraId="0B1C36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747" w:type="dxa"/>
            <w:vMerge w:val="restart"/>
            <w:noWrap w:val="0"/>
            <w:vAlign w:val="center"/>
          </w:tcPr>
          <w:p w14:paraId="2CAAE22B">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一般工业固体废物</w:t>
            </w:r>
          </w:p>
        </w:tc>
        <w:tc>
          <w:tcPr>
            <w:tcW w:w="1925" w:type="dxa"/>
            <w:noWrap w:val="0"/>
            <w:vAlign w:val="center"/>
          </w:tcPr>
          <w:p w14:paraId="1DB31EE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废土石方</w:t>
            </w:r>
          </w:p>
        </w:tc>
        <w:tc>
          <w:tcPr>
            <w:tcW w:w="1623" w:type="dxa"/>
            <w:noWrap w:val="0"/>
            <w:vAlign w:val="center"/>
          </w:tcPr>
          <w:p w14:paraId="0A0C1E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cs="Times New Roman"/>
                <w:snapToGrid w:val="0"/>
                <w:color w:val="auto"/>
                <w:kern w:val="21"/>
                <w:sz w:val="21"/>
                <w:szCs w:val="21"/>
                <w:highlight w:val="none"/>
              </w:rPr>
              <w:t>/</w:t>
            </w:r>
          </w:p>
        </w:tc>
        <w:tc>
          <w:tcPr>
            <w:tcW w:w="1298" w:type="dxa"/>
            <w:noWrap w:val="0"/>
            <w:vAlign w:val="center"/>
          </w:tcPr>
          <w:p w14:paraId="74D82689">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rPr>
              <w:t>/</w:t>
            </w:r>
          </w:p>
        </w:tc>
        <w:tc>
          <w:tcPr>
            <w:tcW w:w="2181" w:type="dxa"/>
            <w:noWrap w:val="0"/>
            <w:vAlign w:val="center"/>
          </w:tcPr>
          <w:p w14:paraId="2E7D3125">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rPr>
              <w:t>/</w:t>
            </w:r>
          </w:p>
        </w:tc>
        <w:tc>
          <w:tcPr>
            <w:tcW w:w="2285" w:type="dxa"/>
            <w:noWrap w:val="0"/>
            <w:vAlign w:val="center"/>
          </w:tcPr>
          <w:p w14:paraId="0D1CDCC0">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少量</w:t>
            </w:r>
          </w:p>
        </w:tc>
        <w:tc>
          <w:tcPr>
            <w:tcW w:w="1462" w:type="dxa"/>
            <w:noWrap w:val="0"/>
            <w:vAlign w:val="center"/>
          </w:tcPr>
          <w:p w14:paraId="6CC60CB4">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rPr>
              <w:t>/</w:t>
            </w:r>
          </w:p>
        </w:tc>
        <w:tc>
          <w:tcPr>
            <w:tcW w:w="2183" w:type="dxa"/>
            <w:noWrap w:val="0"/>
            <w:vAlign w:val="center"/>
          </w:tcPr>
          <w:p w14:paraId="39173827">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少量</w:t>
            </w:r>
          </w:p>
        </w:tc>
        <w:tc>
          <w:tcPr>
            <w:tcW w:w="1405" w:type="dxa"/>
            <w:noWrap w:val="0"/>
            <w:vAlign w:val="center"/>
          </w:tcPr>
          <w:p w14:paraId="01C49A53">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r>
      <w:tr w14:paraId="638907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7" w:type="dxa"/>
            <w:vMerge w:val="continue"/>
            <w:noWrap w:val="0"/>
            <w:vAlign w:val="center"/>
          </w:tcPr>
          <w:p w14:paraId="13C0C77B">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p>
        </w:tc>
        <w:tc>
          <w:tcPr>
            <w:tcW w:w="1925" w:type="dxa"/>
            <w:noWrap w:val="0"/>
            <w:vAlign w:val="center"/>
          </w:tcPr>
          <w:p w14:paraId="3EBE5D6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沉淀底泥</w:t>
            </w:r>
          </w:p>
        </w:tc>
        <w:tc>
          <w:tcPr>
            <w:tcW w:w="1623" w:type="dxa"/>
            <w:noWrap w:val="0"/>
            <w:vAlign w:val="center"/>
          </w:tcPr>
          <w:p w14:paraId="5F3E89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cs="Times New Roman"/>
                <w:snapToGrid w:val="0"/>
                <w:color w:val="auto"/>
                <w:kern w:val="21"/>
                <w:sz w:val="21"/>
                <w:szCs w:val="21"/>
                <w:highlight w:val="none"/>
                <w:lang w:val="en-US" w:eastAsia="zh-CN"/>
              </w:rPr>
              <w:t>/</w:t>
            </w:r>
          </w:p>
        </w:tc>
        <w:tc>
          <w:tcPr>
            <w:tcW w:w="1298" w:type="dxa"/>
            <w:noWrap w:val="0"/>
            <w:vAlign w:val="center"/>
          </w:tcPr>
          <w:p w14:paraId="5BDA1689">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rPr>
              <w:t>/</w:t>
            </w:r>
          </w:p>
        </w:tc>
        <w:tc>
          <w:tcPr>
            <w:tcW w:w="2181" w:type="dxa"/>
            <w:noWrap w:val="0"/>
            <w:vAlign w:val="center"/>
          </w:tcPr>
          <w:p w14:paraId="54A68AF9">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rPr>
              <w:t>/</w:t>
            </w:r>
          </w:p>
        </w:tc>
        <w:tc>
          <w:tcPr>
            <w:tcW w:w="2285" w:type="dxa"/>
            <w:noWrap w:val="0"/>
            <w:vAlign w:val="center"/>
          </w:tcPr>
          <w:p w14:paraId="303CC58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1.025t</w:t>
            </w:r>
          </w:p>
        </w:tc>
        <w:tc>
          <w:tcPr>
            <w:tcW w:w="1462" w:type="dxa"/>
            <w:noWrap w:val="0"/>
            <w:vAlign w:val="center"/>
          </w:tcPr>
          <w:p w14:paraId="22BAFDD3">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rPr>
              <w:t>/</w:t>
            </w:r>
          </w:p>
        </w:tc>
        <w:tc>
          <w:tcPr>
            <w:tcW w:w="2183" w:type="dxa"/>
            <w:noWrap w:val="0"/>
            <w:vAlign w:val="center"/>
          </w:tcPr>
          <w:p w14:paraId="015643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1.025t</w:t>
            </w:r>
          </w:p>
        </w:tc>
        <w:tc>
          <w:tcPr>
            <w:tcW w:w="1405" w:type="dxa"/>
            <w:noWrap w:val="0"/>
            <w:vAlign w:val="center"/>
          </w:tcPr>
          <w:p w14:paraId="514755F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+1.025t</w:t>
            </w:r>
          </w:p>
        </w:tc>
      </w:tr>
      <w:tr w14:paraId="495D30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7" w:type="dxa"/>
            <w:vMerge w:val="continue"/>
            <w:noWrap w:val="0"/>
            <w:vAlign w:val="center"/>
          </w:tcPr>
          <w:p w14:paraId="141314F0">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p>
        </w:tc>
        <w:tc>
          <w:tcPr>
            <w:tcW w:w="1925" w:type="dxa"/>
            <w:noWrap w:val="0"/>
            <w:vAlign w:val="center"/>
          </w:tcPr>
          <w:p w14:paraId="4477A44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废包装材料</w:t>
            </w:r>
          </w:p>
        </w:tc>
        <w:tc>
          <w:tcPr>
            <w:tcW w:w="1623" w:type="dxa"/>
            <w:noWrap w:val="0"/>
            <w:vAlign w:val="center"/>
          </w:tcPr>
          <w:p w14:paraId="4A009B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cs="Times New Roman"/>
                <w:snapToGrid w:val="0"/>
                <w:color w:val="auto"/>
                <w:kern w:val="21"/>
                <w:sz w:val="21"/>
                <w:szCs w:val="21"/>
                <w:highlight w:val="none"/>
              </w:rPr>
              <w:t>/</w:t>
            </w:r>
          </w:p>
        </w:tc>
        <w:tc>
          <w:tcPr>
            <w:tcW w:w="1298" w:type="dxa"/>
            <w:noWrap w:val="0"/>
            <w:vAlign w:val="center"/>
          </w:tcPr>
          <w:p w14:paraId="7A95303F">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rPr>
              <w:t>/</w:t>
            </w:r>
          </w:p>
        </w:tc>
        <w:tc>
          <w:tcPr>
            <w:tcW w:w="2181" w:type="dxa"/>
            <w:noWrap w:val="0"/>
            <w:vAlign w:val="center"/>
          </w:tcPr>
          <w:p w14:paraId="28F6C9AD">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rPr>
              <w:t>/</w:t>
            </w:r>
          </w:p>
        </w:tc>
        <w:tc>
          <w:tcPr>
            <w:tcW w:w="2285" w:type="dxa"/>
            <w:noWrap w:val="0"/>
            <w:vAlign w:val="center"/>
          </w:tcPr>
          <w:p w14:paraId="1E173127">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少量</w:t>
            </w:r>
          </w:p>
        </w:tc>
        <w:tc>
          <w:tcPr>
            <w:tcW w:w="1462" w:type="dxa"/>
            <w:noWrap w:val="0"/>
            <w:vAlign w:val="center"/>
          </w:tcPr>
          <w:p w14:paraId="41471E2F">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rPr>
              <w:t>/</w:t>
            </w:r>
          </w:p>
        </w:tc>
        <w:tc>
          <w:tcPr>
            <w:tcW w:w="2183" w:type="dxa"/>
            <w:noWrap w:val="0"/>
            <w:vAlign w:val="center"/>
          </w:tcPr>
          <w:p w14:paraId="39743C2C">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少量</w:t>
            </w:r>
          </w:p>
        </w:tc>
        <w:tc>
          <w:tcPr>
            <w:tcW w:w="1405" w:type="dxa"/>
            <w:noWrap w:val="0"/>
            <w:vAlign w:val="center"/>
          </w:tcPr>
          <w:p w14:paraId="7BAFD35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r>
      <w:tr w14:paraId="3E1B99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47" w:type="dxa"/>
            <w:vMerge w:val="restart"/>
            <w:noWrap w:val="0"/>
            <w:vAlign w:val="center"/>
          </w:tcPr>
          <w:p w14:paraId="11CA3086">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危险废物</w:t>
            </w:r>
          </w:p>
        </w:tc>
        <w:tc>
          <w:tcPr>
            <w:tcW w:w="1925" w:type="dxa"/>
            <w:noWrap w:val="0"/>
            <w:vAlign w:val="center"/>
          </w:tcPr>
          <w:p w14:paraId="66D0FF1C">
            <w:pPr>
              <w:keepNext w:val="0"/>
              <w:keepLines w:val="0"/>
              <w:suppressLineNumbers w:val="0"/>
              <w:autoSpaceDE w:val="0"/>
              <w:autoSpaceDN w:val="0"/>
              <w:adjustRightInd w:val="0"/>
              <w:snapToGrid w:val="0"/>
              <w:spacing w:before="0" w:beforeAutospacing="0" w:after="0" w:afterAutospacing="0"/>
              <w:ind w:left="0" w:right="0" w:firstLine="210" w:firstLineChars="10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废机油及废油桶</w:t>
            </w:r>
          </w:p>
        </w:tc>
        <w:tc>
          <w:tcPr>
            <w:tcW w:w="1623" w:type="dxa"/>
            <w:noWrap w:val="0"/>
            <w:vAlign w:val="center"/>
          </w:tcPr>
          <w:p w14:paraId="01105FF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rPr>
              <w:t>/</w:t>
            </w:r>
          </w:p>
        </w:tc>
        <w:tc>
          <w:tcPr>
            <w:tcW w:w="1298" w:type="dxa"/>
            <w:noWrap w:val="0"/>
            <w:vAlign w:val="center"/>
          </w:tcPr>
          <w:p w14:paraId="646A050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21"/>
                <w:sz w:val="21"/>
                <w:szCs w:val="21"/>
                <w:highlight w:val="none"/>
              </w:rPr>
            </w:pPr>
            <w:r>
              <w:rPr>
                <w:rFonts w:hint="eastAsia" w:ascii="Times New Roman" w:hAnsi="Times New Roman" w:cs="Times New Roman"/>
                <w:snapToGrid w:val="0"/>
                <w:color w:val="auto"/>
                <w:kern w:val="21"/>
                <w:sz w:val="21"/>
                <w:szCs w:val="21"/>
                <w:highlight w:val="none"/>
              </w:rPr>
              <w:t>/</w:t>
            </w:r>
          </w:p>
        </w:tc>
        <w:tc>
          <w:tcPr>
            <w:tcW w:w="2181" w:type="dxa"/>
            <w:noWrap w:val="0"/>
            <w:vAlign w:val="center"/>
          </w:tcPr>
          <w:p w14:paraId="13D10F2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rPr>
              <w:t>/</w:t>
            </w:r>
          </w:p>
        </w:tc>
        <w:tc>
          <w:tcPr>
            <w:tcW w:w="2285" w:type="dxa"/>
            <w:noWrap w:val="0"/>
            <w:vAlign w:val="center"/>
          </w:tcPr>
          <w:p w14:paraId="6F42731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lang w:val="en-US" w:eastAsia="zh-CN"/>
              </w:rPr>
              <w:t>0.005t</w:t>
            </w:r>
          </w:p>
        </w:tc>
        <w:tc>
          <w:tcPr>
            <w:tcW w:w="1462" w:type="dxa"/>
            <w:noWrap w:val="0"/>
            <w:vAlign w:val="center"/>
          </w:tcPr>
          <w:p w14:paraId="6498CC95">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rPr>
              <w:t>/</w:t>
            </w:r>
          </w:p>
        </w:tc>
        <w:tc>
          <w:tcPr>
            <w:tcW w:w="2183" w:type="dxa"/>
            <w:noWrap w:val="0"/>
            <w:vAlign w:val="center"/>
          </w:tcPr>
          <w:p w14:paraId="39D88C7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lang w:val="en-US" w:eastAsia="zh-CN"/>
              </w:rPr>
              <w:t>0.005t</w:t>
            </w:r>
          </w:p>
        </w:tc>
        <w:tc>
          <w:tcPr>
            <w:tcW w:w="1405" w:type="dxa"/>
            <w:noWrap w:val="0"/>
            <w:vAlign w:val="center"/>
          </w:tcPr>
          <w:p w14:paraId="61EB70BC">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lang w:val="en-US" w:eastAsia="zh-CN" w:bidi="ar-SA"/>
              </w:rPr>
              <w:t>+</w:t>
            </w:r>
            <w:r>
              <w:rPr>
                <w:rFonts w:hint="eastAsia" w:ascii="Times New Roman" w:hAnsi="Times New Roman" w:cs="Times New Roman"/>
                <w:snapToGrid w:val="0"/>
                <w:color w:val="auto"/>
                <w:kern w:val="21"/>
                <w:sz w:val="21"/>
                <w:szCs w:val="21"/>
                <w:highlight w:val="none"/>
                <w:lang w:val="en-US" w:eastAsia="zh-CN"/>
              </w:rPr>
              <w:t>0.005t</w:t>
            </w:r>
          </w:p>
        </w:tc>
      </w:tr>
      <w:tr w14:paraId="181561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7" w:type="dxa"/>
            <w:vMerge w:val="continue"/>
            <w:noWrap w:val="0"/>
            <w:vAlign w:val="center"/>
          </w:tcPr>
          <w:p w14:paraId="62CCE41E">
            <w:pPr>
              <w:pStyle w:val="6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p>
        </w:tc>
        <w:tc>
          <w:tcPr>
            <w:tcW w:w="1925" w:type="dxa"/>
            <w:noWrap w:val="0"/>
            <w:vAlign w:val="center"/>
          </w:tcPr>
          <w:p w14:paraId="0E5BE4BB">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623" w:type="dxa"/>
            <w:noWrap w:val="0"/>
            <w:vAlign w:val="center"/>
          </w:tcPr>
          <w:p w14:paraId="105E9D39">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lang w:val="en-US" w:eastAsia="zh-CN"/>
              </w:rPr>
              <w:t>/</w:t>
            </w:r>
          </w:p>
        </w:tc>
        <w:tc>
          <w:tcPr>
            <w:tcW w:w="1298" w:type="dxa"/>
            <w:noWrap w:val="0"/>
            <w:vAlign w:val="center"/>
          </w:tcPr>
          <w:p w14:paraId="28368ED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21"/>
                <w:sz w:val="21"/>
                <w:szCs w:val="21"/>
                <w:highlight w:val="none"/>
              </w:rPr>
            </w:pPr>
            <w:r>
              <w:rPr>
                <w:rFonts w:hint="eastAsia" w:ascii="Times New Roman" w:hAnsi="Times New Roman" w:cs="Times New Roman"/>
                <w:snapToGrid w:val="0"/>
                <w:color w:val="auto"/>
                <w:kern w:val="21"/>
                <w:sz w:val="21"/>
                <w:szCs w:val="21"/>
                <w:highlight w:val="none"/>
              </w:rPr>
              <w:t>/</w:t>
            </w:r>
          </w:p>
        </w:tc>
        <w:tc>
          <w:tcPr>
            <w:tcW w:w="2181" w:type="dxa"/>
            <w:noWrap w:val="0"/>
            <w:vAlign w:val="center"/>
          </w:tcPr>
          <w:p w14:paraId="46D1276D">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rPr>
              <w:t>/</w:t>
            </w:r>
          </w:p>
        </w:tc>
        <w:tc>
          <w:tcPr>
            <w:tcW w:w="2285" w:type="dxa"/>
            <w:noWrap w:val="0"/>
            <w:vAlign w:val="center"/>
          </w:tcPr>
          <w:p w14:paraId="374BF800">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rPr>
              <w:t>/</w:t>
            </w:r>
          </w:p>
        </w:tc>
        <w:tc>
          <w:tcPr>
            <w:tcW w:w="1462" w:type="dxa"/>
            <w:noWrap w:val="0"/>
            <w:vAlign w:val="center"/>
          </w:tcPr>
          <w:p w14:paraId="3ADDB713">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rPr>
              <w:t>/</w:t>
            </w:r>
          </w:p>
        </w:tc>
        <w:tc>
          <w:tcPr>
            <w:tcW w:w="2183" w:type="dxa"/>
            <w:noWrap w:val="0"/>
            <w:vAlign w:val="center"/>
          </w:tcPr>
          <w:p w14:paraId="3DEE8AAC">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rPr>
              <w:t>/</w:t>
            </w:r>
          </w:p>
        </w:tc>
        <w:tc>
          <w:tcPr>
            <w:tcW w:w="1405" w:type="dxa"/>
            <w:noWrap w:val="0"/>
            <w:vAlign w:val="center"/>
          </w:tcPr>
          <w:p w14:paraId="00B02186">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rPr>
              <w:t>/</w:t>
            </w:r>
          </w:p>
        </w:tc>
      </w:tr>
    </w:tbl>
    <w:p w14:paraId="1EE906C3">
      <w:pPr>
        <w:pStyle w:val="30"/>
        <w:rPr>
          <w:rFonts w:hAnsi="宋体"/>
          <w:snapToGrid w:val="0"/>
          <w:color w:val="auto"/>
          <w:spacing w:val="-6"/>
          <w:kern w:val="21"/>
          <w:szCs w:val="21"/>
          <w:highlight w:val="none"/>
        </w:rPr>
        <w:sectPr>
          <w:footerReference r:id="rId5" w:type="default"/>
          <w:pgSz w:w="16838" w:h="11905" w:orient="landscape"/>
          <w:pgMar w:top="1701" w:right="1440" w:bottom="1701" w:left="1440" w:header="851" w:footer="1077" w:gutter="0"/>
          <w:pgNumType w:fmt="decimal"/>
          <w:cols w:space="720" w:num="1"/>
          <w:docGrid w:type="lines" w:linePitch="317" w:charSpace="0"/>
        </w:sect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p>
    <w:p w14:paraId="0B81328C">
      <w:pPr>
        <w:pStyle w:val="112"/>
        <w:spacing w:line="360" w:lineRule="auto"/>
        <w:ind w:firstLine="420" w:firstLineChars="200"/>
        <w:jc w:val="center"/>
        <w:rPr>
          <w:rFonts w:hint="eastAsia"/>
          <w:lang w:val="en-US" w:eastAsia="zh-CN"/>
        </w:rPr>
      </w:pPr>
      <w:r>
        <w:rPr>
          <w:rFonts w:hint="eastAsia"/>
          <w:lang w:val="en-US" w:eastAsia="zh-CN"/>
        </w:rPr>
        <w:drawing>
          <wp:inline distT="0" distB="0" distL="114300" distR="114300">
            <wp:extent cx="5386705" cy="8295640"/>
            <wp:effectExtent l="0" t="0" r="4445" b="10160"/>
            <wp:docPr id="39" name="图片 54" descr="委托书2022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4" descr="委托书20220426"/>
                    <pic:cNvPicPr>
                      <a:picLocks noChangeAspect="1"/>
                    </pic:cNvPicPr>
                  </pic:nvPicPr>
                  <pic:blipFill>
                    <a:blip r:embed="rId8"/>
                    <a:stretch>
                      <a:fillRect/>
                    </a:stretch>
                  </pic:blipFill>
                  <pic:spPr>
                    <a:xfrm>
                      <a:off x="0" y="0"/>
                      <a:ext cx="5386705" cy="8295640"/>
                    </a:xfrm>
                    <a:prstGeom prst="rect">
                      <a:avLst/>
                    </a:prstGeom>
                    <a:noFill/>
                    <a:ln>
                      <a:noFill/>
                    </a:ln>
                  </pic:spPr>
                </pic:pic>
              </a:graphicData>
            </a:graphic>
          </wp:inline>
        </w:drawing>
      </w:r>
      <w:r>
        <w:rPr>
          <w:rFonts w:hint="eastAsia"/>
          <w:lang w:val="en-US" w:eastAsia="zh-CN"/>
        </w:rPr>
        <w:drawing>
          <wp:inline distT="0" distB="0" distL="114300" distR="114300">
            <wp:extent cx="5395595" cy="7456170"/>
            <wp:effectExtent l="0" t="0" r="14605" b="11430"/>
            <wp:docPr id="40" name="图片 56" descr="165096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6" descr="1650960823"/>
                    <pic:cNvPicPr>
                      <a:picLocks noChangeAspect="1"/>
                    </pic:cNvPicPr>
                  </pic:nvPicPr>
                  <pic:blipFill>
                    <a:blip r:embed="rId9"/>
                    <a:stretch>
                      <a:fillRect/>
                    </a:stretch>
                  </pic:blipFill>
                  <pic:spPr>
                    <a:xfrm>
                      <a:off x="0" y="0"/>
                      <a:ext cx="5395595" cy="7456170"/>
                    </a:xfrm>
                    <a:prstGeom prst="rect">
                      <a:avLst/>
                    </a:prstGeom>
                    <a:noFill/>
                    <a:ln>
                      <a:noFill/>
                    </a:ln>
                  </pic:spPr>
                </pic:pic>
              </a:graphicData>
            </a:graphic>
          </wp:inline>
        </w:drawing>
      </w:r>
      <w:r>
        <w:rPr>
          <w:rFonts w:hint="eastAsia"/>
          <w:lang w:val="en-US" w:eastAsia="zh-CN"/>
        </w:rPr>
        <w:drawing>
          <wp:inline distT="0" distB="0" distL="114300" distR="114300">
            <wp:extent cx="5399405" cy="7422515"/>
            <wp:effectExtent l="0" t="0" r="10795" b="6985"/>
            <wp:docPr id="41" name="图片 57" descr="1650960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7" descr="1650960847(1)"/>
                    <pic:cNvPicPr>
                      <a:picLocks noChangeAspect="1"/>
                    </pic:cNvPicPr>
                  </pic:nvPicPr>
                  <pic:blipFill>
                    <a:blip r:embed="rId10"/>
                    <a:stretch>
                      <a:fillRect/>
                    </a:stretch>
                  </pic:blipFill>
                  <pic:spPr>
                    <a:xfrm>
                      <a:off x="0" y="0"/>
                      <a:ext cx="5399405" cy="7422515"/>
                    </a:xfrm>
                    <a:prstGeom prst="rect">
                      <a:avLst/>
                    </a:prstGeom>
                    <a:noFill/>
                    <a:ln>
                      <a:noFill/>
                    </a:ln>
                  </pic:spPr>
                </pic:pic>
              </a:graphicData>
            </a:graphic>
          </wp:inline>
        </w:drawing>
      </w:r>
      <w:r>
        <w:rPr>
          <w:rFonts w:hint="eastAsia"/>
          <w:lang w:val="en-US" w:eastAsia="zh-CN"/>
        </w:rPr>
        <w:drawing>
          <wp:inline distT="0" distB="0" distL="114300" distR="114300">
            <wp:extent cx="5391785" cy="3811270"/>
            <wp:effectExtent l="0" t="0" r="18415" b="17780"/>
            <wp:docPr id="42" name="图片 58" descr="附件3采矿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8" descr="附件3采矿许可证"/>
                    <pic:cNvPicPr>
                      <a:picLocks noChangeAspect="1"/>
                    </pic:cNvPicPr>
                  </pic:nvPicPr>
                  <pic:blipFill>
                    <a:blip r:embed="rId11"/>
                    <a:stretch>
                      <a:fillRect/>
                    </a:stretch>
                  </pic:blipFill>
                  <pic:spPr>
                    <a:xfrm>
                      <a:off x="0" y="0"/>
                      <a:ext cx="5391785" cy="3811270"/>
                    </a:xfrm>
                    <a:prstGeom prst="rect">
                      <a:avLst/>
                    </a:prstGeom>
                    <a:noFill/>
                    <a:ln>
                      <a:noFill/>
                    </a:ln>
                  </pic:spPr>
                </pic:pic>
              </a:graphicData>
            </a:graphic>
          </wp:inline>
        </w:drawing>
      </w:r>
      <w:r>
        <w:rPr>
          <w:rFonts w:hint="eastAsia"/>
          <w:lang w:val="en-US" w:eastAsia="zh-CN"/>
        </w:rPr>
        <w:drawing>
          <wp:inline distT="0" distB="0" distL="114300" distR="114300">
            <wp:extent cx="5442585" cy="7800975"/>
            <wp:effectExtent l="0" t="0" r="5715" b="9525"/>
            <wp:docPr id="43" name="图片 59" descr="1650960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9" descr="1650960886(1)"/>
                    <pic:cNvPicPr>
                      <a:picLocks noChangeAspect="1"/>
                    </pic:cNvPicPr>
                  </pic:nvPicPr>
                  <pic:blipFill>
                    <a:blip r:embed="rId12"/>
                    <a:stretch>
                      <a:fillRect/>
                    </a:stretch>
                  </pic:blipFill>
                  <pic:spPr>
                    <a:xfrm>
                      <a:off x="0" y="0"/>
                      <a:ext cx="5442585" cy="7800975"/>
                    </a:xfrm>
                    <a:prstGeom prst="rect">
                      <a:avLst/>
                    </a:prstGeom>
                    <a:noFill/>
                    <a:ln>
                      <a:noFill/>
                    </a:ln>
                  </pic:spPr>
                </pic:pic>
              </a:graphicData>
            </a:graphic>
          </wp:inline>
        </w:drawing>
      </w:r>
      <w:r>
        <w:rPr>
          <w:rFonts w:hint="eastAsia"/>
          <w:lang w:val="en-US" w:eastAsia="zh-CN"/>
        </w:rPr>
        <w:drawing>
          <wp:inline distT="0" distB="0" distL="114300" distR="114300">
            <wp:extent cx="5533390" cy="7800340"/>
            <wp:effectExtent l="0" t="0" r="10160" b="10160"/>
            <wp:docPr id="44" name="图片 60" descr="1650960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0" descr="1650960899(1)"/>
                    <pic:cNvPicPr>
                      <a:picLocks noChangeAspect="1"/>
                    </pic:cNvPicPr>
                  </pic:nvPicPr>
                  <pic:blipFill>
                    <a:blip r:embed="rId13"/>
                    <a:stretch>
                      <a:fillRect/>
                    </a:stretch>
                  </pic:blipFill>
                  <pic:spPr>
                    <a:xfrm>
                      <a:off x="0" y="0"/>
                      <a:ext cx="5533390" cy="7800340"/>
                    </a:xfrm>
                    <a:prstGeom prst="rect">
                      <a:avLst/>
                    </a:prstGeom>
                    <a:noFill/>
                    <a:ln>
                      <a:noFill/>
                    </a:ln>
                  </pic:spPr>
                </pic:pic>
              </a:graphicData>
            </a:graphic>
          </wp:inline>
        </w:drawing>
      </w:r>
      <w:r>
        <w:rPr>
          <w:rFonts w:hint="eastAsia"/>
          <w:lang w:val="en-US" w:eastAsia="zh-CN"/>
        </w:rPr>
        <w:drawing>
          <wp:inline distT="0" distB="0" distL="114300" distR="114300">
            <wp:extent cx="5656580" cy="7971790"/>
            <wp:effectExtent l="0" t="0" r="1270" b="10160"/>
            <wp:docPr id="45" name="图片 61" descr="1650960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1" descr="1650960962(1)"/>
                    <pic:cNvPicPr>
                      <a:picLocks noChangeAspect="1"/>
                    </pic:cNvPicPr>
                  </pic:nvPicPr>
                  <pic:blipFill>
                    <a:blip r:embed="rId14"/>
                    <a:stretch>
                      <a:fillRect/>
                    </a:stretch>
                  </pic:blipFill>
                  <pic:spPr>
                    <a:xfrm>
                      <a:off x="0" y="0"/>
                      <a:ext cx="5656580" cy="7971790"/>
                    </a:xfrm>
                    <a:prstGeom prst="rect">
                      <a:avLst/>
                    </a:prstGeom>
                    <a:noFill/>
                    <a:ln>
                      <a:noFill/>
                    </a:ln>
                  </pic:spPr>
                </pic:pic>
              </a:graphicData>
            </a:graphic>
          </wp:inline>
        </w:drawing>
      </w:r>
      <w:r>
        <w:rPr>
          <w:rFonts w:hint="eastAsia"/>
          <w:lang w:val="en-US" w:eastAsia="zh-CN"/>
        </w:rPr>
        <w:drawing>
          <wp:inline distT="0" distB="0" distL="114300" distR="114300">
            <wp:extent cx="5986145" cy="8212455"/>
            <wp:effectExtent l="0" t="0" r="14605" b="17145"/>
            <wp:docPr id="46" name="图片 63" descr="1650960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3" descr="1650960985(1)"/>
                    <pic:cNvPicPr>
                      <a:picLocks noChangeAspect="1"/>
                    </pic:cNvPicPr>
                  </pic:nvPicPr>
                  <pic:blipFill>
                    <a:blip r:embed="rId15"/>
                    <a:stretch>
                      <a:fillRect/>
                    </a:stretch>
                  </pic:blipFill>
                  <pic:spPr>
                    <a:xfrm>
                      <a:off x="0" y="0"/>
                      <a:ext cx="5986145" cy="8212455"/>
                    </a:xfrm>
                    <a:prstGeom prst="rect">
                      <a:avLst/>
                    </a:prstGeom>
                    <a:noFill/>
                    <a:ln>
                      <a:noFill/>
                    </a:ln>
                  </pic:spPr>
                </pic:pic>
              </a:graphicData>
            </a:graphic>
          </wp:inline>
        </w:drawing>
      </w:r>
      <w:r>
        <w:rPr>
          <w:rFonts w:hint="eastAsia"/>
          <w:lang w:val="en-US" w:eastAsia="zh-CN"/>
        </w:rPr>
        <w:drawing>
          <wp:inline distT="0" distB="0" distL="114300" distR="114300">
            <wp:extent cx="5398135" cy="7700010"/>
            <wp:effectExtent l="0" t="0" r="12065" b="15240"/>
            <wp:docPr id="47" name="图片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4" descr="1"/>
                    <pic:cNvPicPr>
                      <a:picLocks noChangeAspect="1"/>
                    </pic:cNvPicPr>
                  </pic:nvPicPr>
                  <pic:blipFill>
                    <a:blip r:embed="rId16"/>
                    <a:stretch>
                      <a:fillRect/>
                    </a:stretch>
                  </pic:blipFill>
                  <pic:spPr>
                    <a:xfrm>
                      <a:off x="0" y="0"/>
                      <a:ext cx="5398135" cy="7700010"/>
                    </a:xfrm>
                    <a:prstGeom prst="rect">
                      <a:avLst/>
                    </a:prstGeom>
                    <a:noFill/>
                    <a:ln>
                      <a:noFill/>
                    </a:ln>
                  </pic:spPr>
                </pic:pic>
              </a:graphicData>
            </a:graphic>
          </wp:inline>
        </w:drawing>
      </w:r>
      <w:r>
        <w:rPr>
          <w:rFonts w:hint="eastAsia"/>
          <w:lang w:val="en-US" w:eastAsia="zh-CN"/>
        </w:rPr>
        <w:drawing>
          <wp:inline distT="0" distB="0" distL="114300" distR="114300">
            <wp:extent cx="5398135" cy="7700010"/>
            <wp:effectExtent l="0" t="0" r="12065" b="15240"/>
            <wp:docPr id="48" name="图片 6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5" descr="2"/>
                    <pic:cNvPicPr>
                      <a:picLocks noChangeAspect="1"/>
                    </pic:cNvPicPr>
                  </pic:nvPicPr>
                  <pic:blipFill>
                    <a:blip r:embed="rId17"/>
                    <a:stretch>
                      <a:fillRect/>
                    </a:stretch>
                  </pic:blipFill>
                  <pic:spPr>
                    <a:xfrm>
                      <a:off x="0" y="0"/>
                      <a:ext cx="5398135" cy="7700010"/>
                    </a:xfrm>
                    <a:prstGeom prst="rect">
                      <a:avLst/>
                    </a:prstGeom>
                    <a:noFill/>
                    <a:ln>
                      <a:noFill/>
                    </a:ln>
                  </pic:spPr>
                </pic:pic>
              </a:graphicData>
            </a:graphic>
          </wp:inline>
        </w:drawing>
      </w:r>
      <w:r>
        <w:rPr>
          <w:rFonts w:hint="eastAsia"/>
          <w:lang w:val="en-US" w:eastAsia="zh-CN"/>
        </w:rPr>
        <w:drawing>
          <wp:inline distT="0" distB="0" distL="114300" distR="114300">
            <wp:extent cx="5398135" cy="7700010"/>
            <wp:effectExtent l="0" t="0" r="12065" b="15240"/>
            <wp:docPr id="49" name="图片 66" descr="会议纪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6" descr="会议纪要1"/>
                    <pic:cNvPicPr>
                      <a:picLocks noChangeAspect="1"/>
                    </pic:cNvPicPr>
                  </pic:nvPicPr>
                  <pic:blipFill>
                    <a:blip r:embed="rId18"/>
                    <a:stretch>
                      <a:fillRect/>
                    </a:stretch>
                  </pic:blipFill>
                  <pic:spPr>
                    <a:xfrm>
                      <a:off x="0" y="0"/>
                      <a:ext cx="5398135" cy="7700010"/>
                    </a:xfrm>
                    <a:prstGeom prst="rect">
                      <a:avLst/>
                    </a:prstGeom>
                    <a:noFill/>
                    <a:ln>
                      <a:noFill/>
                    </a:ln>
                  </pic:spPr>
                </pic:pic>
              </a:graphicData>
            </a:graphic>
          </wp:inline>
        </w:drawing>
      </w:r>
      <w:r>
        <w:rPr>
          <w:rFonts w:hint="eastAsia"/>
          <w:lang w:val="en-US" w:eastAsia="zh-CN"/>
        </w:rPr>
        <w:drawing>
          <wp:inline distT="0" distB="0" distL="114300" distR="114300">
            <wp:extent cx="5398135" cy="7700010"/>
            <wp:effectExtent l="0" t="0" r="12065" b="15240"/>
            <wp:docPr id="50" name="图片 67" descr="会议纪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7" descr="会议纪要2"/>
                    <pic:cNvPicPr>
                      <a:picLocks noChangeAspect="1"/>
                    </pic:cNvPicPr>
                  </pic:nvPicPr>
                  <pic:blipFill>
                    <a:blip r:embed="rId19"/>
                    <a:stretch>
                      <a:fillRect/>
                    </a:stretch>
                  </pic:blipFill>
                  <pic:spPr>
                    <a:xfrm>
                      <a:off x="0" y="0"/>
                      <a:ext cx="5398135" cy="7700010"/>
                    </a:xfrm>
                    <a:prstGeom prst="rect">
                      <a:avLst/>
                    </a:prstGeom>
                    <a:noFill/>
                    <a:ln>
                      <a:noFill/>
                    </a:ln>
                  </pic:spPr>
                </pic:pic>
              </a:graphicData>
            </a:graphic>
          </wp:inline>
        </w:drawing>
      </w:r>
    </w:p>
    <w:p w14:paraId="43F707E4">
      <w:pPr>
        <w:pStyle w:val="112"/>
        <w:spacing w:line="360" w:lineRule="auto"/>
        <w:ind w:firstLine="420" w:firstLineChars="200"/>
        <w:jc w:val="center"/>
        <w:rPr>
          <w:rFonts w:hint="eastAsia"/>
          <w:lang w:val="en-US" w:eastAsia="zh-CN"/>
        </w:rPr>
      </w:pPr>
    </w:p>
    <w:p w14:paraId="2E17D5F1">
      <w:pPr>
        <w:pStyle w:val="112"/>
        <w:spacing w:line="360" w:lineRule="auto"/>
        <w:ind w:firstLine="420" w:firstLineChars="200"/>
        <w:jc w:val="center"/>
        <w:rPr>
          <w:rFonts w:hint="eastAsia"/>
          <w:lang w:val="en-US" w:eastAsia="zh-CN"/>
        </w:rPr>
      </w:pPr>
    </w:p>
    <w:p w14:paraId="3E026C90">
      <w:pPr>
        <w:pStyle w:val="112"/>
        <w:spacing w:line="360" w:lineRule="auto"/>
        <w:ind w:firstLine="420" w:firstLineChars="200"/>
        <w:jc w:val="center"/>
        <w:rPr>
          <w:rFonts w:hint="eastAsia"/>
          <w:lang w:val="en-US" w:eastAsia="zh-CN"/>
        </w:rPr>
      </w:pPr>
    </w:p>
    <w:p w14:paraId="396113D3">
      <w:pPr>
        <w:pStyle w:val="112"/>
        <w:spacing w:line="360" w:lineRule="auto"/>
        <w:ind w:firstLine="643" w:firstLineChars="200"/>
        <w:jc w:val="center"/>
        <w:rPr>
          <w:rFonts w:hint="eastAsia"/>
          <w:b/>
          <w:sz w:val="32"/>
          <w:szCs w:val="32"/>
        </w:rPr>
      </w:pPr>
      <w:r>
        <w:rPr>
          <w:rFonts w:hint="eastAsia"/>
          <w:b/>
          <w:sz w:val="32"/>
          <w:szCs w:val="32"/>
        </w:rPr>
        <w:t>修改说明</w:t>
      </w:r>
    </w:p>
    <w:p w14:paraId="2A2A424F">
      <w:pPr>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202</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年</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val="en-US" w:eastAsia="zh-CN"/>
        </w:rPr>
        <w:t>月</w:t>
      </w:r>
      <w:r>
        <w:rPr>
          <w:rFonts w:hint="eastAsia"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lang w:val="en-US" w:eastAsia="zh-CN"/>
        </w:rPr>
        <w:t>日</w:t>
      </w:r>
      <w:r>
        <w:rPr>
          <w:rFonts w:hint="eastAsia" w:ascii="Times New Roman" w:hAnsi="Times New Roman" w:eastAsia="宋体" w:cs="Times New Roman"/>
          <w:color w:val="auto"/>
          <w:sz w:val="24"/>
          <w:lang w:val="en-US" w:eastAsia="zh-CN"/>
        </w:rPr>
        <w:t>，德宏州生态环境局芒市分局组织对德宏正康环保科技有限公司编制的《芒市华盛金矿开发有限公司生产勘探项目</w:t>
      </w:r>
      <w:r>
        <w:rPr>
          <w:rFonts w:hint="default" w:ascii="Times New Roman" w:hAnsi="Times New Roman" w:eastAsia="宋体" w:cs="Times New Roman"/>
          <w:color w:val="auto"/>
          <w:sz w:val="24"/>
          <w:lang w:val="en-US" w:eastAsia="zh-CN"/>
        </w:rPr>
        <w:t>环境影响报告表</w:t>
      </w:r>
      <w:r>
        <w:rPr>
          <w:rFonts w:hint="eastAsia" w:ascii="Times New Roman" w:hAnsi="Times New Roman" w:eastAsia="宋体" w:cs="Times New Roman"/>
          <w:color w:val="auto"/>
          <w:sz w:val="24"/>
          <w:lang w:val="en-US" w:eastAsia="zh-CN"/>
        </w:rPr>
        <w:t>》进行了技术评审，</w:t>
      </w:r>
      <w:r>
        <w:rPr>
          <w:rFonts w:hint="default" w:ascii="Times New Roman" w:hAnsi="Times New Roman" w:eastAsia="宋体" w:cs="Times New Roman"/>
          <w:color w:val="auto"/>
          <w:sz w:val="24"/>
          <w:lang w:val="en-US" w:eastAsia="zh-CN"/>
        </w:rPr>
        <w:t>根据</w:t>
      </w:r>
      <w:r>
        <w:rPr>
          <w:rFonts w:hint="eastAsia" w:ascii="Times New Roman" w:hAnsi="Times New Roman" w:eastAsia="宋体" w:cs="Times New Roman"/>
          <w:color w:val="auto"/>
          <w:sz w:val="24"/>
          <w:lang w:val="en-US" w:eastAsia="zh-CN"/>
        </w:rPr>
        <w:t>会议纪要意见</w:t>
      </w:r>
      <w:r>
        <w:rPr>
          <w:rFonts w:hint="default" w:ascii="Times New Roman" w:hAnsi="Times New Roman" w:eastAsia="宋体" w:cs="Times New Roman"/>
          <w:color w:val="auto"/>
          <w:sz w:val="24"/>
          <w:lang w:val="en-US" w:eastAsia="zh-CN"/>
        </w:rPr>
        <w:t>，对环境影响报告</w:t>
      </w:r>
      <w:r>
        <w:rPr>
          <w:rFonts w:hint="eastAsia" w:ascii="Times New Roman" w:hAnsi="Times New Roman" w:eastAsia="宋体" w:cs="Times New Roman"/>
          <w:color w:val="auto"/>
          <w:sz w:val="24"/>
          <w:lang w:val="en-US" w:eastAsia="zh-CN"/>
        </w:rPr>
        <w:t>表</w:t>
      </w:r>
      <w:r>
        <w:rPr>
          <w:rFonts w:hint="default" w:ascii="Times New Roman" w:hAnsi="Times New Roman" w:eastAsia="宋体" w:cs="Times New Roman"/>
          <w:color w:val="auto"/>
          <w:sz w:val="24"/>
          <w:lang w:val="en-US" w:eastAsia="zh-CN"/>
        </w:rPr>
        <w:t>修改如下：</w:t>
      </w:r>
    </w:p>
    <w:tbl>
      <w:tblPr>
        <w:tblStyle w:val="31"/>
        <w:tblW w:w="88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3690"/>
        <w:gridCol w:w="4320"/>
      </w:tblGrid>
      <w:tr w14:paraId="29768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71" w:type="dxa"/>
            <w:noWrap w:val="0"/>
            <w:vAlign w:val="center"/>
          </w:tcPr>
          <w:p w14:paraId="1315A80B">
            <w:pPr>
              <w:keepNext w:val="0"/>
              <w:keepLines w:val="0"/>
              <w:suppressLineNumbers w:val="0"/>
              <w:spacing w:before="0" w:beforeAutospacing="0" w:after="0" w:afterAutospacing="0" w:line="360" w:lineRule="auto"/>
              <w:ind w:left="0" w:right="0"/>
              <w:jc w:val="center"/>
              <w:rPr>
                <w:rFonts w:hint="eastAsia" w:ascii="宋体" w:hAnsi="宋体" w:cs="Times New Roman"/>
                <w:b/>
                <w:bCs/>
                <w:sz w:val="21"/>
                <w:szCs w:val="21"/>
              </w:rPr>
            </w:pPr>
            <w:r>
              <w:rPr>
                <w:rFonts w:hint="eastAsia" w:ascii="宋体" w:hAnsi="宋体" w:cs="Times New Roman"/>
                <w:b/>
                <w:bCs/>
                <w:sz w:val="21"/>
                <w:szCs w:val="21"/>
              </w:rPr>
              <w:t>序号</w:t>
            </w:r>
          </w:p>
        </w:tc>
        <w:tc>
          <w:tcPr>
            <w:tcW w:w="3690" w:type="dxa"/>
            <w:noWrap w:val="0"/>
            <w:vAlign w:val="center"/>
          </w:tcPr>
          <w:p w14:paraId="5D1353BB">
            <w:pPr>
              <w:keepNext w:val="0"/>
              <w:keepLines w:val="0"/>
              <w:suppressLineNumbers w:val="0"/>
              <w:spacing w:before="0" w:beforeAutospacing="0" w:after="0" w:afterAutospacing="0" w:line="360" w:lineRule="auto"/>
              <w:ind w:left="0" w:right="0"/>
              <w:jc w:val="center"/>
              <w:rPr>
                <w:rFonts w:hint="eastAsia" w:ascii="宋体" w:hAnsi="宋体" w:cs="Times New Roman"/>
                <w:b/>
                <w:bCs/>
                <w:sz w:val="21"/>
                <w:szCs w:val="21"/>
              </w:rPr>
            </w:pPr>
            <w:r>
              <w:rPr>
                <w:rFonts w:hint="eastAsia" w:ascii="宋体" w:hAnsi="宋体" w:cs="Times New Roman"/>
                <w:b/>
                <w:bCs/>
                <w:sz w:val="21"/>
                <w:szCs w:val="21"/>
              </w:rPr>
              <w:t>意   见</w:t>
            </w:r>
          </w:p>
        </w:tc>
        <w:tc>
          <w:tcPr>
            <w:tcW w:w="4320" w:type="dxa"/>
            <w:noWrap w:val="0"/>
            <w:vAlign w:val="center"/>
          </w:tcPr>
          <w:p w14:paraId="4EEFC407">
            <w:pPr>
              <w:keepNext w:val="0"/>
              <w:keepLines w:val="0"/>
              <w:suppressLineNumbers w:val="0"/>
              <w:spacing w:before="0" w:beforeAutospacing="0" w:after="0" w:afterAutospacing="0" w:line="360" w:lineRule="auto"/>
              <w:ind w:left="0" w:right="0"/>
              <w:jc w:val="center"/>
              <w:rPr>
                <w:rFonts w:hint="eastAsia" w:ascii="宋体" w:hAnsi="宋体" w:cs="Times New Roman"/>
                <w:b/>
                <w:bCs/>
                <w:sz w:val="21"/>
                <w:szCs w:val="21"/>
              </w:rPr>
            </w:pPr>
            <w:r>
              <w:rPr>
                <w:rFonts w:hint="eastAsia" w:ascii="宋体" w:hAnsi="宋体" w:cs="Times New Roman"/>
                <w:b/>
                <w:bCs/>
                <w:sz w:val="21"/>
                <w:szCs w:val="21"/>
              </w:rPr>
              <w:t>对应修改内容</w:t>
            </w:r>
          </w:p>
        </w:tc>
      </w:tr>
      <w:tr w14:paraId="438F8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871" w:type="dxa"/>
            <w:noWrap w:val="0"/>
            <w:vAlign w:val="center"/>
          </w:tcPr>
          <w:p w14:paraId="3C013F5A">
            <w:pPr>
              <w:keepNext w:val="0"/>
              <w:keepLines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3690" w:type="dxa"/>
            <w:noWrap w:val="0"/>
            <w:vAlign w:val="center"/>
          </w:tcPr>
          <w:p w14:paraId="2B154C10">
            <w:pPr>
              <w:pStyle w:val="24"/>
              <w:keepNext w:val="0"/>
              <w:keepLines w:val="0"/>
              <w:suppressLineNumbers w:val="0"/>
              <w:spacing w:before="0" w:beforeAutospacing="0" w:after="0" w:afterAutospacing="0"/>
              <w:ind w:left="0" w:leftChars="0" w:right="0" w:firstLine="0" w:firstLineChars="0"/>
              <w:jc w:val="both"/>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明确开挖时的大气污染防治措施。</w:t>
            </w:r>
          </w:p>
        </w:tc>
        <w:tc>
          <w:tcPr>
            <w:tcW w:w="4320" w:type="dxa"/>
            <w:noWrap w:val="0"/>
            <w:vAlign w:val="center"/>
          </w:tcPr>
          <w:p w14:paraId="18DA01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P40已经完善了大气污染防治措施。</w:t>
            </w:r>
          </w:p>
        </w:tc>
      </w:tr>
      <w:tr w14:paraId="044F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871" w:type="dxa"/>
            <w:noWrap w:val="0"/>
            <w:vAlign w:val="center"/>
          </w:tcPr>
          <w:p w14:paraId="1A58AC99">
            <w:pPr>
              <w:keepNext w:val="0"/>
              <w:keepLines w:val="0"/>
              <w:suppressLineNumbers w:val="0"/>
              <w:snapToGrid w:val="0"/>
              <w:spacing w:before="0" w:beforeAutospacing="0" w:after="0" w:afterAutospacing="0" w:line="360" w:lineRule="auto"/>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3690" w:type="dxa"/>
            <w:noWrap w:val="0"/>
            <w:vAlign w:val="center"/>
          </w:tcPr>
          <w:p w14:paraId="7328E10B">
            <w:pPr>
              <w:pStyle w:val="24"/>
              <w:keepNext w:val="0"/>
              <w:keepLines w:val="0"/>
              <w:suppressLineNumbers w:val="0"/>
              <w:spacing w:before="0" w:beforeAutospacing="0" w:after="0" w:afterAutospacing="0"/>
              <w:ind w:left="0" w:leftChars="0" w:right="0" w:firstLine="0" w:firstLineChars="0"/>
              <w:jc w:val="both"/>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补充完善废机油收集贮存设置具体位置，并对其位置的可行性进行分析。</w:t>
            </w:r>
          </w:p>
        </w:tc>
        <w:tc>
          <w:tcPr>
            <w:tcW w:w="4320" w:type="dxa"/>
            <w:noWrap w:val="0"/>
            <w:vAlign w:val="center"/>
          </w:tcPr>
          <w:p w14:paraId="10F4BD4C">
            <w:pPr>
              <w:keepNext w:val="0"/>
              <w:keepLines w:val="0"/>
              <w:suppressLineNumbers w:val="0"/>
              <w:snapToGrid w:val="0"/>
              <w:spacing w:before="0" w:beforeAutospacing="0" w:after="0" w:afterAutospacing="0" w:line="360" w:lineRule="auto"/>
              <w:ind w:left="0" w:right="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P46-47细化废机油存储位置，并分析了可行性。</w:t>
            </w:r>
          </w:p>
        </w:tc>
      </w:tr>
      <w:tr w14:paraId="3AD7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71" w:type="dxa"/>
            <w:noWrap w:val="0"/>
            <w:vAlign w:val="center"/>
          </w:tcPr>
          <w:p w14:paraId="3FF9A351">
            <w:pPr>
              <w:keepNext w:val="0"/>
              <w:keepLines w:val="0"/>
              <w:suppressLineNumbers w:val="0"/>
              <w:snapToGrid w:val="0"/>
              <w:spacing w:before="0" w:beforeAutospacing="0" w:after="0" w:afterAutospacing="0" w:line="360" w:lineRule="auto"/>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3690" w:type="dxa"/>
            <w:noWrap w:val="0"/>
            <w:vAlign w:val="center"/>
          </w:tcPr>
          <w:p w14:paraId="5D5145CC">
            <w:pPr>
              <w:keepNext w:val="0"/>
              <w:keepLines w:val="0"/>
              <w:suppressLineNumbers w:val="0"/>
              <w:snapToGrid w:val="0"/>
              <w:spacing w:before="0" w:beforeAutospacing="0" w:after="0" w:afterAutospacing="0" w:line="360" w:lineRule="auto"/>
              <w:ind w:left="0" w:right="0"/>
              <w:jc w:val="both"/>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核实废土石方的堆存方式。</w:t>
            </w:r>
          </w:p>
        </w:tc>
        <w:tc>
          <w:tcPr>
            <w:tcW w:w="4320" w:type="dxa"/>
            <w:noWrap w:val="0"/>
            <w:vAlign w:val="center"/>
          </w:tcPr>
          <w:p w14:paraId="12263919">
            <w:pPr>
              <w:keepNext w:val="0"/>
              <w:keepLines w:val="0"/>
              <w:suppressLineNumbers w:val="0"/>
              <w:snapToGrid w:val="0"/>
              <w:spacing w:before="0" w:beforeAutospacing="0" w:after="0" w:afterAutospacing="0" w:line="360" w:lineRule="auto"/>
              <w:ind w:left="0" w:right="0"/>
              <w:jc w:val="both"/>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P46已经明确了按照钻探平台分区堆存。</w:t>
            </w:r>
          </w:p>
        </w:tc>
      </w:tr>
      <w:tr w14:paraId="4A4D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1" w:type="dxa"/>
            <w:noWrap w:val="0"/>
            <w:vAlign w:val="center"/>
          </w:tcPr>
          <w:p w14:paraId="1AEE35C3">
            <w:pPr>
              <w:keepNext w:val="0"/>
              <w:keepLines w:val="0"/>
              <w:suppressLineNumbers w:val="0"/>
              <w:snapToGrid w:val="0"/>
              <w:spacing w:before="0" w:beforeAutospacing="0" w:after="0" w:afterAutospacing="0" w:line="360" w:lineRule="auto"/>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w:t>
            </w:r>
          </w:p>
        </w:tc>
        <w:tc>
          <w:tcPr>
            <w:tcW w:w="3690" w:type="dxa"/>
            <w:noWrap w:val="0"/>
            <w:vAlign w:val="center"/>
          </w:tcPr>
          <w:p w14:paraId="690C92B1">
            <w:pPr>
              <w:keepNext w:val="0"/>
              <w:keepLines w:val="0"/>
              <w:suppressLineNumbers w:val="0"/>
              <w:snapToGrid w:val="0"/>
              <w:spacing w:before="0" w:beforeAutospacing="0" w:after="0" w:afterAutospacing="0" w:line="360" w:lineRule="auto"/>
              <w:ind w:left="0" w:right="0"/>
              <w:jc w:val="both"/>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补充完善项目验收的具体要求，并加强文本校对。</w:t>
            </w:r>
          </w:p>
        </w:tc>
        <w:tc>
          <w:tcPr>
            <w:tcW w:w="4320" w:type="dxa"/>
            <w:noWrap w:val="0"/>
            <w:vAlign w:val="center"/>
          </w:tcPr>
          <w:p w14:paraId="240EE68F">
            <w:pPr>
              <w:keepNext w:val="0"/>
              <w:keepLines w:val="0"/>
              <w:suppressLineNumbers w:val="0"/>
              <w:snapToGrid w:val="0"/>
              <w:spacing w:before="0" w:beforeAutospacing="0" w:after="0" w:afterAutospacing="0" w:line="360" w:lineRule="auto"/>
              <w:ind w:left="0" w:right="0"/>
              <w:jc w:val="both"/>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P60</w:t>
            </w:r>
            <w:r>
              <w:rPr>
                <w:rFonts w:hint="default" w:ascii="Times New Roman" w:hAnsi="Times New Roman" w:cs="Times New Roman"/>
                <w:color w:val="auto"/>
                <w:kern w:val="0"/>
                <w:sz w:val="21"/>
                <w:szCs w:val="21"/>
                <w:lang w:eastAsia="zh-CN"/>
              </w:rPr>
              <w:t>已经</w:t>
            </w:r>
            <w:r>
              <w:rPr>
                <w:rFonts w:hint="eastAsia" w:ascii="Times New Roman" w:hAnsi="Times New Roman" w:cs="Times New Roman"/>
                <w:color w:val="auto"/>
                <w:kern w:val="0"/>
                <w:sz w:val="21"/>
                <w:szCs w:val="21"/>
                <w:lang w:val="en-US" w:eastAsia="zh-CN"/>
              </w:rPr>
              <w:t>明确了验收的具体要求，并</w:t>
            </w:r>
            <w:r>
              <w:rPr>
                <w:rFonts w:hint="default" w:ascii="Times New Roman" w:hAnsi="Times New Roman" w:cs="Times New Roman"/>
                <w:color w:val="auto"/>
                <w:kern w:val="0"/>
                <w:sz w:val="21"/>
                <w:szCs w:val="21"/>
                <w:lang w:eastAsia="zh-CN"/>
              </w:rPr>
              <w:t>校对修改文本</w:t>
            </w:r>
            <w:r>
              <w:rPr>
                <w:rFonts w:hint="eastAsia" w:ascii="Times New Roman" w:hAnsi="Times New Roman" w:cs="Times New Roman"/>
                <w:color w:val="auto"/>
                <w:kern w:val="0"/>
                <w:sz w:val="21"/>
                <w:szCs w:val="21"/>
                <w:lang w:eastAsia="zh-CN"/>
              </w:rPr>
              <w:t>。</w:t>
            </w:r>
          </w:p>
        </w:tc>
      </w:tr>
      <w:tr w14:paraId="3CDFF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71" w:type="dxa"/>
            <w:noWrap w:val="0"/>
            <w:vAlign w:val="center"/>
          </w:tcPr>
          <w:p w14:paraId="0E4B3904">
            <w:pPr>
              <w:keepNext w:val="0"/>
              <w:keepLines w:val="0"/>
              <w:suppressLineNumbers w:val="0"/>
              <w:snapToGrid w:val="0"/>
              <w:spacing w:before="0" w:beforeAutospacing="0" w:after="0" w:afterAutospacing="0" w:line="360" w:lineRule="auto"/>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p>
        </w:tc>
        <w:tc>
          <w:tcPr>
            <w:tcW w:w="3690" w:type="dxa"/>
            <w:noWrap w:val="0"/>
            <w:vAlign w:val="center"/>
          </w:tcPr>
          <w:p w14:paraId="132B2B61">
            <w:pPr>
              <w:keepNext w:val="0"/>
              <w:keepLines w:val="0"/>
              <w:suppressLineNumbers w:val="0"/>
              <w:snapToGrid w:val="0"/>
              <w:spacing w:before="0" w:beforeAutospacing="0" w:after="0" w:afterAutospacing="0" w:line="360" w:lineRule="auto"/>
              <w:ind w:left="0" w:right="0"/>
              <w:jc w:val="both"/>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其他意见结合与会专家意见和建设项目环评技术规范的相关要求进行修改完善。</w:t>
            </w:r>
          </w:p>
        </w:tc>
        <w:tc>
          <w:tcPr>
            <w:tcW w:w="4320" w:type="dxa"/>
            <w:noWrap w:val="0"/>
            <w:vAlign w:val="center"/>
          </w:tcPr>
          <w:p w14:paraId="7FB6468A">
            <w:pPr>
              <w:keepNext w:val="0"/>
              <w:keepLines w:val="0"/>
              <w:suppressLineNumbers w:val="0"/>
              <w:snapToGrid w:val="0"/>
              <w:spacing w:before="0" w:beforeAutospacing="0" w:after="0" w:afterAutospacing="0" w:line="360" w:lineRule="auto"/>
              <w:ind w:left="0" w:right="0"/>
              <w:jc w:val="both"/>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已经</w:t>
            </w:r>
            <w:r>
              <w:rPr>
                <w:rFonts w:hint="default" w:ascii="Times New Roman" w:hAnsi="Times New Roman" w:cs="Times New Roman"/>
                <w:color w:val="auto"/>
                <w:kern w:val="0"/>
                <w:sz w:val="21"/>
                <w:szCs w:val="21"/>
              </w:rPr>
              <w:t>按照专家意见对其它内容进行修改完善，见文本。</w:t>
            </w:r>
          </w:p>
        </w:tc>
      </w:tr>
    </w:tbl>
    <w:p w14:paraId="3825D8E1">
      <w:pPr>
        <w:snapToGrid w:val="0"/>
        <w:spacing w:line="360" w:lineRule="auto"/>
        <w:rPr>
          <w:rFonts w:hint="eastAsia" w:ascii="宋体" w:hAnsi="宋体"/>
          <w:szCs w:val="21"/>
        </w:rPr>
      </w:pPr>
    </w:p>
    <w:p w14:paraId="01B34F48">
      <w:pPr>
        <w:rPr>
          <w:rFonts w:hint="eastAsia"/>
          <w:lang w:val="en-US" w:eastAsia="zh-CN"/>
        </w:rPr>
      </w:pPr>
    </w:p>
    <w:sectPr>
      <w:pgSz w:w="11905" w:h="16838"/>
      <w:pgMar w:top="1440" w:right="1701" w:bottom="1440" w:left="1701" w:header="851" w:footer="1077" w:gutter="0"/>
      <w:pgNumType w:fmt="decimal"/>
      <w:cols w:space="720"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楷体简体">
    <w:altName w:val="宋体"/>
    <w:panose1 w:val="02010601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Wingdings 2">
    <w:panose1 w:val="05020102010507070707"/>
    <w:charset w:val="02"/>
    <w:family w:val="auto"/>
    <w:pitch w:val="default"/>
    <w:sig w:usb0="00000000" w:usb1="00000000" w:usb2="00000000" w:usb3="00000000" w:csb0="80000000" w:csb1="00000000"/>
  </w:font>
  <w:font w:name="MS PGothic">
    <w:panose1 w:val="020B0600070205080204"/>
    <w:charset w:val="80"/>
    <w:family w:val="swiss"/>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D17CE">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F73DAA">
                          <w:pPr>
                            <w:pStyle w:val="17"/>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20</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7PhGe3gEAAL8DAAAOAAAAAAAA&#10;AAEAIAAAAB4BAABkcnMvZTJvRG9jLnhtbFBLBQYAAAAABgAGAFkBAABuBQAAAAA=&#10;">
              <v:fill on="f" focussize="0,0"/>
              <v:stroke on="f"/>
              <v:imagedata o:title=""/>
              <o:lock v:ext="edit" aspectratio="f"/>
              <v:textbox inset="0mm,0mm,0mm,0mm" style="mso-fit-shape-to-text:t;">
                <w:txbxContent>
                  <w:p w14:paraId="31F73DAA">
                    <w:pPr>
                      <w:pStyle w:val="17"/>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20</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F2865">
    <w:pPr>
      <w:pStyle w:val="17"/>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0356CD">
                          <w:pPr>
                            <w:pStyle w:val="17"/>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47</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lHd/rt8BAAC/AwAADgAAAAAA&#10;AAABACAAAAAeAQAAZHJzL2Uyb0RvYy54bWxQSwUGAAAAAAYABgBZAQAAbwUAAAAA&#10;">
              <v:fill on="f" focussize="0,0"/>
              <v:stroke on="f"/>
              <v:imagedata o:title=""/>
              <o:lock v:ext="edit" aspectratio="f"/>
              <v:textbox inset="0mm,0mm,0mm,0mm" style="mso-fit-shape-to-text:t;">
                <w:txbxContent>
                  <w:p w14:paraId="010356CD">
                    <w:pPr>
                      <w:pStyle w:val="17"/>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47</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9B936">
    <w:pPr>
      <w:pStyle w:val="18"/>
      <w:pBdr>
        <w:bottom w:val="none" w:color="auto" w:sz="0" w:space="1"/>
      </w:pBdr>
      <w:rPr>
        <w:rFonts w:hint="default" w:ascii="Times New Roman" w:hAnsi="Times New Roman" w:eastAsia="宋体" w:cs="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1368A2"/>
    <w:multiLevelType w:val="singleLevel"/>
    <w:tmpl w:val="911368A2"/>
    <w:lvl w:ilvl="0" w:tentative="0">
      <w:start w:val="1"/>
      <w:numFmt w:val="decimal"/>
      <w:suff w:val="nothing"/>
      <w:lvlText w:val="（%1）"/>
      <w:lvlJc w:val="left"/>
    </w:lvl>
  </w:abstractNum>
  <w:abstractNum w:abstractNumId="1">
    <w:nsid w:val="314C714E"/>
    <w:multiLevelType w:val="singleLevel"/>
    <w:tmpl w:val="314C714E"/>
    <w:lvl w:ilvl="0" w:tentative="0">
      <w:start w:val="1"/>
      <w:numFmt w:val="bullet"/>
      <w:pStyle w:val="13"/>
      <w:lvlText w:val=""/>
      <w:lvlJc w:val="left"/>
      <w:pPr>
        <w:tabs>
          <w:tab w:val="left" w:pos="2040"/>
        </w:tabs>
        <w:ind w:left="2040" w:hanging="360"/>
      </w:pPr>
      <w:rPr>
        <w:rFonts w:hint="default" w:ascii="Wingdings" w:hAnsi="Wingdings"/>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Dream girl">
    <w15:presenceInfo w15:providerId="None" w15:userId="Dream gir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317"/>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xYWVjZjFkYTJkNzI5ZDNmMjNjYTE4YTEwNTQ2OTUifQ=="/>
  </w:docVars>
  <w:rsids>
    <w:rsidRoot w:val="00172A27"/>
    <w:rsid w:val="00005240"/>
    <w:rsid w:val="000054D4"/>
    <w:rsid w:val="000060B3"/>
    <w:rsid w:val="000062AE"/>
    <w:rsid w:val="0000785B"/>
    <w:rsid w:val="00011E72"/>
    <w:rsid w:val="00012E2B"/>
    <w:rsid w:val="0001313A"/>
    <w:rsid w:val="000171A7"/>
    <w:rsid w:val="00020E97"/>
    <w:rsid w:val="00023EBF"/>
    <w:rsid w:val="00023FC4"/>
    <w:rsid w:val="00024D67"/>
    <w:rsid w:val="00026306"/>
    <w:rsid w:val="000340F2"/>
    <w:rsid w:val="00040701"/>
    <w:rsid w:val="0004364B"/>
    <w:rsid w:val="00047847"/>
    <w:rsid w:val="0005486C"/>
    <w:rsid w:val="00061B1F"/>
    <w:rsid w:val="00063BE1"/>
    <w:rsid w:val="000733C4"/>
    <w:rsid w:val="00074783"/>
    <w:rsid w:val="0008070B"/>
    <w:rsid w:val="00080912"/>
    <w:rsid w:val="000810AC"/>
    <w:rsid w:val="00081625"/>
    <w:rsid w:val="00081A02"/>
    <w:rsid w:val="00081DAA"/>
    <w:rsid w:val="00082231"/>
    <w:rsid w:val="00090988"/>
    <w:rsid w:val="00091B50"/>
    <w:rsid w:val="00092D38"/>
    <w:rsid w:val="000936D3"/>
    <w:rsid w:val="0009377B"/>
    <w:rsid w:val="000942B7"/>
    <w:rsid w:val="0009719A"/>
    <w:rsid w:val="0009752E"/>
    <w:rsid w:val="000A20C9"/>
    <w:rsid w:val="000A4B96"/>
    <w:rsid w:val="000A6DEE"/>
    <w:rsid w:val="000B058F"/>
    <w:rsid w:val="000B083F"/>
    <w:rsid w:val="000B2FDB"/>
    <w:rsid w:val="000B32A5"/>
    <w:rsid w:val="000B4467"/>
    <w:rsid w:val="000B4DB9"/>
    <w:rsid w:val="000B58B4"/>
    <w:rsid w:val="000C09AC"/>
    <w:rsid w:val="000C16A3"/>
    <w:rsid w:val="000C54F9"/>
    <w:rsid w:val="000C767F"/>
    <w:rsid w:val="000D0204"/>
    <w:rsid w:val="000D5A44"/>
    <w:rsid w:val="000D65C8"/>
    <w:rsid w:val="000D6B99"/>
    <w:rsid w:val="000D6E9C"/>
    <w:rsid w:val="000E2C69"/>
    <w:rsid w:val="000E3ED2"/>
    <w:rsid w:val="000F7859"/>
    <w:rsid w:val="0010218E"/>
    <w:rsid w:val="00106835"/>
    <w:rsid w:val="00113436"/>
    <w:rsid w:val="00113AA9"/>
    <w:rsid w:val="00123F9E"/>
    <w:rsid w:val="00125949"/>
    <w:rsid w:val="00125A14"/>
    <w:rsid w:val="00131F42"/>
    <w:rsid w:val="00132DC3"/>
    <w:rsid w:val="00135558"/>
    <w:rsid w:val="001357F1"/>
    <w:rsid w:val="00140FA8"/>
    <w:rsid w:val="00142A43"/>
    <w:rsid w:val="00142FEB"/>
    <w:rsid w:val="00143A2D"/>
    <w:rsid w:val="00144288"/>
    <w:rsid w:val="00145A41"/>
    <w:rsid w:val="001503C1"/>
    <w:rsid w:val="001504BF"/>
    <w:rsid w:val="00151536"/>
    <w:rsid w:val="00151675"/>
    <w:rsid w:val="00157435"/>
    <w:rsid w:val="001574BB"/>
    <w:rsid w:val="001647D7"/>
    <w:rsid w:val="0016481D"/>
    <w:rsid w:val="00170DB1"/>
    <w:rsid w:val="00172E78"/>
    <w:rsid w:val="00172F99"/>
    <w:rsid w:val="001747C2"/>
    <w:rsid w:val="0017504D"/>
    <w:rsid w:val="0017671A"/>
    <w:rsid w:val="0017705E"/>
    <w:rsid w:val="00177422"/>
    <w:rsid w:val="00184590"/>
    <w:rsid w:val="001870D1"/>
    <w:rsid w:val="0018781E"/>
    <w:rsid w:val="0019262D"/>
    <w:rsid w:val="00197F43"/>
    <w:rsid w:val="001A1B35"/>
    <w:rsid w:val="001A48A2"/>
    <w:rsid w:val="001A6185"/>
    <w:rsid w:val="001A6F61"/>
    <w:rsid w:val="001B72B8"/>
    <w:rsid w:val="001C1A63"/>
    <w:rsid w:val="001C24BC"/>
    <w:rsid w:val="001C614E"/>
    <w:rsid w:val="001C69B3"/>
    <w:rsid w:val="001C7B7E"/>
    <w:rsid w:val="001D5595"/>
    <w:rsid w:val="001D7874"/>
    <w:rsid w:val="001D7F22"/>
    <w:rsid w:val="001E2498"/>
    <w:rsid w:val="001E37BD"/>
    <w:rsid w:val="001E3924"/>
    <w:rsid w:val="001E4B6D"/>
    <w:rsid w:val="001E7391"/>
    <w:rsid w:val="001E7424"/>
    <w:rsid w:val="001E7DE2"/>
    <w:rsid w:val="001F0F17"/>
    <w:rsid w:val="001F3347"/>
    <w:rsid w:val="001F37BC"/>
    <w:rsid w:val="001F69E4"/>
    <w:rsid w:val="00204861"/>
    <w:rsid w:val="002125B4"/>
    <w:rsid w:val="00214A2F"/>
    <w:rsid w:val="00214C89"/>
    <w:rsid w:val="002155B8"/>
    <w:rsid w:val="00215D8B"/>
    <w:rsid w:val="00224839"/>
    <w:rsid w:val="002249B2"/>
    <w:rsid w:val="002249E8"/>
    <w:rsid w:val="00226574"/>
    <w:rsid w:val="002278EC"/>
    <w:rsid w:val="00230943"/>
    <w:rsid w:val="0023280E"/>
    <w:rsid w:val="002377D1"/>
    <w:rsid w:val="002405CF"/>
    <w:rsid w:val="00241BEF"/>
    <w:rsid w:val="00243943"/>
    <w:rsid w:val="00243991"/>
    <w:rsid w:val="002448FF"/>
    <w:rsid w:val="002506BC"/>
    <w:rsid w:val="00252398"/>
    <w:rsid w:val="00253118"/>
    <w:rsid w:val="00254345"/>
    <w:rsid w:val="002545F5"/>
    <w:rsid w:val="00256674"/>
    <w:rsid w:val="0026008E"/>
    <w:rsid w:val="00260C06"/>
    <w:rsid w:val="00260F63"/>
    <w:rsid w:val="00262709"/>
    <w:rsid w:val="00264557"/>
    <w:rsid w:val="00264CC4"/>
    <w:rsid w:val="00267890"/>
    <w:rsid w:val="002805AB"/>
    <w:rsid w:val="00284204"/>
    <w:rsid w:val="0028497B"/>
    <w:rsid w:val="0028734E"/>
    <w:rsid w:val="00291773"/>
    <w:rsid w:val="002933BB"/>
    <w:rsid w:val="00296D51"/>
    <w:rsid w:val="002A168C"/>
    <w:rsid w:val="002A279F"/>
    <w:rsid w:val="002A3DC7"/>
    <w:rsid w:val="002B49E2"/>
    <w:rsid w:val="002B698C"/>
    <w:rsid w:val="002B7B00"/>
    <w:rsid w:val="002B7C44"/>
    <w:rsid w:val="002C2B17"/>
    <w:rsid w:val="002D2AE7"/>
    <w:rsid w:val="002D3AA1"/>
    <w:rsid w:val="002D3DD0"/>
    <w:rsid w:val="002E1F3A"/>
    <w:rsid w:val="002E298A"/>
    <w:rsid w:val="002E3ED5"/>
    <w:rsid w:val="002E5497"/>
    <w:rsid w:val="002F1C8F"/>
    <w:rsid w:val="002F6FA0"/>
    <w:rsid w:val="00301978"/>
    <w:rsid w:val="0030332C"/>
    <w:rsid w:val="003051C2"/>
    <w:rsid w:val="00305BF4"/>
    <w:rsid w:val="0031082F"/>
    <w:rsid w:val="00312132"/>
    <w:rsid w:val="00312296"/>
    <w:rsid w:val="00312893"/>
    <w:rsid w:val="00314F0E"/>
    <w:rsid w:val="003155F9"/>
    <w:rsid w:val="00321D8E"/>
    <w:rsid w:val="00324ADE"/>
    <w:rsid w:val="00325928"/>
    <w:rsid w:val="00325E4C"/>
    <w:rsid w:val="0033180E"/>
    <w:rsid w:val="00332863"/>
    <w:rsid w:val="003352DC"/>
    <w:rsid w:val="0033684D"/>
    <w:rsid w:val="00337B42"/>
    <w:rsid w:val="00341B42"/>
    <w:rsid w:val="0034348F"/>
    <w:rsid w:val="00343A31"/>
    <w:rsid w:val="00345A90"/>
    <w:rsid w:val="003518A2"/>
    <w:rsid w:val="00354977"/>
    <w:rsid w:val="00356653"/>
    <w:rsid w:val="0035743F"/>
    <w:rsid w:val="00357BE2"/>
    <w:rsid w:val="0036170C"/>
    <w:rsid w:val="00361BC1"/>
    <w:rsid w:val="003632E0"/>
    <w:rsid w:val="00366E0F"/>
    <w:rsid w:val="003712CF"/>
    <w:rsid w:val="00380D6D"/>
    <w:rsid w:val="0038175E"/>
    <w:rsid w:val="00381A72"/>
    <w:rsid w:val="00384676"/>
    <w:rsid w:val="00390857"/>
    <w:rsid w:val="003918E6"/>
    <w:rsid w:val="003A0503"/>
    <w:rsid w:val="003A3569"/>
    <w:rsid w:val="003A4BF3"/>
    <w:rsid w:val="003A507B"/>
    <w:rsid w:val="003B392E"/>
    <w:rsid w:val="003B420D"/>
    <w:rsid w:val="003B7972"/>
    <w:rsid w:val="003C0586"/>
    <w:rsid w:val="003C1702"/>
    <w:rsid w:val="003C414D"/>
    <w:rsid w:val="003C6314"/>
    <w:rsid w:val="003C6C16"/>
    <w:rsid w:val="003D0690"/>
    <w:rsid w:val="003D0BD9"/>
    <w:rsid w:val="003D794D"/>
    <w:rsid w:val="003E27B0"/>
    <w:rsid w:val="003E2BB1"/>
    <w:rsid w:val="003E3058"/>
    <w:rsid w:val="003E72A7"/>
    <w:rsid w:val="003E74CC"/>
    <w:rsid w:val="003E76A9"/>
    <w:rsid w:val="003E77D7"/>
    <w:rsid w:val="003F0809"/>
    <w:rsid w:val="003F4606"/>
    <w:rsid w:val="003F6A8C"/>
    <w:rsid w:val="003F755C"/>
    <w:rsid w:val="003F7C3F"/>
    <w:rsid w:val="00401096"/>
    <w:rsid w:val="00403C56"/>
    <w:rsid w:val="00405608"/>
    <w:rsid w:val="00406CEE"/>
    <w:rsid w:val="00406F01"/>
    <w:rsid w:val="004128E3"/>
    <w:rsid w:val="00412F0F"/>
    <w:rsid w:val="00416D50"/>
    <w:rsid w:val="00416FD5"/>
    <w:rsid w:val="00417772"/>
    <w:rsid w:val="00417EE3"/>
    <w:rsid w:val="00420E6A"/>
    <w:rsid w:val="00425A9E"/>
    <w:rsid w:val="00425D01"/>
    <w:rsid w:val="00426D6B"/>
    <w:rsid w:val="00431E6C"/>
    <w:rsid w:val="0043243E"/>
    <w:rsid w:val="00433CE7"/>
    <w:rsid w:val="0043446C"/>
    <w:rsid w:val="0044072F"/>
    <w:rsid w:val="004442BF"/>
    <w:rsid w:val="00446F4D"/>
    <w:rsid w:val="00452738"/>
    <w:rsid w:val="00456091"/>
    <w:rsid w:val="0045653D"/>
    <w:rsid w:val="00457B0E"/>
    <w:rsid w:val="0046375D"/>
    <w:rsid w:val="00466321"/>
    <w:rsid w:val="00473B3E"/>
    <w:rsid w:val="00476E6B"/>
    <w:rsid w:val="00484B9B"/>
    <w:rsid w:val="004855F6"/>
    <w:rsid w:val="0048661E"/>
    <w:rsid w:val="00487330"/>
    <w:rsid w:val="0049056C"/>
    <w:rsid w:val="00490640"/>
    <w:rsid w:val="00491CB9"/>
    <w:rsid w:val="00493956"/>
    <w:rsid w:val="00494670"/>
    <w:rsid w:val="004955C7"/>
    <w:rsid w:val="00495A66"/>
    <w:rsid w:val="00497340"/>
    <w:rsid w:val="004A1C03"/>
    <w:rsid w:val="004A1DCE"/>
    <w:rsid w:val="004A3823"/>
    <w:rsid w:val="004A49AC"/>
    <w:rsid w:val="004B1586"/>
    <w:rsid w:val="004B6697"/>
    <w:rsid w:val="004C3444"/>
    <w:rsid w:val="004C7436"/>
    <w:rsid w:val="004D29CD"/>
    <w:rsid w:val="004D3BF8"/>
    <w:rsid w:val="004E197C"/>
    <w:rsid w:val="004E2F2A"/>
    <w:rsid w:val="004E6946"/>
    <w:rsid w:val="004F1AD8"/>
    <w:rsid w:val="004F7149"/>
    <w:rsid w:val="005039CB"/>
    <w:rsid w:val="0050446A"/>
    <w:rsid w:val="00505252"/>
    <w:rsid w:val="0050558F"/>
    <w:rsid w:val="00506286"/>
    <w:rsid w:val="00510585"/>
    <w:rsid w:val="00510813"/>
    <w:rsid w:val="00511990"/>
    <w:rsid w:val="00511DE0"/>
    <w:rsid w:val="00513B8E"/>
    <w:rsid w:val="00514870"/>
    <w:rsid w:val="00514B9B"/>
    <w:rsid w:val="00517F02"/>
    <w:rsid w:val="00524303"/>
    <w:rsid w:val="00524E3A"/>
    <w:rsid w:val="00525376"/>
    <w:rsid w:val="005258A2"/>
    <w:rsid w:val="005348FF"/>
    <w:rsid w:val="00537117"/>
    <w:rsid w:val="005401AE"/>
    <w:rsid w:val="00540445"/>
    <w:rsid w:val="00542078"/>
    <w:rsid w:val="005427CA"/>
    <w:rsid w:val="005429E2"/>
    <w:rsid w:val="00542E07"/>
    <w:rsid w:val="00545424"/>
    <w:rsid w:val="00550356"/>
    <w:rsid w:val="005515DE"/>
    <w:rsid w:val="00553E94"/>
    <w:rsid w:val="00554A7B"/>
    <w:rsid w:val="0055572C"/>
    <w:rsid w:val="00560EC1"/>
    <w:rsid w:val="0056106A"/>
    <w:rsid w:val="005670D0"/>
    <w:rsid w:val="005670D6"/>
    <w:rsid w:val="005720AE"/>
    <w:rsid w:val="005755A6"/>
    <w:rsid w:val="00576EB8"/>
    <w:rsid w:val="00576F16"/>
    <w:rsid w:val="00584A7E"/>
    <w:rsid w:val="00587F95"/>
    <w:rsid w:val="00590428"/>
    <w:rsid w:val="00594D77"/>
    <w:rsid w:val="005969E4"/>
    <w:rsid w:val="005A06B7"/>
    <w:rsid w:val="005A12C4"/>
    <w:rsid w:val="005A1759"/>
    <w:rsid w:val="005A33D0"/>
    <w:rsid w:val="005A3A35"/>
    <w:rsid w:val="005A68A7"/>
    <w:rsid w:val="005A7EB4"/>
    <w:rsid w:val="005B0391"/>
    <w:rsid w:val="005B0E1E"/>
    <w:rsid w:val="005B475F"/>
    <w:rsid w:val="005C401B"/>
    <w:rsid w:val="005C419A"/>
    <w:rsid w:val="005C460F"/>
    <w:rsid w:val="005D1F28"/>
    <w:rsid w:val="005D36AB"/>
    <w:rsid w:val="005D4319"/>
    <w:rsid w:val="005D6776"/>
    <w:rsid w:val="005E418B"/>
    <w:rsid w:val="005F475D"/>
    <w:rsid w:val="00603467"/>
    <w:rsid w:val="00610C30"/>
    <w:rsid w:val="0061423B"/>
    <w:rsid w:val="006165EC"/>
    <w:rsid w:val="00617CC3"/>
    <w:rsid w:val="006256A7"/>
    <w:rsid w:val="006338D7"/>
    <w:rsid w:val="00637365"/>
    <w:rsid w:val="006377A6"/>
    <w:rsid w:val="00637A3D"/>
    <w:rsid w:val="006411EF"/>
    <w:rsid w:val="0064404B"/>
    <w:rsid w:val="00651378"/>
    <w:rsid w:val="006621B1"/>
    <w:rsid w:val="00662612"/>
    <w:rsid w:val="00663AAB"/>
    <w:rsid w:val="006748B8"/>
    <w:rsid w:val="006775C3"/>
    <w:rsid w:val="006878D7"/>
    <w:rsid w:val="0069290A"/>
    <w:rsid w:val="0069775A"/>
    <w:rsid w:val="00697813"/>
    <w:rsid w:val="006A176F"/>
    <w:rsid w:val="006A188B"/>
    <w:rsid w:val="006A3A05"/>
    <w:rsid w:val="006A3EE8"/>
    <w:rsid w:val="006A6506"/>
    <w:rsid w:val="006A71DE"/>
    <w:rsid w:val="006A72BF"/>
    <w:rsid w:val="006B03F2"/>
    <w:rsid w:val="006B2045"/>
    <w:rsid w:val="006B37DC"/>
    <w:rsid w:val="006B4455"/>
    <w:rsid w:val="006B4F68"/>
    <w:rsid w:val="006B5052"/>
    <w:rsid w:val="006C0592"/>
    <w:rsid w:val="006C0F6F"/>
    <w:rsid w:val="006C1564"/>
    <w:rsid w:val="006C22DA"/>
    <w:rsid w:val="006C272E"/>
    <w:rsid w:val="006C5479"/>
    <w:rsid w:val="006C5BAC"/>
    <w:rsid w:val="006C5D72"/>
    <w:rsid w:val="006D13B5"/>
    <w:rsid w:val="006E1191"/>
    <w:rsid w:val="006E12FF"/>
    <w:rsid w:val="006E1B2D"/>
    <w:rsid w:val="006E607E"/>
    <w:rsid w:val="006F7A65"/>
    <w:rsid w:val="00702EC6"/>
    <w:rsid w:val="0070450A"/>
    <w:rsid w:val="00706941"/>
    <w:rsid w:val="00706C5D"/>
    <w:rsid w:val="007119F0"/>
    <w:rsid w:val="00717193"/>
    <w:rsid w:val="0072495B"/>
    <w:rsid w:val="00732922"/>
    <w:rsid w:val="00747219"/>
    <w:rsid w:val="0075162E"/>
    <w:rsid w:val="00754034"/>
    <w:rsid w:val="00756556"/>
    <w:rsid w:val="007618C4"/>
    <w:rsid w:val="00762BF1"/>
    <w:rsid w:val="00763752"/>
    <w:rsid w:val="007641AC"/>
    <w:rsid w:val="00767980"/>
    <w:rsid w:val="0077082C"/>
    <w:rsid w:val="00770B19"/>
    <w:rsid w:val="00773AAB"/>
    <w:rsid w:val="0077463F"/>
    <w:rsid w:val="007804B2"/>
    <w:rsid w:val="007836EA"/>
    <w:rsid w:val="00784CDA"/>
    <w:rsid w:val="00786F66"/>
    <w:rsid w:val="00787FE0"/>
    <w:rsid w:val="007906C4"/>
    <w:rsid w:val="007940EA"/>
    <w:rsid w:val="0079630C"/>
    <w:rsid w:val="007967E8"/>
    <w:rsid w:val="00797C99"/>
    <w:rsid w:val="007A04D3"/>
    <w:rsid w:val="007A0B62"/>
    <w:rsid w:val="007A2170"/>
    <w:rsid w:val="007A22BF"/>
    <w:rsid w:val="007A3323"/>
    <w:rsid w:val="007A418B"/>
    <w:rsid w:val="007A4DFD"/>
    <w:rsid w:val="007A75D3"/>
    <w:rsid w:val="007B433F"/>
    <w:rsid w:val="007B5B89"/>
    <w:rsid w:val="007B72B8"/>
    <w:rsid w:val="007B7A58"/>
    <w:rsid w:val="007C21B5"/>
    <w:rsid w:val="007C3D6A"/>
    <w:rsid w:val="007C3DCC"/>
    <w:rsid w:val="007D42A4"/>
    <w:rsid w:val="007D5B95"/>
    <w:rsid w:val="007E1B8C"/>
    <w:rsid w:val="007E2248"/>
    <w:rsid w:val="007E4BD2"/>
    <w:rsid w:val="007E68D8"/>
    <w:rsid w:val="007F39CF"/>
    <w:rsid w:val="007F7872"/>
    <w:rsid w:val="00801393"/>
    <w:rsid w:val="00802F88"/>
    <w:rsid w:val="00804D28"/>
    <w:rsid w:val="00810B1E"/>
    <w:rsid w:val="0081293E"/>
    <w:rsid w:val="00813555"/>
    <w:rsid w:val="00815465"/>
    <w:rsid w:val="00816049"/>
    <w:rsid w:val="00817E9A"/>
    <w:rsid w:val="00822936"/>
    <w:rsid w:val="008245E2"/>
    <w:rsid w:val="008247E9"/>
    <w:rsid w:val="00824B69"/>
    <w:rsid w:val="0082588B"/>
    <w:rsid w:val="008306BD"/>
    <w:rsid w:val="00830A65"/>
    <w:rsid w:val="00831A80"/>
    <w:rsid w:val="00833743"/>
    <w:rsid w:val="008340A4"/>
    <w:rsid w:val="00843325"/>
    <w:rsid w:val="00844285"/>
    <w:rsid w:val="008512E3"/>
    <w:rsid w:val="008672F9"/>
    <w:rsid w:val="0087135F"/>
    <w:rsid w:val="00871A25"/>
    <w:rsid w:val="008728F0"/>
    <w:rsid w:val="00872D94"/>
    <w:rsid w:val="00875DF7"/>
    <w:rsid w:val="0087666C"/>
    <w:rsid w:val="00876F6E"/>
    <w:rsid w:val="00877D04"/>
    <w:rsid w:val="008801C9"/>
    <w:rsid w:val="00880364"/>
    <w:rsid w:val="008836C4"/>
    <w:rsid w:val="00883C49"/>
    <w:rsid w:val="008852CD"/>
    <w:rsid w:val="00891592"/>
    <w:rsid w:val="00891B69"/>
    <w:rsid w:val="00891E9E"/>
    <w:rsid w:val="008A0330"/>
    <w:rsid w:val="008A0989"/>
    <w:rsid w:val="008A2F68"/>
    <w:rsid w:val="008A3A16"/>
    <w:rsid w:val="008A5BC5"/>
    <w:rsid w:val="008B4FA6"/>
    <w:rsid w:val="008B5282"/>
    <w:rsid w:val="008B5A1D"/>
    <w:rsid w:val="008B7C17"/>
    <w:rsid w:val="008C16FA"/>
    <w:rsid w:val="008C2D01"/>
    <w:rsid w:val="008C2E95"/>
    <w:rsid w:val="008C3662"/>
    <w:rsid w:val="008C3B0C"/>
    <w:rsid w:val="008C40E6"/>
    <w:rsid w:val="008D0F7A"/>
    <w:rsid w:val="008D20F8"/>
    <w:rsid w:val="008D68E4"/>
    <w:rsid w:val="008E0506"/>
    <w:rsid w:val="008E0CFF"/>
    <w:rsid w:val="008E5D6B"/>
    <w:rsid w:val="008E76F0"/>
    <w:rsid w:val="008F15FE"/>
    <w:rsid w:val="008F2D29"/>
    <w:rsid w:val="008F2D3F"/>
    <w:rsid w:val="008F5187"/>
    <w:rsid w:val="008F60D8"/>
    <w:rsid w:val="00901CD7"/>
    <w:rsid w:val="00902727"/>
    <w:rsid w:val="0090312B"/>
    <w:rsid w:val="00903BA4"/>
    <w:rsid w:val="00913BDC"/>
    <w:rsid w:val="0091628D"/>
    <w:rsid w:val="0091736D"/>
    <w:rsid w:val="009258CD"/>
    <w:rsid w:val="0093037A"/>
    <w:rsid w:val="0094154D"/>
    <w:rsid w:val="009416F3"/>
    <w:rsid w:val="009444C8"/>
    <w:rsid w:val="009459F9"/>
    <w:rsid w:val="00946D7F"/>
    <w:rsid w:val="0095155F"/>
    <w:rsid w:val="00954429"/>
    <w:rsid w:val="009563CE"/>
    <w:rsid w:val="009617AD"/>
    <w:rsid w:val="00961E96"/>
    <w:rsid w:val="009623EF"/>
    <w:rsid w:val="009646AF"/>
    <w:rsid w:val="00975D66"/>
    <w:rsid w:val="00976328"/>
    <w:rsid w:val="0097680D"/>
    <w:rsid w:val="0097699F"/>
    <w:rsid w:val="0098156A"/>
    <w:rsid w:val="00982438"/>
    <w:rsid w:val="0098404C"/>
    <w:rsid w:val="00985283"/>
    <w:rsid w:val="00987798"/>
    <w:rsid w:val="00995992"/>
    <w:rsid w:val="009972D2"/>
    <w:rsid w:val="009A03E5"/>
    <w:rsid w:val="009A0F3B"/>
    <w:rsid w:val="009A1BB4"/>
    <w:rsid w:val="009A2628"/>
    <w:rsid w:val="009A3200"/>
    <w:rsid w:val="009A7A19"/>
    <w:rsid w:val="009B0897"/>
    <w:rsid w:val="009B7BD9"/>
    <w:rsid w:val="009C04A2"/>
    <w:rsid w:val="009C1086"/>
    <w:rsid w:val="009C1531"/>
    <w:rsid w:val="009C1E7C"/>
    <w:rsid w:val="009C7DD5"/>
    <w:rsid w:val="009D25BF"/>
    <w:rsid w:val="009E227D"/>
    <w:rsid w:val="009E5019"/>
    <w:rsid w:val="009E5183"/>
    <w:rsid w:val="009E55A1"/>
    <w:rsid w:val="009E61F3"/>
    <w:rsid w:val="009F2D45"/>
    <w:rsid w:val="009F3D37"/>
    <w:rsid w:val="009F402B"/>
    <w:rsid w:val="00A04F1B"/>
    <w:rsid w:val="00A0501B"/>
    <w:rsid w:val="00A11C14"/>
    <w:rsid w:val="00A127A3"/>
    <w:rsid w:val="00A13027"/>
    <w:rsid w:val="00A14947"/>
    <w:rsid w:val="00A2353C"/>
    <w:rsid w:val="00A24133"/>
    <w:rsid w:val="00A32A83"/>
    <w:rsid w:val="00A35556"/>
    <w:rsid w:val="00A368DB"/>
    <w:rsid w:val="00A404AE"/>
    <w:rsid w:val="00A40F76"/>
    <w:rsid w:val="00A42249"/>
    <w:rsid w:val="00A423AA"/>
    <w:rsid w:val="00A46497"/>
    <w:rsid w:val="00A519E4"/>
    <w:rsid w:val="00A5278D"/>
    <w:rsid w:val="00A52FAD"/>
    <w:rsid w:val="00A53EC6"/>
    <w:rsid w:val="00A54349"/>
    <w:rsid w:val="00A55C0F"/>
    <w:rsid w:val="00A70527"/>
    <w:rsid w:val="00A70D4C"/>
    <w:rsid w:val="00A755E5"/>
    <w:rsid w:val="00A8713F"/>
    <w:rsid w:val="00A87DA6"/>
    <w:rsid w:val="00A90BA1"/>
    <w:rsid w:val="00A91058"/>
    <w:rsid w:val="00A914B3"/>
    <w:rsid w:val="00A97A9A"/>
    <w:rsid w:val="00AA0671"/>
    <w:rsid w:val="00AA1999"/>
    <w:rsid w:val="00AA2278"/>
    <w:rsid w:val="00AA247C"/>
    <w:rsid w:val="00AA2531"/>
    <w:rsid w:val="00AA2EC5"/>
    <w:rsid w:val="00AA3E41"/>
    <w:rsid w:val="00AA42A0"/>
    <w:rsid w:val="00AB1E09"/>
    <w:rsid w:val="00AB5330"/>
    <w:rsid w:val="00AB6F15"/>
    <w:rsid w:val="00AB7747"/>
    <w:rsid w:val="00AC14CE"/>
    <w:rsid w:val="00AC2A56"/>
    <w:rsid w:val="00AC2F6C"/>
    <w:rsid w:val="00AC31C1"/>
    <w:rsid w:val="00AC3A95"/>
    <w:rsid w:val="00AC543A"/>
    <w:rsid w:val="00AC5AFC"/>
    <w:rsid w:val="00AD055E"/>
    <w:rsid w:val="00AD072B"/>
    <w:rsid w:val="00AD47A7"/>
    <w:rsid w:val="00AD6B0D"/>
    <w:rsid w:val="00AE0FBA"/>
    <w:rsid w:val="00AE1B4C"/>
    <w:rsid w:val="00AE24F2"/>
    <w:rsid w:val="00AE3992"/>
    <w:rsid w:val="00AE5937"/>
    <w:rsid w:val="00AE73DD"/>
    <w:rsid w:val="00AF0CBF"/>
    <w:rsid w:val="00AF257F"/>
    <w:rsid w:val="00AF2D79"/>
    <w:rsid w:val="00AF33CF"/>
    <w:rsid w:val="00AF4D50"/>
    <w:rsid w:val="00AF6179"/>
    <w:rsid w:val="00AF692F"/>
    <w:rsid w:val="00AF7B93"/>
    <w:rsid w:val="00B0165C"/>
    <w:rsid w:val="00B021BE"/>
    <w:rsid w:val="00B1295A"/>
    <w:rsid w:val="00B14EDB"/>
    <w:rsid w:val="00B20285"/>
    <w:rsid w:val="00B20A45"/>
    <w:rsid w:val="00B22A96"/>
    <w:rsid w:val="00B22C5C"/>
    <w:rsid w:val="00B238CE"/>
    <w:rsid w:val="00B24F30"/>
    <w:rsid w:val="00B31ABF"/>
    <w:rsid w:val="00B33BE3"/>
    <w:rsid w:val="00B341D8"/>
    <w:rsid w:val="00B40139"/>
    <w:rsid w:val="00B46734"/>
    <w:rsid w:val="00B477C2"/>
    <w:rsid w:val="00B51ED3"/>
    <w:rsid w:val="00B53B5D"/>
    <w:rsid w:val="00B53E97"/>
    <w:rsid w:val="00B5488B"/>
    <w:rsid w:val="00B6055E"/>
    <w:rsid w:val="00B60BC9"/>
    <w:rsid w:val="00B6317D"/>
    <w:rsid w:val="00B64490"/>
    <w:rsid w:val="00B66133"/>
    <w:rsid w:val="00B66B0C"/>
    <w:rsid w:val="00B73950"/>
    <w:rsid w:val="00B75878"/>
    <w:rsid w:val="00B75FC1"/>
    <w:rsid w:val="00B7723F"/>
    <w:rsid w:val="00B80534"/>
    <w:rsid w:val="00B82484"/>
    <w:rsid w:val="00B8433C"/>
    <w:rsid w:val="00B858FE"/>
    <w:rsid w:val="00B87491"/>
    <w:rsid w:val="00B87CF2"/>
    <w:rsid w:val="00B9739F"/>
    <w:rsid w:val="00BA0E76"/>
    <w:rsid w:val="00BA29E9"/>
    <w:rsid w:val="00BA3FAF"/>
    <w:rsid w:val="00BA610D"/>
    <w:rsid w:val="00BA7142"/>
    <w:rsid w:val="00BA7671"/>
    <w:rsid w:val="00BB0FA3"/>
    <w:rsid w:val="00BB0FF2"/>
    <w:rsid w:val="00BB237C"/>
    <w:rsid w:val="00BB41A3"/>
    <w:rsid w:val="00BC23A2"/>
    <w:rsid w:val="00BC32DC"/>
    <w:rsid w:val="00BC35B6"/>
    <w:rsid w:val="00BD0AB7"/>
    <w:rsid w:val="00BD1B51"/>
    <w:rsid w:val="00BD4410"/>
    <w:rsid w:val="00BD4538"/>
    <w:rsid w:val="00BD4596"/>
    <w:rsid w:val="00BD50DA"/>
    <w:rsid w:val="00BE1405"/>
    <w:rsid w:val="00BE312D"/>
    <w:rsid w:val="00BF1C20"/>
    <w:rsid w:val="00C02B65"/>
    <w:rsid w:val="00C048C6"/>
    <w:rsid w:val="00C052BC"/>
    <w:rsid w:val="00C06A46"/>
    <w:rsid w:val="00C10578"/>
    <w:rsid w:val="00C1069B"/>
    <w:rsid w:val="00C10AF1"/>
    <w:rsid w:val="00C10CEE"/>
    <w:rsid w:val="00C11D2E"/>
    <w:rsid w:val="00C12921"/>
    <w:rsid w:val="00C130FB"/>
    <w:rsid w:val="00C135BC"/>
    <w:rsid w:val="00C15C95"/>
    <w:rsid w:val="00C224B4"/>
    <w:rsid w:val="00C24E4C"/>
    <w:rsid w:val="00C2596A"/>
    <w:rsid w:val="00C27304"/>
    <w:rsid w:val="00C27537"/>
    <w:rsid w:val="00C328FE"/>
    <w:rsid w:val="00C33507"/>
    <w:rsid w:val="00C36F4F"/>
    <w:rsid w:val="00C37024"/>
    <w:rsid w:val="00C4409D"/>
    <w:rsid w:val="00C44E72"/>
    <w:rsid w:val="00C45A06"/>
    <w:rsid w:val="00C47E5B"/>
    <w:rsid w:val="00C61E4B"/>
    <w:rsid w:val="00C64BFF"/>
    <w:rsid w:val="00C704E9"/>
    <w:rsid w:val="00C763C9"/>
    <w:rsid w:val="00C80057"/>
    <w:rsid w:val="00C814D6"/>
    <w:rsid w:val="00C82232"/>
    <w:rsid w:val="00C82913"/>
    <w:rsid w:val="00C91447"/>
    <w:rsid w:val="00C972B1"/>
    <w:rsid w:val="00CA2CCE"/>
    <w:rsid w:val="00CA312E"/>
    <w:rsid w:val="00CA43FD"/>
    <w:rsid w:val="00CA7EF8"/>
    <w:rsid w:val="00CB58F1"/>
    <w:rsid w:val="00CB77BE"/>
    <w:rsid w:val="00CB7CAC"/>
    <w:rsid w:val="00CC489B"/>
    <w:rsid w:val="00CC50CE"/>
    <w:rsid w:val="00CD1C00"/>
    <w:rsid w:val="00CD2BCD"/>
    <w:rsid w:val="00CD3536"/>
    <w:rsid w:val="00CD3A4C"/>
    <w:rsid w:val="00CE10E9"/>
    <w:rsid w:val="00CE2910"/>
    <w:rsid w:val="00CE5393"/>
    <w:rsid w:val="00CF36BE"/>
    <w:rsid w:val="00CF6000"/>
    <w:rsid w:val="00CF6B46"/>
    <w:rsid w:val="00D001B9"/>
    <w:rsid w:val="00D003F3"/>
    <w:rsid w:val="00D00AA9"/>
    <w:rsid w:val="00D00BBE"/>
    <w:rsid w:val="00D0364F"/>
    <w:rsid w:val="00D05814"/>
    <w:rsid w:val="00D06834"/>
    <w:rsid w:val="00D06FC4"/>
    <w:rsid w:val="00D07095"/>
    <w:rsid w:val="00D105DD"/>
    <w:rsid w:val="00D147B8"/>
    <w:rsid w:val="00D22078"/>
    <w:rsid w:val="00D23A60"/>
    <w:rsid w:val="00D2645D"/>
    <w:rsid w:val="00D308ED"/>
    <w:rsid w:val="00D34DC1"/>
    <w:rsid w:val="00D36D86"/>
    <w:rsid w:val="00D428AA"/>
    <w:rsid w:val="00D42F33"/>
    <w:rsid w:val="00D43FFE"/>
    <w:rsid w:val="00D44E1C"/>
    <w:rsid w:val="00D45989"/>
    <w:rsid w:val="00D503B2"/>
    <w:rsid w:val="00D504B5"/>
    <w:rsid w:val="00D50A34"/>
    <w:rsid w:val="00D53EFA"/>
    <w:rsid w:val="00D548CA"/>
    <w:rsid w:val="00D577D3"/>
    <w:rsid w:val="00D63155"/>
    <w:rsid w:val="00D720CD"/>
    <w:rsid w:val="00D72CA7"/>
    <w:rsid w:val="00D7316E"/>
    <w:rsid w:val="00D77029"/>
    <w:rsid w:val="00D858C1"/>
    <w:rsid w:val="00D909CB"/>
    <w:rsid w:val="00D91BBA"/>
    <w:rsid w:val="00D94A7C"/>
    <w:rsid w:val="00D95896"/>
    <w:rsid w:val="00DA3EA5"/>
    <w:rsid w:val="00DB2983"/>
    <w:rsid w:val="00DB740E"/>
    <w:rsid w:val="00DC0D1F"/>
    <w:rsid w:val="00DC1257"/>
    <w:rsid w:val="00DC39CD"/>
    <w:rsid w:val="00DC3DC0"/>
    <w:rsid w:val="00DC5B2B"/>
    <w:rsid w:val="00DD318D"/>
    <w:rsid w:val="00DD451F"/>
    <w:rsid w:val="00DF26FA"/>
    <w:rsid w:val="00DF2E12"/>
    <w:rsid w:val="00DF514A"/>
    <w:rsid w:val="00DF6690"/>
    <w:rsid w:val="00DF6804"/>
    <w:rsid w:val="00E01BC8"/>
    <w:rsid w:val="00E0358D"/>
    <w:rsid w:val="00E04323"/>
    <w:rsid w:val="00E070A2"/>
    <w:rsid w:val="00E1747A"/>
    <w:rsid w:val="00E2656A"/>
    <w:rsid w:val="00E33F83"/>
    <w:rsid w:val="00E353A7"/>
    <w:rsid w:val="00E412D0"/>
    <w:rsid w:val="00E442B0"/>
    <w:rsid w:val="00E442DF"/>
    <w:rsid w:val="00E46D3F"/>
    <w:rsid w:val="00E47183"/>
    <w:rsid w:val="00E50023"/>
    <w:rsid w:val="00E535D1"/>
    <w:rsid w:val="00E542FE"/>
    <w:rsid w:val="00E56322"/>
    <w:rsid w:val="00E60982"/>
    <w:rsid w:val="00E61670"/>
    <w:rsid w:val="00E62B27"/>
    <w:rsid w:val="00E62C62"/>
    <w:rsid w:val="00E62D80"/>
    <w:rsid w:val="00E635A8"/>
    <w:rsid w:val="00E654C1"/>
    <w:rsid w:val="00E65D97"/>
    <w:rsid w:val="00E67F0F"/>
    <w:rsid w:val="00E72A5A"/>
    <w:rsid w:val="00E72F34"/>
    <w:rsid w:val="00E73354"/>
    <w:rsid w:val="00E73B20"/>
    <w:rsid w:val="00E80750"/>
    <w:rsid w:val="00E8433A"/>
    <w:rsid w:val="00E87192"/>
    <w:rsid w:val="00E912BC"/>
    <w:rsid w:val="00E916DC"/>
    <w:rsid w:val="00E9242D"/>
    <w:rsid w:val="00E92917"/>
    <w:rsid w:val="00E95078"/>
    <w:rsid w:val="00EA1F1E"/>
    <w:rsid w:val="00EB33A0"/>
    <w:rsid w:val="00EB4EDD"/>
    <w:rsid w:val="00EB5255"/>
    <w:rsid w:val="00EB5C47"/>
    <w:rsid w:val="00EC426F"/>
    <w:rsid w:val="00ED0639"/>
    <w:rsid w:val="00ED32BF"/>
    <w:rsid w:val="00ED47D4"/>
    <w:rsid w:val="00EE3E6A"/>
    <w:rsid w:val="00EE4E3C"/>
    <w:rsid w:val="00EF4755"/>
    <w:rsid w:val="00EF7135"/>
    <w:rsid w:val="00F027DB"/>
    <w:rsid w:val="00F029CE"/>
    <w:rsid w:val="00F11F52"/>
    <w:rsid w:val="00F12DA2"/>
    <w:rsid w:val="00F14A7A"/>
    <w:rsid w:val="00F21F46"/>
    <w:rsid w:val="00F22985"/>
    <w:rsid w:val="00F23482"/>
    <w:rsid w:val="00F2682B"/>
    <w:rsid w:val="00F275DD"/>
    <w:rsid w:val="00F300F8"/>
    <w:rsid w:val="00F3383E"/>
    <w:rsid w:val="00F35623"/>
    <w:rsid w:val="00F41438"/>
    <w:rsid w:val="00F41F4F"/>
    <w:rsid w:val="00F45863"/>
    <w:rsid w:val="00F465A7"/>
    <w:rsid w:val="00F50B7C"/>
    <w:rsid w:val="00F54BCC"/>
    <w:rsid w:val="00F550E6"/>
    <w:rsid w:val="00F5678B"/>
    <w:rsid w:val="00F634EE"/>
    <w:rsid w:val="00F72EDA"/>
    <w:rsid w:val="00F741FA"/>
    <w:rsid w:val="00F74345"/>
    <w:rsid w:val="00F769A2"/>
    <w:rsid w:val="00F77441"/>
    <w:rsid w:val="00F77B38"/>
    <w:rsid w:val="00F80A0A"/>
    <w:rsid w:val="00F8206D"/>
    <w:rsid w:val="00F82B19"/>
    <w:rsid w:val="00F86F80"/>
    <w:rsid w:val="00F9212D"/>
    <w:rsid w:val="00F928AA"/>
    <w:rsid w:val="00F93AA4"/>
    <w:rsid w:val="00F965DA"/>
    <w:rsid w:val="00FA31CD"/>
    <w:rsid w:val="00FA406A"/>
    <w:rsid w:val="00FA4799"/>
    <w:rsid w:val="00FB4547"/>
    <w:rsid w:val="00FB503A"/>
    <w:rsid w:val="00FB516C"/>
    <w:rsid w:val="00FC7E60"/>
    <w:rsid w:val="00FD0236"/>
    <w:rsid w:val="00FD0319"/>
    <w:rsid w:val="00FD0917"/>
    <w:rsid w:val="00FD18F4"/>
    <w:rsid w:val="00FD1AFD"/>
    <w:rsid w:val="00FD54DB"/>
    <w:rsid w:val="00FD619F"/>
    <w:rsid w:val="00FE0C49"/>
    <w:rsid w:val="00FE1AD9"/>
    <w:rsid w:val="00FE6F5F"/>
    <w:rsid w:val="00FE7408"/>
    <w:rsid w:val="00FF14D9"/>
    <w:rsid w:val="00FF18DB"/>
    <w:rsid w:val="00FF44EF"/>
    <w:rsid w:val="00FF45E2"/>
    <w:rsid w:val="01011432"/>
    <w:rsid w:val="010C4B84"/>
    <w:rsid w:val="01290F7E"/>
    <w:rsid w:val="013B020B"/>
    <w:rsid w:val="0151276E"/>
    <w:rsid w:val="015974C0"/>
    <w:rsid w:val="015D1E09"/>
    <w:rsid w:val="016726D9"/>
    <w:rsid w:val="018104CB"/>
    <w:rsid w:val="01A52705"/>
    <w:rsid w:val="01A71FD9"/>
    <w:rsid w:val="01BA694C"/>
    <w:rsid w:val="01BE7323"/>
    <w:rsid w:val="01C20BC1"/>
    <w:rsid w:val="01DD3C4D"/>
    <w:rsid w:val="021D673F"/>
    <w:rsid w:val="02697903"/>
    <w:rsid w:val="026A4094"/>
    <w:rsid w:val="02705A59"/>
    <w:rsid w:val="027A3738"/>
    <w:rsid w:val="02866ECF"/>
    <w:rsid w:val="02906F11"/>
    <w:rsid w:val="02B30143"/>
    <w:rsid w:val="02C5213D"/>
    <w:rsid w:val="02D84414"/>
    <w:rsid w:val="02DC7B6E"/>
    <w:rsid w:val="02F67AF2"/>
    <w:rsid w:val="02F96569"/>
    <w:rsid w:val="03045B91"/>
    <w:rsid w:val="03192A63"/>
    <w:rsid w:val="03376361"/>
    <w:rsid w:val="035B751F"/>
    <w:rsid w:val="03675AE6"/>
    <w:rsid w:val="03690DE5"/>
    <w:rsid w:val="0378205F"/>
    <w:rsid w:val="03800D34"/>
    <w:rsid w:val="038A570F"/>
    <w:rsid w:val="038A7E04"/>
    <w:rsid w:val="03A03184"/>
    <w:rsid w:val="03A831B3"/>
    <w:rsid w:val="03A964DC"/>
    <w:rsid w:val="03B25E62"/>
    <w:rsid w:val="03D42E2E"/>
    <w:rsid w:val="03E30724"/>
    <w:rsid w:val="03E80198"/>
    <w:rsid w:val="03EA7B21"/>
    <w:rsid w:val="03EE31B2"/>
    <w:rsid w:val="04197B9D"/>
    <w:rsid w:val="04323C2C"/>
    <w:rsid w:val="04346662"/>
    <w:rsid w:val="04596870"/>
    <w:rsid w:val="04966335"/>
    <w:rsid w:val="049909F5"/>
    <w:rsid w:val="04A2256B"/>
    <w:rsid w:val="04A24CDA"/>
    <w:rsid w:val="04A26CDC"/>
    <w:rsid w:val="04C05521"/>
    <w:rsid w:val="04D72BD5"/>
    <w:rsid w:val="04E6106A"/>
    <w:rsid w:val="055204AE"/>
    <w:rsid w:val="05597A8E"/>
    <w:rsid w:val="056F4927"/>
    <w:rsid w:val="058B3847"/>
    <w:rsid w:val="05926AFC"/>
    <w:rsid w:val="05B9052D"/>
    <w:rsid w:val="05BE1FE7"/>
    <w:rsid w:val="05ED5741"/>
    <w:rsid w:val="05F83EAE"/>
    <w:rsid w:val="06036252"/>
    <w:rsid w:val="061E7162"/>
    <w:rsid w:val="063E7D85"/>
    <w:rsid w:val="06420522"/>
    <w:rsid w:val="065B4A9E"/>
    <w:rsid w:val="066127F3"/>
    <w:rsid w:val="0661309E"/>
    <w:rsid w:val="06772A70"/>
    <w:rsid w:val="067E1020"/>
    <w:rsid w:val="068D0BDF"/>
    <w:rsid w:val="068F56FC"/>
    <w:rsid w:val="06C912D5"/>
    <w:rsid w:val="06D53145"/>
    <w:rsid w:val="06F86E33"/>
    <w:rsid w:val="07293586"/>
    <w:rsid w:val="07295285"/>
    <w:rsid w:val="074C428B"/>
    <w:rsid w:val="07577FFE"/>
    <w:rsid w:val="07610E7C"/>
    <w:rsid w:val="07636392"/>
    <w:rsid w:val="077514B6"/>
    <w:rsid w:val="07770C56"/>
    <w:rsid w:val="078C4A1B"/>
    <w:rsid w:val="079528D4"/>
    <w:rsid w:val="079B062F"/>
    <w:rsid w:val="07BE1E2B"/>
    <w:rsid w:val="07DB0C2F"/>
    <w:rsid w:val="07FB4E2D"/>
    <w:rsid w:val="08393BA7"/>
    <w:rsid w:val="085475AD"/>
    <w:rsid w:val="08597DA5"/>
    <w:rsid w:val="08644EA7"/>
    <w:rsid w:val="086A31A8"/>
    <w:rsid w:val="08702C36"/>
    <w:rsid w:val="0878647D"/>
    <w:rsid w:val="087B41C0"/>
    <w:rsid w:val="08954863"/>
    <w:rsid w:val="08A47493"/>
    <w:rsid w:val="08B966BE"/>
    <w:rsid w:val="08CA47FF"/>
    <w:rsid w:val="08D22D82"/>
    <w:rsid w:val="08E91903"/>
    <w:rsid w:val="08ED4659"/>
    <w:rsid w:val="08F85810"/>
    <w:rsid w:val="092217DD"/>
    <w:rsid w:val="09254406"/>
    <w:rsid w:val="093A7294"/>
    <w:rsid w:val="09617F95"/>
    <w:rsid w:val="097906FF"/>
    <w:rsid w:val="097E7AC3"/>
    <w:rsid w:val="0982741D"/>
    <w:rsid w:val="098A46BA"/>
    <w:rsid w:val="09CD107E"/>
    <w:rsid w:val="09CD671D"/>
    <w:rsid w:val="09D3623A"/>
    <w:rsid w:val="09F4422A"/>
    <w:rsid w:val="0A166FA5"/>
    <w:rsid w:val="0A1747BB"/>
    <w:rsid w:val="0A263993"/>
    <w:rsid w:val="0A2D3AC2"/>
    <w:rsid w:val="0A3A4960"/>
    <w:rsid w:val="0A3C5699"/>
    <w:rsid w:val="0A503467"/>
    <w:rsid w:val="0A60202F"/>
    <w:rsid w:val="0A664356"/>
    <w:rsid w:val="0A801D18"/>
    <w:rsid w:val="0A9E4184"/>
    <w:rsid w:val="0AA755DF"/>
    <w:rsid w:val="0AAD57D4"/>
    <w:rsid w:val="0AB13EC9"/>
    <w:rsid w:val="0AC37758"/>
    <w:rsid w:val="0AC459AA"/>
    <w:rsid w:val="0AE941D3"/>
    <w:rsid w:val="0B120D44"/>
    <w:rsid w:val="0B1C57E6"/>
    <w:rsid w:val="0B1F7084"/>
    <w:rsid w:val="0B266665"/>
    <w:rsid w:val="0B2C354F"/>
    <w:rsid w:val="0B445218"/>
    <w:rsid w:val="0B462863"/>
    <w:rsid w:val="0B601AC8"/>
    <w:rsid w:val="0B6C17A7"/>
    <w:rsid w:val="0B7110CC"/>
    <w:rsid w:val="0B76049B"/>
    <w:rsid w:val="0B776EC0"/>
    <w:rsid w:val="0B8D0492"/>
    <w:rsid w:val="0B900E10"/>
    <w:rsid w:val="0B90721E"/>
    <w:rsid w:val="0B941820"/>
    <w:rsid w:val="0BD27BF6"/>
    <w:rsid w:val="0BD9056C"/>
    <w:rsid w:val="0BDB6711"/>
    <w:rsid w:val="0C1963A2"/>
    <w:rsid w:val="0C24091F"/>
    <w:rsid w:val="0C3B3C7D"/>
    <w:rsid w:val="0C3C77C2"/>
    <w:rsid w:val="0C3E353A"/>
    <w:rsid w:val="0C3E57F8"/>
    <w:rsid w:val="0C517448"/>
    <w:rsid w:val="0C564D28"/>
    <w:rsid w:val="0C6236CC"/>
    <w:rsid w:val="0C663B8B"/>
    <w:rsid w:val="0C721436"/>
    <w:rsid w:val="0C8A7C52"/>
    <w:rsid w:val="0C9413AC"/>
    <w:rsid w:val="0CAB2EAE"/>
    <w:rsid w:val="0CEC2B87"/>
    <w:rsid w:val="0D026846"/>
    <w:rsid w:val="0D1D424B"/>
    <w:rsid w:val="0D2A3ABE"/>
    <w:rsid w:val="0D556D8D"/>
    <w:rsid w:val="0D5648B3"/>
    <w:rsid w:val="0D621C7D"/>
    <w:rsid w:val="0D7A4A46"/>
    <w:rsid w:val="0D7A51BC"/>
    <w:rsid w:val="0D9A6E96"/>
    <w:rsid w:val="0DB6362F"/>
    <w:rsid w:val="0DB87CE6"/>
    <w:rsid w:val="0DF02F5A"/>
    <w:rsid w:val="0DF62E88"/>
    <w:rsid w:val="0E0013EF"/>
    <w:rsid w:val="0E021581"/>
    <w:rsid w:val="0E053182"/>
    <w:rsid w:val="0E0833E9"/>
    <w:rsid w:val="0E3C619F"/>
    <w:rsid w:val="0E4B63E2"/>
    <w:rsid w:val="0E563D0C"/>
    <w:rsid w:val="0E5B6625"/>
    <w:rsid w:val="0E643B2C"/>
    <w:rsid w:val="0E73034D"/>
    <w:rsid w:val="0E757FC4"/>
    <w:rsid w:val="0E977CAD"/>
    <w:rsid w:val="0E9D4E90"/>
    <w:rsid w:val="0EAD5F5B"/>
    <w:rsid w:val="0EC0292C"/>
    <w:rsid w:val="0ECD7164"/>
    <w:rsid w:val="0EE67D04"/>
    <w:rsid w:val="0EEC2418"/>
    <w:rsid w:val="0F13775A"/>
    <w:rsid w:val="0F19203C"/>
    <w:rsid w:val="0F3D3F7D"/>
    <w:rsid w:val="0F5F45FE"/>
    <w:rsid w:val="0F8311E2"/>
    <w:rsid w:val="0F9131B4"/>
    <w:rsid w:val="0F933BF6"/>
    <w:rsid w:val="0F9A112B"/>
    <w:rsid w:val="0FB022B6"/>
    <w:rsid w:val="0FBF4992"/>
    <w:rsid w:val="0FCD2E73"/>
    <w:rsid w:val="0FDA17CC"/>
    <w:rsid w:val="10134CDE"/>
    <w:rsid w:val="1019322A"/>
    <w:rsid w:val="1021564D"/>
    <w:rsid w:val="103A670E"/>
    <w:rsid w:val="104B3462"/>
    <w:rsid w:val="104F7A31"/>
    <w:rsid w:val="106A2B50"/>
    <w:rsid w:val="106D2F64"/>
    <w:rsid w:val="107E2A9F"/>
    <w:rsid w:val="1081433D"/>
    <w:rsid w:val="108E2FB1"/>
    <w:rsid w:val="108F6A5A"/>
    <w:rsid w:val="10A206D4"/>
    <w:rsid w:val="10B63710"/>
    <w:rsid w:val="10CA10C1"/>
    <w:rsid w:val="10CF50A9"/>
    <w:rsid w:val="10D50CE4"/>
    <w:rsid w:val="10D601E5"/>
    <w:rsid w:val="10EB230C"/>
    <w:rsid w:val="10ED4B28"/>
    <w:rsid w:val="10F10820"/>
    <w:rsid w:val="110411F6"/>
    <w:rsid w:val="110A7E8F"/>
    <w:rsid w:val="111C2F7A"/>
    <w:rsid w:val="1124603E"/>
    <w:rsid w:val="114856A6"/>
    <w:rsid w:val="11665CA1"/>
    <w:rsid w:val="11733983"/>
    <w:rsid w:val="117850BA"/>
    <w:rsid w:val="117F6ACF"/>
    <w:rsid w:val="118B5473"/>
    <w:rsid w:val="119F6522"/>
    <w:rsid w:val="11AE1582"/>
    <w:rsid w:val="11BA05DB"/>
    <w:rsid w:val="11BC387F"/>
    <w:rsid w:val="11EE77B0"/>
    <w:rsid w:val="121102F0"/>
    <w:rsid w:val="122665FC"/>
    <w:rsid w:val="12333415"/>
    <w:rsid w:val="123A29EE"/>
    <w:rsid w:val="12492C39"/>
    <w:rsid w:val="12582E7C"/>
    <w:rsid w:val="12703A17"/>
    <w:rsid w:val="128168D8"/>
    <w:rsid w:val="12872131"/>
    <w:rsid w:val="12906901"/>
    <w:rsid w:val="12C80001"/>
    <w:rsid w:val="12F9640D"/>
    <w:rsid w:val="13033992"/>
    <w:rsid w:val="130C25E4"/>
    <w:rsid w:val="13103310"/>
    <w:rsid w:val="131E2317"/>
    <w:rsid w:val="13250FB0"/>
    <w:rsid w:val="13297A4F"/>
    <w:rsid w:val="132B0C82"/>
    <w:rsid w:val="13484F1B"/>
    <w:rsid w:val="134A6C68"/>
    <w:rsid w:val="13516F8A"/>
    <w:rsid w:val="137C15A8"/>
    <w:rsid w:val="13806B2E"/>
    <w:rsid w:val="138510D5"/>
    <w:rsid w:val="13951726"/>
    <w:rsid w:val="139879D4"/>
    <w:rsid w:val="1399265E"/>
    <w:rsid w:val="13994898"/>
    <w:rsid w:val="13BF36BD"/>
    <w:rsid w:val="13C239F7"/>
    <w:rsid w:val="13FB6F56"/>
    <w:rsid w:val="140B0714"/>
    <w:rsid w:val="14107502"/>
    <w:rsid w:val="141379A2"/>
    <w:rsid w:val="1424395D"/>
    <w:rsid w:val="14275B8B"/>
    <w:rsid w:val="14396509"/>
    <w:rsid w:val="145002AE"/>
    <w:rsid w:val="1457788F"/>
    <w:rsid w:val="145853B5"/>
    <w:rsid w:val="146312F0"/>
    <w:rsid w:val="146855F8"/>
    <w:rsid w:val="14802331"/>
    <w:rsid w:val="148306BA"/>
    <w:rsid w:val="14CB6F5B"/>
    <w:rsid w:val="14DB4787"/>
    <w:rsid w:val="14DC1B42"/>
    <w:rsid w:val="14DD2C3C"/>
    <w:rsid w:val="14E00730"/>
    <w:rsid w:val="14E01243"/>
    <w:rsid w:val="14E05AD6"/>
    <w:rsid w:val="14FD1EBA"/>
    <w:rsid w:val="14FE41AE"/>
    <w:rsid w:val="150155F3"/>
    <w:rsid w:val="15127F4A"/>
    <w:rsid w:val="151D430C"/>
    <w:rsid w:val="15205DFE"/>
    <w:rsid w:val="15237771"/>
    <w:rsid w:val="1538166B"/>
    <w:rsid w:val="15436C90"/>
    <w:rsid w:val="15443F43"/>
    <w:rsid w:val="15455939"/>
    <w:rsid w:val="157A6D9B"/>
    <w:rsid w:val="15825EBE"/>
    <w:rsid w:val="158346B4"/>
    <w:rsid w:val="159B7C4F"/>
    <w:rsid w:val="159B7ECD"/>
    <w:rsid w:val="159F5566"/>
    <w:rsid w:val="15A41965"/>
    <w:rsid w:val="15D867AD"/>
    <w:rsid w:val="15DA2525"/>
    <w:rsid w:val="15F01D49"/>
    <w:rsid w:val="15FF308B"/>
    <w:rsid w:val="16087E1D"/>
    <w:rsid w:val="1609105D"/>
    <w:rsid w:val="160921E7"/>
    <w:rsid w:val="160F7CF5"/>
    <w:rsid w:val="16184DFC"/>
    <w:rsid w:val="161A4FBA"/>
    <w:rsid w:val="16210B07"/>
    <w:rsid w:val="16270310"/>
    <w:rsid w:val="164B1E39"/>
    <w:rsid w:val="16654DEE"/>
    <w:rsid w:val="168D7598"/>
    <w:rsid w:val="16906A32"/>
    <w:rsid w:val="169E79F7"/>
    <w:rsid w:val="16C32FBA"/>
    <w:rsid w:val="16C805D0"/>
    <w:rsid w:val="16C94348"/>
    <w:rsid w:val="16D7385B"/>
    <w:rsid w:val="16E820D0"/>
    <w:rsid w:val="16EB762D"/>
    <w:rsid w:val="16F05D79"/>
    <w:rsid w:val="16F2389F"/>
    <w:rsid w:val="16FF7D6A"/>
    <w:rsid w:val="172F68A1"/>
    <w:rsid w:val="174340FA"/>
    <w:rsid w:val="174D31CB"/>
    <w:rsid w:val="17591B70"/>
    <w:rsid w:val="176455A6"/>
    <w:rsid w:val="17701D14"/>
    <w:rsid w:val="17735226"/>
    <w:rsid w:val="177B1B7B"/>
    <w:rsid w:val="177B7D38"/>
    <w:rsid w:val="17852B00"/>
    <w:rsid w:val="17881A1F"/>
    <w:rsid w:val="17881A6B"/>
    <w:rsid w:val="179B3F36"/>
    <w:rsid w:val="17AE6D48"/>
    <w:rsid w:val="17D03DF8"/>
    <w:rsid w:val="17D17F51"/>
    <w:rsid w:val="17D239BC"/>
    <w:rsid w:val="17F667BF"/>
    <w:rsid w:val="180A2E6A"/>
    <w:rsid w:val="180A4C18"/>
    <w:rsid w:val="18115FA7"/>
    <w:rsid w:val="182A725D"/>
    <w:rsid w:val="182B350C"/>
    <w:rsid w:val="185506F3"/>
    <w:rsid w:val="187111DD"/>
    <w:rsid w:val="18716504"/>
    <w:rsid w:val="187E155F"/>
    <w:rsid w:val="188449CB"/>
    <w:rsid w:val="189903D2"/>
    <w:rsid w:val="189F624C"/>
    <w:rsid w:val="18A13E5D"/>
    <w:rsid w:val="18A40BC9"/>
    <w:rsid w:val="18B057C0"/>
    <w:rsid w:val="18BA03EC"/>
    <w:rsid w:val="18D97ACF"/>
    <w:rsid w:val="18DA46F1"/>
    <w:rsid w:val="18F066D7"/>
    <w:rsid w:val="19061318"/>
    <w:rsid w:val="19157D18"/>
    <w:rsid w:val="193B50A5"/>
    <w:rsid w:val="193C34F7"/>
    <w:rsid w:val="19455D09"/>
    <w:rsid w:val="19526877"/>
    <w:rsid w:val="197C1B46"/>
    <w:rsid w:val="197C2125"/>
    <w:rsid w:val="1993527B"/>
    <w:rsid w:val="19966E02"/>
    <w:rsid w:val="199C11DF"/>
    <w:rsid w:val="19B02359"/>
    <w:rsid w:val="19C82C80"/>
    <w:rsid w:val="19F11AEE"/>
    <w:rsid w:val="19FB2A6A"/>
    <w:rsid w:val="1A0A29DC"/>
    <w:rsid w:val="1A1104E0"/>
    <w:rsid w:val="1A1A55E6"/>
    <w:rsid w:val="1A1C66C0"/>
    <w:rsid w:val="1A201E34"/>
    <w:rsid w:val="1A2A621A"/>
    <w:rsid w:val="1A310B82"/>
    <w:rsid w:val="1A332204"/>
    <w:rsid w:val="1A42393B"/>
    <w:rsid w:val="1A495ECC"/>
    <w:rsid w:val="1A710E2A"/>
    <w:rsid w:val="1A731697"/>
    <w:rsid w:val="1A77646D"/>
    <w:rsid w:val="1A856ABC"/>
    <w:rsid w:val="1A9A4429"/>
    <w:rsid w:val="1AAB67EB"/>
    <w:rsid w:val="1AAD45DE"/>
    <w:rsid w:val="1AAD6CAA"/>
    <w:rsid w:val="1ABD5F72"/>
    <w:rsid w:val="1ACD08AB"/>
    <w:rsid w:val="1AD339E7"/>
    <w:rsid w:val="1AD75285"/>
    <w:rsid w:val="1ADA4D76"/>
    <w:rsid w:val="1B046F80"/>
    <w:rsid w:val="1B1F5755"/>
    <w:rsid w:val="1B2B737F"/>
    <w:rsid w:val="1B3267B5"/>
    <w:rsid w:val="1B3950CA"/>
    <w:rsid w:val="1B40161D"/>
    <w:rsid w:val="1B441859"/>
    <w:rsid w:val="1B4B7A22"/>
    <w:rsid w:val="1B4E4F1E"/>
    <w:rsid w:val="1B50328A"/>
    <w:rsid w:val="1B611234"/>
    <w:rsid w:val="1B6606B1"/>
    <w:rsid w:val="1B6E6C7B"/>
    <w:rsid w:val="1B871AE8"/>
    <w:rsid w:val="1BA55384"/>
    <w:rsid w:val="1BC21757"/>
    <w:rsid w:val="1BD47A17"/>
    <w:rsid w:val="1BD9502D"/>
    <w:rsid w:val="1BDB3D17"/>
    <w:rsid w:val="1BE12258"/>
    <w:rsid w:val="1BF14125"/>
    <w:rsid w:val="1BF711A9"/>
    <w:rsid w:val="1BFB4FA4"/>
    <w:rsid w:val="1C13077B"/>
    <w:rsid w:val="1C27223D"/>
    <w:rsid w:val="1C2B2D62"/>
    <w:rsid w:val="1C3F5BE8"/>
    <w:rsid w:val="1C437BD8"/>
    <w:rsid w:val="1C511068"/>
    <w:rsid w:val="1C5E7925"/>
    <w:rsid w:val="1C76287C"/>
    <w:rsid w:val="1C7A236C"/>
    <w:rsid w:val="1C7B60E4"/>
    <w:rsid w:val="1C8C491B"/>
    <w:rsid w:val="1C99656B"/>
    <w:rsid w:val="1CC25AC1"/>
    <w:rsid w:val="1CC80CCE"/>
    <w:rsid w:val="1CD777BF"/>
    <w:rsid w:val="1CF626C6"/>
    <w:rsid w:val="1CFD070F"/>
    <w:rsid w:val="1CFF2872"/>
    <w:rsid w:val="1D2422D8"/>
    <w:rsid w:val="1D28001A"/>
    <w:rsid w:val="1D2B7012"/>
    <w:rsid w:val="1D3A4E21"/>
    <w:rsid w:val="1D540E0F"/>
    <w:rsid w:val="1D5638D8"/>
    <w:rsid w:val="1D5F6196"/>
    <w:rsid w:val="1D6132A5"/>
    <w:rsid w:val="1D615287"/>
    <w:rsid w:val="1D8E56D5"/>
    <w:rsid w:val="1D90756B"/>
    <w:rsid w:val="1D927B8A"/>
    <w:rsid w:val="1D970CFC"/>
    <w:rsid w:val="1DA5166B"/>
    <w:rsid w:val="1DA7134C"/>
    <w:rsid w:val="1DAD49C3"/>
    <w:rsid w:val="1DB4365C"/>
    <w:rsid w:val="1DC572F3"/>
    <w:rsid w:val="1DCA4EBE"/>
    <w:rsid w:val="1E195CB3"/>
    <w:rsid w:val="1E1A3CFD"/>
    <w:rsid w:val="1E1F0D76"/>
    <w:rsid w:val="1E37428D"/>
    <w:rsid w:val="1E5254B2"/>
    <w:rsid w:val="1E5F1659"/>
    <w:rsid w:val="1E681818"/>
    <w:rsid w:val="1E691F3F"/>
    <w:rsid w:val="1E7A43DA"/>
    <w:rsid w:val="1E802F8B"/>
    <w:rsid w:val="1E85149C"/>
    <w:rsid w:val="1E896310"/>
    <w:rsid w:val="1E9E60BA"/>
    <w:rsid w:val="1EAA52E7"/>
    <w:rsid w:val="1EC206C2"/>
    <w:rsid w:val="1ECB5101"/>
    <w:rsid w:val="1ED75A22"/>
    <w:rsid w:val="1F02489B"/>
    <w:rsid w:val="1F1A7E37"/>
    <w:rsid w:val="1F263392"/>
    <w:rsid w:val="1F3233D2"/>
    <w:rsid w:val="1F3F5AEF"/>
    <w:rsid w:val="1F576995"/>
    <w:rsid w:val="1F5D2B5E"/>
    <w:rsid w:val="1F9A2D26"/>
    <w:rsid w:val="1F9B46C2"/>
    <w:rsid w:val="1FA140B4"/>
    <w:rsid w:val="1FA83694"/>
    <w:rsid w:val="1FAF4B12"/>
    <w:rsid w:val="1FB931AC"/>
    <w:rsid w:val="1FC31BDF"/>
    <w:rsid w:val="1FCC4831"/>
    <w:rsid w:val="1FD43BC8"/>
    <w:rsid w:val="1FE7539E"/>
    <w:rsid w:val="1FED1DF9"/>
    <w:rsid w:val="1FF24B5D"/>
    <w:rsid w:val="201D49DF"/>
    <w:rsid w:val="202076CF"/>
    <w:rsid w:val="203C5B8B"/>
    <w:rsid w:val="20607ACB"/>
    <w:rsid w:val="20671BE0"/>
    <w:rsid w:val="206D6D2B"/>
    <w:rsid w:val="208F7B35"/>
    <w:rsid w:val="20963CB8"/>
    <w:rsid w:val="209F103D"/>
    <w:rsid w:val="20A068B7"/>
    <w:rsid w:val="20A81A1B"/>
    <w:rsid w:val="20B07FB6"/>
    <w:rsid w:val="20B646FB"/>
    <w:rsid w:val="20BB73F7"/>
    <w:rsid w:val="20D760A2"/>
    <w:rsid w:val="20DD6D66"/>
    <w:rsid w:val="20F052F3"/>
    <w:rsid w:val="20F16975"/>
    <w:rsid w:val="20FC1DBA"/>
    <w:rsid w:val="210C1DF4"/>
    <w:rsid w:val="213531F3"/>
    <w:rsid w:val="213B74B1"/>
    <w:rsid w:val="2144119B"/>
    <w:rsid w:val="21472A39"/>
    <w:rsid w:val="2150753E"/>
    <w:rsid w:val="215A2310"/>
    <w:rsid w:val="216058A9"/>
    <w:rsid w:val="219A6B87"/>
    <w:rsid w:val="219F2875"/>
    <w:rsid w:val="21CB5418"/>
    <w:rsid w:val="21D06ED2"/>
    <w:rsid w:val="21D97B35"/>
    <w:rsid w:val="21DE318A"/>
    <w:rsid w:val="21EF5B80"/>
    <w:rsid w:val="21F42BC1"/>
    <w:rsid w:val="21F843B2"/>
    <w:rsid w:val="21F93D33"/>
    <w:rsid w:val="220152DE"/>
    <w:rsid w:val="222E1D28"/>
    <w:rsid w:val="22356D36"/>
    <w:rsid w:val="223A5723"/>
    <w:rsid w:val="22576990"/>
    <w:rsid w:val="22602004"/>
    <w:rsid w:val="22696085"/>
    <w:rsid w:val="227855A0"/>
    <w:rsid w:val="227C15D6"/>
    <w:rsid w:val="2287723C"/>
    <w:rsid w:val="228D5384"/>
    <w:rsid w:val="228D78BA"/>
    <w:rsid w:val="22B45EAC"/>
    <w:rsid w:val="22B55ADE"/>
    <w:rsid w:val="22BD40AD"/>
    <w:rsid w:val="22C5123D"/>
    <w:rsid w:val="22C81BDD"/>
    <w:rsid w:val="22D327D6"/>
    <w:rsid w:val="22F47480"/>
    <w:rsid w:val="22F839E5"/>
    <w:rsid w:val="230261BC"/>
    <w:rsid w:val="23271246"/>
    <w:rsid w:val="233B7DC0"/>
    <w:rsid w:val="235B641F"/>
    <w:rsid w:val="238C0F88"/>
    <w:rsid w:val="23AA637A"/>
    <w:rsid w:val="23CE11F0"/>
    <w:rsid w:val="23D06D16"/>
    <w:rsid w:val="23DE1C48"/>
    <w:rsid w:val="240210CD"/>
    <w:rsid w:val="243674C1"/>
    <w:rsid w:val="24426A0E"/>
    <w:rsid w:val="247905F6"/>
    <w:rsid w:val="247B1377"/>
    <w:rsid w:val="248C1AC9"/>
    <w:rsid w:val="248D2E59"/>
    <w:rsid w:val="24912AF7"/>
    <w:rsid w:val="24BF09F7"/>
    <w:rsid w:val="24C06D8A"/>
    <w:rsid w:val="24E11586"/>
    <w:rsid w:val="24E567F1"/>
    <w:rsid w:val="251D5F8B"/>
    <w:rsid w:val="251F61A7"/>
    <w:rsid w:val="252D53FE"/>
    <w:rsid w:val="25317C88"/>
    <w:rsid w:val="25502F27"/>
    <w:rsid w:val="256040C9"/>
    <w:rsid w:val="25812605"/>
    <w:rsid w:val="25B14925"/>
    <w:rsid w:val="25D46E34"/>
    <w:rsid w:val="25D843F5"/>
    <w:rsid w:val="25E743D2"/>
    <w:rsid w:val="25EC2D81"/>
    <w:rsid w:val="25FD7426"/>
    <w:rsid w:val="260E1D77"/>
    <w:rsid w:val="262064DC"/>
    <w:rsid w:val="2621156B"/>
    <w:rsid w:val="2629095F"/>
    <w:rsid w:val="26323CB8"/>
    <w:rsid w:val="26325A66"/>
    <w:rsid w:val="264B4D7A"/>
    <w:rsid w:val="267A0D31"/>
    <w:rsid w:val="269B7AAF"/>
    <w:rsid w:val="26AE6A40"/>
    <w:rsid w:val="26B76E8D"/>
    <w:rsid w:val="26CA3EF0"/>
    <w:rsid w:val="26EA6341"/>
    <w:rsid w:val="26FB054E"/>
    <w:rsid w:val="26FD42C6"/>
    <w:rsid w:val="27181100"/>
    <w:rsid w:val="271F532A"/>
    <w:rsid w:val="272C6959"/>
    <w:rsid w:val="272E26D1"/>
    <w:rsid w:val="275859A0"/>
    <w:rsid w:val="27612030"/>
    <w:rsid w:val="277057A2"/>
    <w:rsid w:val="277B343D"/>
    <w:rsid w:val="27800A53"/>
    <w:rsid w:val="27932534"/>
    <w:rsid w:val="279356DC"/>
    <w:rsid w:val="2796041A"/>
    <w:rsid w:val="27AB7378"/>
    <w:rsid w:val="27AF1FD5"/>
    <w:rsid w:val="27D17500"/>
    <w:rsid w:val="27E64D5A"/>
    <w:rsid w:val="27F565C0"/>
    <w:rsid w:val="28013942"/>
    <w:rsid w:val="280C2304"/>
    <w:rsid w:val="280E6BC0"/>
    <w:rsid w:val="28203476"/>
    <w:rsid w:val="28296B4C"/>
    <w:rsid w:val="28454714"/>
    <w:rsid w:val="28531578"/>
    <w:rsid w:val="285A12A4"/>
    <w:rsid w:val="286A3E2A"/>
    <w:rsid w:val="286C3CF6"/>
    <w:rsid w:val="288307FB"/>
    <w:rsid w:val="288541B0"/>
    <w:rsid w:val="28964BB8"/>
    <w:rsid w:val="28E348D6"/>
    <w:rsid w:val="28EF40E2"/>
    <w:rsid w:val="28F17E5A"/>
    <w:rsid w:val="290D218B"/>
    <w:rsid w:val="29206EB8"/>
    <w:rsid w:val="292F44DF"/>
    <w:rsid w:val="29383653"/>
    <w:rsid w:val="293D3140"/>
    <w:rsid w:val="29473259"/>
    <w:rsid w:val="29524F49"/>
    <w:rsid w:val="29581C87"/>
    <w:rsid w:val="29583A35"/>
    <w:rsid w:val="2959155B"/>
    <w:rsid w:val="29595666"/>
    <w:rsid w:val="296A3769"/>
    <w:rsid w:val="296D5007"/>
    <w:rsid w:val="29874881"/>
    <w:rsid w:val="29A529F3"/>
    <w:rsid w:val="29D30788"/>
    <w:rsid w:val="29E325E0"/>
    <w:rsid w:val="29E60223"/>
    <w:rsid w:val="29E7314B"/>
    <w:rsid w:val="29E96D83"/>
    <w:rsid w:val="29ED060C"/>
    <w:rsid w:val="29F5733B"/>
    <w:rsid w:val="2A0C5920"/>
    <w:rsid w:val="2A280219"/>
    <w:rsid w:val="2A2B739C"/>
    <w:rsid w:val="2A452503"/>
    <w:rsid w:val="2A462B64"/>
    <w:rsid w:val="2A467D32"/>
    <w:rsid w:val="2A4D57CE"/>
    <w:rsid w:val="2A5266D7"/>
    <w:rsid w:val="2A7F1496"/>
    <w:rsid w:val="2A834A97"/>
    <w:rsid w:val="2A916A48"/>
    <w:rsid w:val="2AA1140C"/>
    <w:rsid w:val="2ABC7FF4"/>
    <w:rsid w:val="2AC9318B"/>
    <w:rsid w:val="2AE32288"/>
    <w:rsid w:val="2AED2D7B"/>
    <w:rsid w:val="2AF02261"/>
    <w:rsid w:val="2AF61758"/>
    <w:rsid w:val="2B4D50F0"/>
    <w:rsid w:val="2B5C4844"/>
    <w:rsid w:val="2B876854"/>
    <w:rsid w:val="2B9F7E19"/>
    <w:rsid w:val="2BA3143F"/>
    <w:rsid w:val="2BA936A8"/>
    <w:rsid w:val="2BC2163A"/>
    <w:rsid w:val="2BC453B2"/>
    <w:rsid w:val="2BC74B96"/>
    <w:rsid w:val="2BCE70EA"/>
    <w:rsid w:val="2BDB4369"/>
    <w:rsid w:val="2BE47802"/>
    <w:rsid w:val="2C097269"/>
    <w:rsid w:val="2C0F23A5"/>
    <w:rsid w:val="2C1A1476"/>
    <w:rsid w:val="2C251D36"/>
    <w:rsid w:val="2C315A5A"/>
    <w:rsid w:val="2C372028"/>
    <w:rsid w:val="2C3F2379"/>
    <w:rsid w:val="2C4B1C25"/>
    <w:rsid w:val="2C5D5807"/>
    <w:rsid w:val="2C8E776E"/>
    <w:rsid w:val="2C9A0F89"/>
    <w:rsid w:val="2CAA1C99"/>
    <w:rsid w:val="2CB10EEA"/>
    <w:rsid w:val="2CB5119F"/>
    <w:rsid w:val="2CC07CD9"/>
    <w:rsid w:val="2CC338BC"/>
    <w:rsid w:val="2D0F6B2C"/>
    <w:rsid w:val="2D134EBC"/>
    <w:rsid w:val="2D210720"/>
    <w:rsid w:val="2D2251A5"/>
    <w:rsid w:val="2D2F0029"/>
    <w:rsid w:val="2D412A32"/>
    <w:rsid w:val="2D5664DE"/>
    <w:rsid w:val="2D5C786C"/>
    <w:rsid w:val="2D7D7F0E"/>
    <w:rsid w:val="2D804AB4"/>
    <w:rsid w:val="2D853D8C"/>
    <w:rsid w:val="2D867662"/>
    <w:rsid w:val="2D971B4E"/>
    <w:rsid w:val="2D99461C"/>
    <w:rsid w:val="2D9E56F5"/>
    <w:rsid w:val="2DA03BFD"/>
    <w:rsid w:val="2DBA222A"/>
    <w:rsid w:val="2DF83A39"/>
    <w:rsid w:val="2DF850D8"/>
    <w:rsid w:val="2E026719"/>
    <w:rsid w:val="2E0456D4"/>
    <w:rsid w:val="2E0F21D5"/>
    <w:rsid w:val="2E102084"/>
    <w:rsid w:val="2E1B6F78"/>
    <w:rsid w:val="2E1D1E41"/>
    <w:rsid w:val="2E56250D"/>
    <w:rsid w:val="2E667F96"/>
    <w:rsid w:val="2E6A7D67"/>
    <w:rsid w:val="2E77763B"/>
    <w:rsid w:val="2E8226AB"/>
    <w:rsid w:val="2E870703"/>
    <w:rsid w:val="2ED53E8D"/>
    <w:rsid w:val="2ED926F8"/>
    <w:rsid w:val="2EDF2503"/>
    <w:rsid w:val="2EE02307"/>
    <w:rsid w:val="2EFC6C66"/>
    <w:rsid w:val="2F157526"/>
    <w:rsid w:val="2F1F6DA3"/>
    <w:rsid w:val="2F2572A6"/>
    <w:rsid w:val="2F285FC4"/>
    <w:rsid w:val="2F371BD5"/>
    <w:rsid w:val="2F3B5E89"/>
    <w:rsid w:val="2F3F2E00"/>
    <w:rsid w:val="2F40612C"/>
    <w:rsid w:val="2F454DC2"/>
    <w:rsid w:val="2F604433"/>
    <w:rsid w:val="2F662E3B"/>
    <w:rsid w:val="2F690910"/>
    <w:rsid w:val="2F794BD0"/>
    <w:rsid w:val="2F7B49F9"/>
    <w:rsid w:val="2F8E7777"/>
    <w:rsid w:val="2F9067D1"/>
    <w:rsid w:val="2FA01C92"/>
    <w:rsid w:val="2FD065E6"/>
    <w:rsid w:val="2FD96870"/>
    <w:rsid w:val="301C45BB"/>
    <w:rsid w:val="30234671"/>
    <w:rsid w:val="302532B3"/>
    <w:rsid w:val="304565DE"/>
    <w:rsid w:val="304F7886"/>
    <w:rsid w:val="30572C59"/>
    <w:rsid w:val="30580BC9"/>
    <w:rsid w:val="30A13F14"/>
    <w:rsid w:val="30BA3228"/>
    <w:rsid w:val="30BF439A"/>
    <w:rsid w:val="30C364F5"/>
    <w:rsid w:val="30C52891"/>
    <w:rsid w:val="30C714A1"/>
    <w:rsid w:val="30C95219"/>
    <w:rsid w:val="30E20088"/>
    <w:rsid w:val="30E4775F"/>
    <w:rsid w:val="30EA5A9F"/>
    <w:rsid w:val="30F804FD"/>
    <w:rsid w:val="30F878AC"/>
    <w:rsid w:val="30FF50DE"/>
    <w:rsid w:val="311E2ED7"/>
    <w:rsid w:val="3122543A"/>
    <w:rsid w:val="31375796"/>
    <w:rsid w:val="31496359"/>
    <w:rsid w:val="314F1BC2"/>
    <w:rsid w:val="31532CC0"/>
    <w:rsid w:val="315619EE"/>
    <w:rsid w:val="315C449C"/>
    <w:rsid w:val="3186135C"/>
    <w:rsid w:val="318D134D"/>
    <w:rsid w:val="319743C9"/>
    <w:rsid w:val="319A2CAA"/>
    <w:rsid w:val="31B82709"/>
    <w:rsid w:val="31BC4929"/>
    <w:rsid w:val="31CA2431"/>
    <w:rsid w:val="31D05482"/>
    <w:rsid w:val="31D80BB8"/>
    <w:rsid w:val="31E15F7F"/>
    <w:rsid w:val="320A3D3B"/>
    <w:rsid w:val="321948F4"/>
    <w:rsid w:val="3224642C"/>
    <w:rsid w:val="32400B34"/>
    <w:rsid w:val="32543208"/>
    <w:rsid w:val="32670B82"/>
    <w:rsid w:val="326D50EA"/>
    <w:rsid w:val="3297542C"/>
    <w:rsid w:val="329B0E37"/>
    <w:rsid w:val="329E6876"/>
    <w:rsid w:val="32C95B00"/>
    <w:rsid w:val="32D83E39"/>
    <w:rsid w:val="32E96838"/>
    <w:rsid w:val="332A0EB8"/>
    <w:rsid w:val="332F0A44"/>
    <w:rsid w:val="333015F2"/>
    <w:rsid w:val="333D4F79"/>
    <w:rsid w:val="333F50D8"/>
    <w:rsid w:val="334B6320"/>
    <w:rsid w:val="335079DD"/>
    <w:rsid w:val="33A67A93"/>
    <w:rsid w:val="33B71CA0"/>
    <w:rsid w:val="33BA52ED"/>
    <w:rsid w:val="33BC75DB"/>
    <w:rsid w:val="33BE302F"/>
    <w:rsid w:val="33D934D4"/>
    <w:rsid w:val="33DA47C6"/>
    <w:rsid w:val="33DE177B"/>
    <w:rsid w:val="33E61CD1"/>
    <w:rsid w:val="33EE14A0"/>
    <w:rsid w:val="33F37B49"/>
    <w:rsid w:val="33F97BC3"/>
    <w:rsid w:val="33FE2F6A"/>
    <w:rsid w:val="340E07E5"/>
    <w:rsid w:val="341E6E7E"/>
    <w:rsid w:val="34235BF7"/>
    <w:rsid w:val="34391824"/>
    <w:rsid w:val="34B27D26"/>
    <w:rsid w:val="34BA1A48"/>
    <w:rsid w:val="34BF705E"/>
    <w:rsid w:val="34C75887"/>
    <w:rsid w:val="34DA4B42"/>
    <w:rsid w:val="34E72111"/>
    <w:rsid w:val="34F36D08"/>
    <w:rsid w:val="350219FC"/>
    <w:rsid w:val="350C2877"/>
    <w:rsid w:val="3510203F"/>
    <w:rsid w:val="35186FAF"/>
    <w:rsid w:val="353D7F83"/>
    <w:rsid w:val="354B08F2"/>
    <w:rsid w:val="355332B4"/>
    <w:rsid w:val="355F553E"/>
    <w:rsid w:val="356C6E84"/>
    <w:rsid w:val="357065AB"/>
    <w:rsid w:val="3589141A"/>
    <w:rsid w:val="358C5FA8"/>
    <w:rsid w:val="359E4730"/>
    <w:rsid w:val="35AF516C"/>
    <w:rsid w:val="35AF7A77"/>
    <w:rsid w:val="35BF6371"/>
    <w:rsid w:val="35C15DF1"/>
    <w:rsid w:val="35CB72C7"/>
    <w:rsid w:val="35D5640E"/>
    <w:rsid w:val="35E12B5E"/>
    <w:rsid w:val="35F745D6"/>
    <w:rsid w:val="36074A7F"/>
    <w:rsid w:val="36160F00"/>
    <w:rsid w:val="36296EB5"/>
    <w:rsid w:val="362C67AE"/>
    <w:rsid w:val="36315D3A"/>
    <w:rsid w:val="363C5070"/>
    <w:rsid w:val="36592B9B"/>
    <w:rsid w:val="366A3424"/>
    <w:rsid w:val="366B28CE"/>
    <w:rsid w:val="367F4CF7"/>
    <w:rsid w:val="36923549"/>
    <w:rsid w:val="369D6F2B"/>
    <w:rsid w:val="36B01781"/>
    <w:rsid w:val="36B75FBF"/>
    <w:rsid w:val="36BD0C45"/>
    <w:rsid w:val="36BD1301"/>
    <w:rsid w:val="36C070BE"/>
    <w:rsid w:val="36C16CA6"/>
    <w:rsid w:val="36C45B67"/>
    <w:rsid w:val="36C542FE"/>
    <w:rsid w:val="36CA64AC"/>
    <w:rsid w:val="36D026DB"/>
    <w:rsid w:val="36E0506A"/>
    <w:rsid w:val="36E44B5A"/>
    <w:rsid w:val="36F362E5"/>
    <w:rsid w:val="370570ED"/>
    <w:rsid w:val="370B658B"/>
    <w:rsid w:val="371D1E1A"/>
    <w:rsid w:val="371F2036"/>
    <w:rsid w:val="372633C5"/>
    <w:rsid w:val="37377380"/>
    <w:rsid w:val="37441A9D"/>
    <w:rsid w:val="37555A58"/>
    <w:rsid w:val="375B0AC3"/>
    <w:rsid w:val="37711EFA"/>
    <w:rsid w:val="378679C0"/>
    <w:rsid w:val="37875BA8"/>
    <w:rsid w:val="378974B0"/>
    <w:rsid w:val="378E4AC6"/>
    <w:rsid w:val="37903FFB"/>
    <w:rsid w:val="37B85195"/>
    <w:rsid w:val="37D47316"/>
    <w:rsid w:val="37DF17C6"/>
    <w:rsid w:val="37DF3574"/>
    <w:rsid w:val="37E00298"/>
    <w:rsid w:val="37E312B6"/>
    <w:rsid w:val="37EB1F18"/>
    <w:rsid w:val="3805677D"/>
    <w:rsid w:val="381476C1"/>
    <w:rsid w:val="381A429E"/>
    <w:rsid w:val="3834566E"/>
    <w:rsid w:val="383B47A3"/>
    <w:rsid w:val="384316FA"/>
    <w:rsid w:val="38507ACE"/>
    <w:rsid w:val="38633EA9"/>
    <w:rsid w:val="388A1731"/>
    <w:rsid w:val="38B302F9"/>
    <w:rsid w:val="38C84008"/>
    <w:rsid w:val="38D66725"/>
    <w:rsid w:val="38DA3641"/>
    <w:rsid w:val="38E1756D"/>
    <w:rsid w:val="38EF5AD2"/>
    <w:rsid w:val="38F12CD3"/>
    <w:rsid w:val="38F94775"/>
    <w:rsid w:val="38FB43DD"/>
    <w:rsid w:val="391F631E"/>
    <w:rsid w:val="392456E2"/>
    <w:rsid w:val="392971ED"/>
    <w:rsid w:val="392A6A70"/>
    <w:rsid w:val="39325651"/>
    <w:rsid w:val="39367AD5"/>
    <w:rsid w:val="394144E6"/>
    <w:rsid w:val="397135D2"/>
    <w:rsid w:val="397A3554"/>
    <w:rsid w:val="39853A93"/>
    <w:rsid w:val="39893E68"/>
    <w:rsid w:val="399B34CA"/>
    <w:rsid w:val="39E03701"/>
    <w:rsid w:val="39E3734B"/>
    <w:rsid w:val="39E41315"/>
    <w:rsid w:val="39EB12DA"/>
    <w:rsid w:val="39F63F29"/>
    <w:rsid w:val="3A184B1B"/>
    <w:rsid w:val="3A1D13A1"/>
    <w:rsid w:val="3A4E43A5"/>
    <w:rsid w:val="3A541445"/>
    <w:rsid w:val="3A573895"/>
    <w:rsid w:val="3A647D60"/>
    <w:rsid w:val="3A872856"/>
    <w:rsid w:val="3A95616C"/>
    <w:rsid w:val="3AA37E58"/>
    <w:rsid w:val="3AAE3D16"/>
    <w:rsid w:val="3AC16F61"/>
    <w:rsid w:val="3AC32A70"/>
    <w:rsid w:val="3AC70991"/>
    <w:rsid w:val="3AE84775"/>
    <w:rsid w:val="3AEF563E"/>
    <w:rsid w:val="3AF31D2C"/>
    <w:rsid w:val="3AF83AC5"/>
    <w:rsid w:val="3B1B24A2"/>
    <w:rsid w:val="3B1C2841"/>
    <w:rsid w:val="3B3763D1"/>
    <w:rsid w:val="3B434D28"/>
    <w:rsid w:val="3B620744"/>
    <w:rsid w:val="3B64626A"/>
    <w:rsid w:val="3B801749"/>
    <w:rsid w:val="3B950B19"/>
    <w:rsid w:val="3BC1546A"/>
    <w:rsid w:val="3BC665F5"/>
    <w:rsid w:val="3BC73E4E"/>
    <w:rsid w:val="3BC93D4E"/>
    <w:rsid w:val="3BED2703"/>
    <w:rsid w:val="3BF52D0E"/>
    <w:rsid w:val="3BF8701A"/>
    <w:rsid w:val="3BFC0109"/>
    <w:rsid w:val="3C1D466B"/>
    <w:rsid w:val="3C215F09"/>
    <w:rsid w:val="3C29300F"/>
    <w:rsid w:val="3C2B322B"/>
    <w:rsid w:val="3C2F6E1E"/>
    <w:rsid w:val="3C4F64BA"/>
    <w:rsid w:val="3C533164"/>
    <w:rsid w:val="3C5930CF"/>
    <w:rsid w:val="3C5E53AF"/>
    <w:rsid w:val="3C601127"/>
    <w:rsid w:val="3C7E77FF"/>
    <w:rsid w:val="3C802B1D"/>
    <w:rsid w:val="3C823713"/>
    <w:rsid w:val="3C8446EA"/>
    <w:rsid w:val="3CCB61A6"/>
    <w:rsid w:val="3CDA245A"/>
    <w:rsid w:val="3D1E06B7"/>
    <w:rsid w:val="3D391940"/>
    <w:rsid w:val="3D482B8A"/>
    <w:rsid w:val="3D672041"/>
    <w:rsid w:val="3D696196"/>
    <w:rsid w:val="3D6C3AFB"/>
    <w:rsid w:val="3D6F77FA"/>
    <w:rsid w:val="3D744703"/>
    <w:rsid w:val="3D8B49A9"/>
    <w:rsid w:val="3D944A80"/>
    <w:rsid w:val="3D965793"/>
    <w:rsid w:val="3D9D6350"/>
    <w:rsid w:val="3DA43295"/>
    <w:rsid w:val="3DCA42FE"/>
    <w:rsid w:val="3DE93C73"/>
    <w:rsid w:val="3DF16BF5"/>
    <w:rsid w:val="3DFC6C2D"/>
    <w:rsid w:val="3E034C71"/>
    <w:rsid w:val="3E0E4BB3"/>
    <w:rsid w:val="3E116BF9"/>
    <w:rsid w:val="3E6475B3"/>
    <w:rsid w:val="3E69432C"/>
    <w:rsid w:val="3E746486"/>
    <w:rsid w:val="3E830113"/>
    <w:rsid w:val="3E9854FF"/>
    <w:rsid w:val="3E9C5D1B"/>
    <w:rsid w:val="3EAD284B"/>
    <w:rsid w:val="3EBE0387"/>
    <w:rsid w:val="3EC92197"/>
    <w:rsid w:val="3EDA0523"/>
    <w:rsid w:val="3EDC6A5F"/>
    <w:rsid w:val="3EDE0F3D"/>
    <w:rsid w:val="3EEC6CA2"/>
    <w:rsid w:val="3EFF1A8B"/>
    <w:rsid w:val="3F0814AB"/>
    <w:rsid w:val="3F0A35CC"/>
    <w:rsid w:val="3F0D6C18"/>
    <w:rsid w:val="3F162FE9"/>
    <w:rsid w:val="3F367F1D"/>
    <w:rsid w:val="3F391243"/>
    <w:rsid w:val="3F470102"/>
    <w:rsid w:val="3F536D21"/>
    <w:rsid w:val="3F636838"/>
    <w:rsid w:val="3F656F75"/>
    <w:rsid w:val="3F6C1B91"/>
    <w:rsid w:val="3F6F1F6D"/>
    <w:rsid w:val="3F76656C"/>
    <w:rsid w:val="3F9E533E"/>
    <w:rsid w:val="3F9F3D14"/>
    <w:rsid w:val="3FAC6431"/>
    <w:rsid w:val="3FB11C9A"/>
    <w:rsid w:val="3FB84DD6"/>
    <w:rsid w:val="3FCD1871"/>
    <w:rsid w:val="40125A1B"/>
    <w:rsid w:val="402C30CE"/>
    <w:rsid w:val="405713FD"/>
    <w:rsid w:val="40575D8A"/>
    <w:rsid w:val="405A7C3B"/>
    <w:rsid w:val="405F59A3"/>
    <w:rsid w:val="407460A9"/>
    <w:rsid w:val="40747053"/>
    <w:rsid w:val="407A6407"/>
    <w:rsid w:val="408B5192"/>
    <w:rsid w:val="409068FC"/>
    <w:rsid w:val="409D67DF"/>
    <w:rsid w:val="40BD1030"/>
    <w:rsid w:val="40D0614F"/>
    <w:rsid w:val="40D93256"/>
    <w:rsid w:val="40DE0C74"/>
    <w:rsid w:val="40EE65FA"/>
    <w:rsid w:val="41151DB4"/>
    <w:rsid w:val="411B7973"/>
    <w:rsid w:val="411F3193"/>
    <w:rsid w:val="4130244F"/>
    <w:rsid w:val="414C394A"/>
    <w:rsid w:val="414D77A0"/>
    <w:rsid w:val="415A2A92"/>
    <w:rsid w:val="416D399E"/>
    <w:rsid w:val="41792343"/>
    <w:rsid w:val="418671D8"/>
    <w:rsid w:val="41874CD5"/>
    <w:rsid w:val="41913F85"/>
    <w:rsid w:val="4191768D"/>
    <w:rsid w:val="41970A1B"/>
    <w:rsid w:val="41984EBF"/>
    <w:rsid w:val="41990C37"/>
    <w:rsid w:val="41A0031B"/>
    <w:rsid w:val="41AC07BD"/>
    <w:rsid w:val="41B874F9"/>
    <w:rsid w:val="41C42FDF"/>
    <w:rsid w:val="41C74E4E"/>
    <w:rsid w:val="41D8373F"/>
    <w:rsid w:val="41EA0FB8"/>
    <w:rsid w:val="41F270CF"/>
    <w:rsid w:val="4200449D"/>
    <w:rsid w:val="420A63F6"/>
    <w:rsid w:val="42274495"/>
    <w:rsid w:val="422F569E"/>
    <w:rsid w:val="423A3BCC"/>
    <w:rsid w:val="424E57D2"/>
    <w:rsid w:val="424F446D"/>
    <w:rsid w:val="425C6F33"/>
    <w:rsid w:val="4263153B"/>
    <w:rsid w:val="42653952"/>
    <w:rsid w:val="42AA0BA9"/>
    <w:rsid w:val="42B26C49"/>
    <w:rsid w:val="42B76A4F"/>
    <w:rsid w:val="42C36283"/>
    <w:rsid w:val="42F16A72"/>
    <w:rsid w:val="432C22FD"/>
    <w:rsid w:val="433A0B5D"/>
    <w:rsid w:val="433A6FE6"/>
    <w:rsid w:val="43480868"/>
    <w:rsid w:val="4350713C"/>
    <w:rsid w:val="4352109E"/>
    <w:rsid w:val="435A7F52"/>
    <w:rsid w:val="4364209F"/>
    <w:rsid w:val="436653E0"/>
    <w:rsid w:val="439873F8"/>
    <w:rsid w:val="43AE09CA"/>
    <w:rsid w:val="43B84D29"/>
    <w:rsid w:val="43C4431A"/>
    <w:rsid w:val="43C91D86"/>
    <w:rsid w:val="43D62867"/>
    <w:rsid w:val="43D917BF"/>
    <w:rsid w:val="43DD4E0B"/>
    <w:rsid w:val="43E50164"/>
    <w:rsid w:val="43FB0A4E"/>
    <w:rsid w:val="43FE4D82"/>
    <w:rsid w:val="44184095"/>
    <w:rsid w:val="441B525B"/>
    <w:rsid w:val="44482769"/>
    <w:rsid w:val="445C386A"/>
    <w:rsid w:val="445C6678"/>
    <w:rsid w:val="445D2BF8"/>
    <w:rsid w:val="44A818BD"/>
    <w:rsid w:val="44B951CC"/>
    <w:rsid w:val="44BA339E"/>
    <w:rsid w:val="44CB3749"/>
    <w:rsid w:val="44CD14E0"/>
    <w:rsid w:val="44D22496"/>
    <w:rsid w:val="44DB292F"/>
    <w:rsid w:val="44DE52DF"/>
    <w:rsid w:val="44ED5522"/>
    <w:rsid w:val="44EE129A"/>
    <w:rsid w:val="44F04A4B"/>
    <w:rsid w:val="44F20B0B"/>
    <w:rsid w:val="44FB1366"/>
    <w:rsid w:val="450D6956"/>
    <w:rsid w:val="452E5F4C"/>
    <w:rsid w:val="453E269A"/>
    <w:rsid w:val="45436F9D"/>
    <w:rsid w:val="45570BED"/>
    <w:rsid w:val="45612018"/>
    <w:rsid w:val="45815692"/>
    <w:rsid w:val="458946E9"/>
    <w:rsid w:val="459260C9"/>
    <w:rsid w:val="459B6537"/>
    <w:rsid w:val="45A32084"/>
    <w:rsid w:val="45A47C0E"/>
    <w:rsid w:val="45C2075D"/>
    <w:rsid w:val="45EF0E26"/>
    <w:rsid w:val="45F06EEC"/>
    <w:rsid w:val="46051A85"/>
    <w:rsid w:val="460C6F41"/>
    <w:rsid w:val="462A00B0"/>
    <w:rsid w:val="46440921"/>
    <w:rsid w:val="464755A5"/>
    <w:rsid w:val="46577FD6"/>
    <w:rsid w:val="4685178A"/>
    <w:rsid w:val="46A61E2C"/>
    <w:rsid w:val="46AC2C6B"/>
    <w:rsid w:val="46B05F59"/>
    <w:rsid w:val="46B362F7"/>
    <w:rsid w:val="46BA1434"/>
    <w:rsid w:val="46BA50B2"/>
    <w:rsid w:val="46C16C66"/>
    <w:rsid w:val="46CE0E2D"/>
    <w:rsid w:val="46D22C21"/>
    <w:rsid w:val="46D955A7"/>
    <w:rsid w:val="46DB65AB"/>
    <w:rsid w:val="46E66821"/>
    <w:rsid w:val="46F35409"/>
    <w:rsid w:val="47133957"/>
    <w:rsid w:val="47142F60"/>
    <w:rsid w:val="47524EBA"/>
    <w:rsid w:val="47551D58"/>
    <w:rsid w:val="476D46F8"/>
    <w:rsid w:val="476F18A1"/>
    <w:rsid w:val="47703DBF"/>
    <w:rsid w:val="47861176"/>
    <w:rsid w:val="479F75A6"/>
    <w:rsid w:val="47A07E0C"/>
    <w:rsid w:val="47E10C42"/>
    <w:rsid w:val="47EA7A93"/>
    <w:rsid w:val="47EC1AC1"/>
    <w:rsid w:val="47FB203A"/>
    <w:rsid w:val="4800731A"/>
    <w:rsid w:val="48036E0A"/>
    <w:rsid w:val="483D056E"/>
    <w:rsid w:val="48464D6E"/>
    <w:rsid w:val="48565E37"/>
    <w:rsid w:val="4870272E"/>
    <w:rsid w:val="487330C6"/>
    <w:rsid w:val="48733F90"/>
    <w:rsid w:val="48741AB6"/>
    <w:rsid w:val="487650B6"/>
    <w:rsid w:val="488125F8"/>
    <w:rsid w:val="4884619D"/>
    <w:rsid w:val="48960355"/>
    <w:rsid w:val="489F4D85"/>
    <w:rsid w:val="48A405ED"/>
    <w:rsid w:val="48CC7CAA"/>
    <w:rsid w:val="48D15F92"/>
    <w:rsid w:val="48EC5ADD"/>
    <w:rsid w:val="4916491B"/>
    <w:rsid w:val="49210111"/>
    <w:rsid w:val="49807E97"/>
    <w:rsid w:val="49B067AE"/>
    <w:rsid w:val="49CF51F6"/>
    <w:rsid w:val="49DC7715"/>
    <w:rsid w:val="49E50EBD"/>
    <w:rsid w:val="49E62E89"/>
    <w:rsid w:val="4A023139"/>
    <w:rsid w:val="4A084BAC"/>
    <w:rsid w:val="4A174DEF"/>
    <w:rsid w:val="4A28056F"/>
    <w:rsid w:val="4A2B43F6"/>
    <w:rsid w:val="4A5144F5"/>
    <w:rsid w:val="4A5C58F7"/>
    <w:rsid w:val="4A6B2147"/>
    <w:rsid w:val="4A7B576F"/>
    <w:rsid w:val="4A893E18"/>
    <w:rsid w:val="4A8B0EDB"/>
    <w:rsid w:val="4A9B77CE"/>
    <w:rsid w:val="4AAB0C71"/>
    <w:rsid w:val="4AB04C05"/>
    <w:rsid w:val="4AB32D6A"/>
    <w:rsid w:val="4AC37B89"/>
    <w:rsid w:val="4AD131F0"/>
    <w:rsid w:val="4ADB77BD"/>
    <w:rsid w:val="4ADF43FF"/>
    <w:rsid w:val="4AF561A9"/>
    <w:rsid w:val="4B1064C4"/>
    <w:rsid w:val="4B137364"/>
    <w:rsid w:val="4B15132F"/>
    <w:rsid w:val="4B1F3F5B"/>
    <w:rsid w:val="4B257B37"/>
    <w:rsid w:val="4B8639B1"/>
    <w:rsid w:val="4BA6467C"/>
    <w:rsid w:val="4BB328F5"/>
    <w:rsid w:val="4BC44B03"/>
    <w:rsid w:val="4BE64A79"/>
    <w:rsid w:val="4C1930A0"/>
    <w:rsid w:val="4C35163F"/>
    <w:rsid w:val="4C392DFB"/>
    <w:rsid w:val="4C4A0649"/>
    <w:rsid w:val="4C7327B1"/>
    <w:rsid w:val="4C7E5ECA"/>
    <w:rsid w:val="4C8322A3"/>
    <w:rsid w:val="4C83676C"/>
    <w:rsid w:val="4C856040"/>
    <w:rsid w:val="4C876AA5"/>
    <w:rsid w:val="4C9B75BF"/>
    <w:rsid w:val="4CAC2135"/>
    <w:rsid w:val="4CAF57B3"/>
    <w:rsid w:val="4CB42DC9"/>
    <w:rsid w:val="4CB92815"/>
    <w:rsid w:val="4CC74584"/>
    <w:rsid w:val="4CE31E52"/>
    <w:rsid w:val="4CEB2C5C"/>
    <w:rsid w:val="4CEC4311"/>
    <w:rsid w:val="4CF61263"/>
    <w:rsid w:val="4D0A0614"/>
    <w:rsid w:val="4D0A544B"/>
    <w:rsid w:val="4D0E00FB"/>
    <w:rsid w:val="4D176606"/>
    <w:rsid w:val="4D2C6E03"/>
    <w:rsid w:val="4D41465D"/>
    <w:rsid w:val="4D613838"/>
    <w:rsid w:val="4D67790C"/>
    <w:rsid w:val="4D85076E"/>
    <w:rsid w:val="4D970721"/>
    <w:rsid w:val="4D9F1383"/>
    <w:rsid w:val="4DC6624C"/>
    <w:rsid w:val="4DEC4FB0"/>
    <w:rsid w:val="4DEF40B9"/>
    <w:rsid w:val="4E075D8A"/>
    <w:rsid w:val="4E261AA5"/>
    <w:rsid w:val="4E4747C6"/>
    <w:rsid w:val="4E495FEF"/>
    <w:rsid w:val="4E4A47A4"/>
    <w:rsid w:val="4E54216E"/>
    <w:rsid w:val="4E791BD4"/>
    <w:rsid w:val="4E7D7917"/>
    <w:rsid w:val="4E882770"/>
    <w:rsid w:val="4E9442A4"/>
    <w:rsid w:val="4E9C5DE7"/>
    <w:rsid w:val="4EA330F5"/>
    <w:rsid w:val="4EA94D9C"/>
    <w:rsid w:val="4EAA7FE0"/>
    <w:rsid w:val="4EC00FAD"/>
    <w:rsid w:val="4ED41F08"/>
    <w:rsid w:val="4ED876A3"/>
    <w:rsid w:val="4EF179BD"/>
    <w:rsid w:val="4EF95C8C"/>
    <w:rsid w:val="4F11005F"/>
    <w:rsid w:val="4F120703"/>
    <w:rsid w:val="4F1D7BF0"/>
    <w:rsid w:val="4F3178BE"/>
    <w:rsid w:val="4F6463E1"/>
    <w:rsid w:val="4F685C47"/>
    <w:rsid w:val="4F7505EE"/>
    <w:rsid w:val="4F9843DC"/>
    <w:rsid w:val="4F9B0FDE"/>
    <w:rsid w:val="4F9D7B44"/>
    <w:rsid w:val="4FA42C81"/>
    <w:rsid w:val="4FA54A2C"/>
    <w:rsid w:val="4FC450D1"/>
    <w:rsid w:val="4FC62A8C"/>
    <w:rsid w:val="4FE20F0D"/>
    <w:rsid w:val="4FE51552"/>
    <w:rsid w:val="501C4F0D"/>
    <w:rsid w:val="50254DB5"/>
    <w:rsid w:val="502F4C40"/>
    <w:rsid w:val="50504C4B"/>
    <w:rsid w:val="50597F0F"/>
    <w:rsid w:val="50697433"/>
    <w:rsid w:val="508F5A4C"/>
    <w:rsid w:val="509C6E7C"/>
    <w:rsid w:val="50A337BD"/>
    <w:rsid w:val="50B4572A"/>
    <w:rsid w:val="50C9171D"/>
    <w:rsid w:val="50CB7C64"/>
    <w:rsid w:val="51001CCD"/>
    <w:rsid w:val="51071719"/>
    <w:rsid w:val="510E0CFA"/>
    <w:rsid w:val="51183304"/>
    <w:rsid w:val="5119769F"/>
    <w:rsid w:val="51343A74"/>
    <w:rsid w:val="51387B25"/>
    <w:rsid w:val="51397695"/>
    <w:rsid w:val="513A764B"/>
    <w:rsid w:val="5162104E"/>
    <w:rsid w:val="516F72BF"/>
    <w:rsid w:val="51897E16"/>
    <w:rsid w:val="51932FAD"/>
    <w:rsid w:val="519F5DF6"/>
    <w:rsid w:val="51A927D1"/>
    <w:rsid w:val="51CB2747"/>
    <w:rsid w:val="51CB5703"/>
    <w:rsid w:val="51E67581"/>
    <w:rsid w:val="52293911"/>
    <w:rsid w:val="522D3402"/>
    <w:rsid w:val="52302E97"/>
    <w:rsid w:val="523B3CD7"/>
    <w:rsid w:val="523F1387"/>
    <w:rsid w:val="5241023F"/>
    <w:rsid w:val="526C1D2F"/>
    <w:rsid w:val="52734B8D"/>
    <w:rsid w:val="527511CE"/>
    <w:rsid w:val="52751B89"/>
    <w:rsid w:val="527738EF"/>
    <w:rsid w:val="527839C3"/>
    <w:rsid w:val="529728AB"/>
    <w:rsid w:val="529C40E3"/>
    <w:rsid w:val="52B70F1D"/>
    <w:rsid w:val="52B753C1"/>
    <w:rsid w:val="52BB5995"/>
    <w:rsid w:val="52BF7DD2"/>
    <w:rsid w:val="52D20DE6"/>
    <w:rsid w:val="52E837CD"/>
    <w:rsid w:val="52E91AAB"/>
    <w:rsid w:val="52FE6711"/>
    <w:rsid w:val="530C67A8"/>
    <w:rsid w:val="532641F4"/>
    <w:rsid w:val="5331631D"/>
    <w:rsid w:val="535C1A5C"/>
    <w:rsid w:val="535E303E"/>
    <w:rsid w:val="536E55DA"/>
    <w:rsid w:val="539F032F"/>
    <w:rsid w:val="53A019B1"/>
    <w:rsid w:val="53A039CC"/>
    <w:rsid w:val="53A1505A"/>
    <w:rsid w:val="53AC2C65"/>
    <w:rsid w:val="53C103D3"/>
    <w:rsid w:val="53D67849"/>
    <w:rsid w:val="53FB308C"/>
    <w:rsid w:val="54063E08"/>
    <w:rsid w:val="54081A3A"/>
    <w:rsid w:val="54105E1B"/>
    <w:rsid w:val="541C38A3"/>
    <w:rsid w:val="54300F87"/>
    <w:rsid w:val="543437E8"/>
    <w:rsid w:val="54714206"/>
    <w:rsid w:val="54770964"/>
    <w:rsid w:val="548E5CAE"/>
    <w:rsid w:val="549534E0"/>
    <w:rsid w:val="54B420F8"/>
    <w:rsid w:val="54BF230B"/>
    <w:rsid w:val="54F73313"/>
    <w:rsid w:val="54F80955"/>
    <w:rsid w:val="551835BA"/>
    <w:rsid w:val="55255E67"/>
    <w:rsid w:val="55284354"/>
    <w:rsid w:val="55286102"/>
    <w:rsid w:val="554E3DBB"/>
    <w:rsid w:val="555170A7"/>
    <w:rsid w:val="55603AEE"/>
    <w:rsid w:val="55690BF5"/>
    <w:rsid w:val="55711857"/>
    <w:rsid w:val="557D01FC"/>
    <w:rsid w:val="5587536D"/>
    <w:rsid w:val="55983288"/>
    <w:rsid w:val="559B174B"/>
    <w:rsid w:val="55C44108"/>
    <w:rsid w:val="55CE0CF4"/>
    <w:rsid w:val="55CF5DA5"/>
    <w:rsid w:val="55DC2017"/>
    <w:rsid w:val="55E84293"/>
    <w:rsid w:val="55F47E03"/>
    <w:rsid w:val="560B4F03"/>
    <w:rsid w:val="56181120"/>
    <w:rsid w:val="56223055"/>
    <w:rsid w:val="562468CA"/>
    <w:rsid w:val="562936C5"/>
    <w:rsid w:val="564A295C"/>
    <w:rsid w:val="566A7695"/>
    <w:rsid w:val="5684380C"/>
    <w:rsid w:val="56966FD0"/>
    <w:rsid w:val="56A12151"/>
    <w:rsid w:val="56A812A9"/>
    <w:rsid w:val="56B22A9C"/>
    <w:rsid w:val="56D55E16"/>
    <w:rsid w:val="56D770FE"/>
    <w:rsid w:val="56E322E1"/>
    <w:rsid w:val="56F85055"/>
    <w:rsid w:val="570D735E"/>
    <w:rsid w:val="572B7BB5"/>
    <w:rsid w:val="57437223"/>
    <w:rsid w:val="574A2360"/>
    <w:rsid w:val="574B52BB"/>
    <w:rsid w:val="576B22D6"/>
    <w:rsid w:val="57770C7B"/>
    <w:rsid w:val="57775EDC"/>
    <w:rsid w:val="57831D16"/>
    <w:rsid w:val="57925AB5"/>
    <w:rsid w:val="5798756F"/>
    <w:rsid w:val="57AD653C"/>
    <w:rsid w:val="57AE5092"/>
    <w:rsid w:val="57B60D50"/>
    <w:rsid w:val="57B72A76"/>
    <w:rsid w:val="57BC1DCE"/>
    <w:rsid w:val="57C3426C"/>
    <w:rsid w:val="57CE1F93"/>
    <w:rsid w:val="57D32DCD"/>
    <w:rsid w:val="57D63BF4"/>
    <w:rsid w:val="5818420C"/>
    <w:rsid w:val="581B6980"/>
    <w:rsid w:val="58296419"/>
    <w:rsid w:val="583F79EB"/>
    <w:rsid w:val="58461706"/>
    <w:rsid w:val="585255EB"/>
    <w:rsid w:val="585F1B3E"/>
    <w:rsid w:val="588629D9"/>
    <w:rsid w:val="5886561A"/>
    <w:rsid w:val="588743D1"/>
    <w:rsid w:val="5887701A"/>
    <w:rsid w:val="58941E59"/>
    <w:rsid w:val="58B35BE2"/>
    <w:rsid w:val="58B77EC9"/>
    <w:rsid w:val="58C44368"/>
    <w:rsid w:val="58DD41F9"/>
    <w:rsid w:val="58E3481A"/>
    <w:rsid w:val="58F81C34"/>
    <w:rsid w:val="58FA1B64"/>
    <w:rsid w:val="590A1327"/>
    <w:rsid w:val="590D5D3B"/>
    <w:rsid w:val="59126EAD"/>
    <w:rsid w:val="591E1CF6"/>
    <w:rsid w:val="5934151A"/>
    <w:rsid w:val="59544F57"/>
    <w:rsid w:val="59571A58"/>
    <w:rsid w:val="598317A3"/>
    <w:rsid w:val="59926240"/>
    <w:rsid w:val="59981AA8"/>
    <w:rsid w:val="599831C4"/>
    <w:rsid w:val="59B50926"/>
    <w:rsid w:val="59C0439F"/>
    <w:rsid w:val="59DC1931"/>
    <w:rsid w:val="59EC3BA2"/>
    <w:rsid w:val="59EC76FE"/>
    <w:rsid w:val="5A032C9A"/>
    <w:rsid w:val="5A0A5DD6"/>
    <w:rsid w:val="5A0D44CD"/>
    <w:rsid w:val="5A2E01D2"/>
    <w:rsid w:val="5A2E5F69"/>
    <w:rsid w:val="5A4511BC"/>
    <w:rsid w:val="5A5A50AE"/>
    <w:rsid w:val="5A5D5937"/>
    <w:rsid w:val="5A634409"/>
    <w:rsid w:val="5A665614"/>
    <w:rsid w:val="5A7743A3"/>
    <w:rsid w:val="5AA35CB8"/>
    <w:rsid w:val="5AB33E27"/>
    <w:rsid w:val="5ABB5323"/>
    <w:rsid w:val="5ABE2233"/>
    <w:rsid w:val="5AD36B10"/>
    <w:rsid w:val="5AE42ACB"/>
    <w:rsid w:val="5AE73FFA"/>
    <w:rsid w:val="5AEB07AF"/>
    <w:rsid w:val="5AF314CF"/>
    <w:rsid w:val="5AFE6C80"/>
    <w:rsid w:val="5B0647F0"/>
    <w:rsid w:val="5B113F04"/>
    <w:rsid w:val="5B315D17"/>
    <w:rsid w:val="5B3255E5"/>
    <w:rsid w:val="5B8F47E5"/>
    <w:rsid w:val="5B977B3E"/>
    <w:rsid w:val="5BB029AE"/>
    <w:rsid w:val="5BDF5D95"/>
    <w:rsid w:val="5BE650A9"/>
    <w:rsid w:val="5BF814EA"/>
    <w:rsid w:val="5BFE7528"/>
    <w:rsid w:val="5C001B87"/>
    <w:rsid w:val="5C0B53FF"/>
    <w:rsid w:val="5C1536E6"/>
    <w:rsid w:val="5C1840C2"/>
    <w:rsid w:val="5C197B65"/>
    <w:rsid w:val="5C1E5A09"/>
    <w:rsid w:val="5C3658AF"/>
    <w:rsid w:val="5C58551F"/>
    <w:rsid w:val="5C5F065B"/>
    <w:rsid w:val="5C61625A"/>
    <w:rsid w:val="5C6766D1"/>
    <w:rsid w:val="5C69772C"/>
    <w:rsid w:val="5C7D31D8"/>
    <w:rsid w:val="5C9F314E"/>
    <w:rsid w:val="5CB766BC"/>
    <w:rsid w:val="5CBE4008"/>
    <w:rsid w:val="5CD66158"/>
    <w:rsid w:val="5CDB59BE"/>
    <w:rsid w:val="5CE047AB"/>
    <w:rsid w:val="5CE45005"/>
    <w:rsid w:val="5CE46DB3"/>
    <w:rsid w:val="5CE67C21"/>
    <w:rsid w:val="5D0A2948"/>
    <w:rsid w:val="5D1C479E"/>
    <w:rsid w:val="5D1E0517"/>
    <w:rsid w:val="5D284EF1"/>
    <w:rsid w:val="5D3F66DF"/>
    <w:rsid w:val="5D4021A7"/>
    <w:rsid w:val="5D440CD4"/>
    <w:rsid w:val="5D494E51"/>
    <w:rsid w:val="5D671549"/>
    <w:rsid w:val="5D6B1282"/>
    <w:rsid w:val="5D752101"/>
    <w:rsid w:val="5D7E2D63"/>
    <w:rsid w:val="5D8B722E"/>
    <w:rsid w:val="5DCD4178"/>
    <w:rsid w:val="5DDD450A"/>
    <w:rsid w:val="5DE0607A"/>
    <w:rsid w:val="5DE70B10"/>
    <w:rsid w:val="5DFF1E57"/>
    <w:rsid w:val="5E055233"/>
    <w:rsid w:val="5E2356B9"/>
    <w:rsid w:val="5E2467F1"/>
    <w:rsid w:val="5E315511"/>
    <w:rsid w:val="5E47584B"/>
    <w:rsid w:val="5E512226"/>
    <w:rsid w:val="5E581806"/>
    <w:rsid w:val="5E653F23"/>
    <w:rsid w:val="5E7917B7"/>
    <w:rsid w:val="5E8048B9"/>
    <w:rsid w:val="5E8819C0"/>
    <w:rsid w:val="5E9F11E3"/>
    <w:rsid w:val="5EAD3611"/>
    <w:rsid w:val="5EB100BD"/>
    <w:rsid w:val="5ECC4E65"/>
    <w:rsid w:val="5F137B97"/>
    <w:rsid w:val="5F1A2B43"/>
    <w:rsid w:val="5F2142EE"/>
    <w:rsid w:val="5F30246C"/>
    <w:rsid w:val="5F553F98"/>
    <w:rsid w:val="5F5F4E16"/>
    <w:rsid w:val="5F7A635F"/>
    <w:rsid w:val="5F7C7776"/>
    <w:rsid w:val="5F8605F5"/>
    <w:rsid w:val="5F9E593F"/>
    <w:rsid w:val="5FB837BB"/>
    <w:rsid w:val="5FC058B5"/>
    <w:rsid w:val="5FC2045B"/>
    <w:rsid w:val="5FC35D3E"/>
    <w:rsid w:val="5FC92290"/>
    <w:rsid w:val="5FCF7A7D"/>
    <w:rsid w:val="5FFD3BC9"/>
    <w:rsid w:val="5FFE63DD"/>
    <w:rsid w:val="5FFF5A21"/>
    <w:rsid w:val="602A2D2E"/>
    <w:rsid w:val="602D10AD"/>
    <w:rsid w:val="603552AE"/>
    <w:rsid w:val="60361236"/>
    <w:rsid w:val="603B6832"/>
    <w:rsid w:val="606A75CF"/>
    <w:rsid w:val="608A49A1"/>
    <w:rsid w:val="608F7035"/>
    <w:rsid w:val="609E54CA"/>
    <w:rsid w:val="60A63DA6"/>
    <w:rsid w:val="60AC408B"/>
    <w:rsid w:val="60CC405A"/>
    <w:rsid w:val="60D45A6C"/>
    <w:rsid w:val="60F50019"/>
    <w:rsid w:val="610A30F0"/>
    <w:rsid w:val="610B0DB2"/>
    <w:rsid w:val="61154C74"/>
    <w:rsid w:val="612756CF"/>
    <w:rsid w:val="614E0C9F"/>
    <w:rsid w:val="61642270"/>
    <w:rsid w:val="61891CD7"/>
    <w:rsid w:val="61A42FB4"/>
    <w:rsid w:val="61BE603F"/>
    <w:rsid w:val="61E215D8"/>
    <w:rsid w:val="61F23655"/>
    <w:rsid w:val="61F355DA"/>
    <w:rsid w:val="61F555BE"/>
    <w:rsid w:val="62013F63"/>
    <w:rsid w:val="6211064A"/>
    <w:rsid w:val="621B3775"/>
    <w:rsid w:val="62364782"/>
    <w:rsid w:val="62750B85"/>
    <w:rsid w:val="62782477"/>
    <w:rsid w:val="627A2BDD"/>
    <w:rsid w:val="62B822C3"/>
    <w:rsid w:val="62C009C1"/>
    <w:rsid w:val="62C55732"/>
    <w:rsid w:val="62D97B3A"/>
    <w:rsid w:val="62EA2C49"/>
    <w:rsid w:val="630755A9"/>
    <w:rsid w:val="630B15B1"/>
    <w:rsid w:val="63247F09"/>
    <w:rsid w:val="63335B5B"/>
    <w:rsid w:val="633C21FE"/>
    <w:rsid w:val="634C7460"/>
    <w:rsid w:val="63754C08"/>
    <w:rsid w:val="637705D8"/>
    <w:rsid w:val="637F5540"/>
    <w:rsid w:val="637F5A87"/>
    <w:rsid w:val="63804D0F"/>
    <w:rsid w:val="6394356A"/>
    <w:rsid w:val="63B47744"/>
    <w:rsid w:val="63C61B2C"/>
    <w:rsid w:val="63D40BE9"/>
    <w:rsid w:val="63E458EA"/>
    <w:rsid w:val="63EF705A"/>
    <w:rsid w:val="63FA6E12"/>
    <w:rsid w:val="64102431"/>
    <w:rsid w:val="642A77A1"/>
    <w:rsid w:val="64373BC1"/>
    <w:rsid w:val="64607667"/>
    <w:rsid w:val="647B7FFD"/>
    <w:rsid w:val="648A7FCC"/>
    <w:rsid w:val="64991098"/>
    <w:rsid w:val="64994927"/>
    <w:rsid w:val="649966D5"/>
    <w:rsid w:val="649E73D4"/>
    <w:rsid w:val="64A5243A"/>
    <w:rsid w:val="64B33C3A"/>
    <w:rsid w:val="64B94BD6"/>
    <w:rsid w:val="64F2575D"/>
    <w:rsid w:val="64F531DE"/>
    <w:rsid w:val="64F84305"/>
    <w:rsid w:val="6502071E"/>
    <w:rsid w:val="650A5824"/>
    <w:rsid w:val="651220C0"/>
    <w:rsid w:val="652B1A53"/>
    <w:rsid w:val="653463FD"/>
    <w:rsid w:val="6537001C"/>
    <w:rsid w:val="65373578"/>
    <w:rsid w:val="65573CA2"/>
    <w:rsid w:val="6580771D"/>
    <w:rsid w:val="65842EE1"/>
    <w:rsid w:val="65876E75"/>
    <w:rsid w:val="658855F6"/>
    <w:rsid w:val="65A25A5D"/>
    <w:rsid w:val="65A672FB"/>
    <w:rsid w:val="65C911C3"/>
    <w:rsid w:val="65DD6A95"/>
    <w:rsid w:val="65E0417C"/>
    <w:rsid w:val="65E72ED2"/>
    <w:rsid w:val="65EE3F77"/>
    <w:rsid w:val="65EF15EA"/>
    <w:rsid w:val="66176A5D"/>
    <w:rsid w:val="663A7A43"/>
    <w:rsid w:val="665F049D"/>
    <w:rsid w:val="66630DA5"/>
    <w:rsid w:val="666920D7"/>
    <w:rsid w:val="66772A46"/>
    <w:rsid w:val="668B64F1"/>
    <w:rsid w:val="668D04BB"/>
    <w:rsid w:val="669D6F2E"/>
    <w:rsid w:val="66A3383B"/>
    <w:rsid w:val="66B6356E"/>
    <w:rsid w:val="66BD4E2E"/>
    <w:rsid w:val="66C514C6"/>
    <w:rsid w:val="66EC6F90"/>
    <w:rsid w:val="67100CE4"/>
    <w:rsid w:val="67110B2B"/>
    <w:rsid w:val="671571CF"/>
    <w:rsid w:val="671F124A"/>
    <w:rsid w:val="672524A2"/>
    <w:rsid w:val="675039C2"/>
    <w:rsid w:val="677A33C6"/>
    <w:rsid w:val="67845411"/>
    <w:rsid w:val="67E460F1"/>
    <w:rsid w:val="68172791"/>
    <w:rsid w:val="681D09DF"/>
    <w:rsid w:val="681F6961"/>
    <w:rsid w:val="68594AF9"/>
    <w:rsid w:val="68610A2F"/>
    <w:rsid w:val="686B660F"/>
    <w:rsid w:val="687D12CC"/>
    <w:rsid w:val="68805514"/>
    <w:rsid w:val="689A2A1B"/>
    <w:rsid w:val="689E075E"/>
    <w:rsid w:val="68C205B4"/>
    <w:rsid w:val="68E343C2"/>
    <w:rsid w:val="68E42ADB"/>
    <w:rsid w:val="68F179A6"/>
    <w:rsid w:val="69316E2F"/>
    <w:rsid w:val="693C0B63"/>
    <w:rsid w:val="69461F4C"/>
    <w:rsid w:val="69491E5A"/>
    <w:rsid w:val="694E2071"/>
    <w:rsid w:val="6958090C"/>
    <w:rsid w:val="69673D31"/>
    <w:rsid w:val="69766163"/>
    <w:rsid w:val="69794D27"/>
    <w:rsid w:val="697A3B33"/>
    <w:rsid w:val="697C1D18"/>
    <w:rsid w:val="69832DE6"/>
    <w:rsid w:val="69A179BE"/>
    <w:rsid w:val="69A85FD3"/>
    <w:rsid w:val="69B1626F"/>
    <w:rsid w:val="69B31FE7"/>
    <w:rsid w:val="69C72B76"/>
    <w:rsid w:val="69CB2B6E"/>
    <w:rsid w:val="69D124E0"/>
    <w:rsid w:val="69D44760"/>
    <w:rsid w:val="69E17C5F"/>
    <w:rsid w:val="69E86919"/>
    <w:rsid w:val="6A04113B"/>
    <w:rsid w:val="6A114F5F"/>
    <w:rsid w:val="6A333127"/>
    <w:rsid w:val="6A451B01"/>
    <w:rsid w:val="6A520EC7"/>
    <w:rsid w:val="6A542D14"/>
    <w:rsid w:val="6A6C3DD1"/>
    <w:rsid w:val="6A8E035E"/>
    <w:rsid w:val="6A8E2F0B"/>
    <w:rsid w:val="6A9F7C6D"/>
    <w:rsid w:val="6ADA5CB2"/>
    <w:rsid w:val="6AE6019A"/>
    <w:rsid w:val="6AF61723"/>
    <w:rsid w:val="6AF87E20"/>
    <w:rsid w:val="6AF91C7B"/>
    <w:rsid w:val="6B0227AC"/>
    <w:rsid w:val="6B112923"/>
    <w:rsid w:val="6B322639"/>
    <w:rsid w:val="6B5275DD"/>
    <w:rsid w:val="6B7834E8"/>
    <w:rsid w:val="6B7E03D2"/>
    <w:rsid w:val="6B7F25AD"/>
    <w:rsid w:val="6B961925"/>
    <w:rsid w:val="6B9676AC"/>
    <w:rsid w:val="6B9F6CC6"/>
    <w:rsid w:val="6BA75B7B"/>
    <w:rsid w:val="6BB73231"/>
    <w:rsid w:val="6BCD34A2"/>
    <w:rsid w:val="6BEC7A32"/>
    <w:rsid w:val="6BFA3749"/>
    <w:rsid w:val="6C21592D"/>
    <w:rsid w:val="6C28790C"/>
    <w:rsid w:val="6C636C38"/>
    <w:rsid w:val="6C9E4372"/>
    <w:rsid w:val="6CA64085"/>
    <w:rsid w:val="6CC22A97"/>
    <w:rsid w:val="6CC62562"/>
    <w:rsid w:val="6CC664D5"/>
    <w:rsid w:val="6CD24E7A"/>
    <w:rsid w:val="6CE33569"/>
    <w:rsid w:val="6D005437"/>
    <w:rsid w:val="6D0B00AE"/>
    <w:rsid w:val="6D1A412B"/>
    <w:rsid w:val="6D2D20B0"/>
    <w:rsid w:val="6D323AC4"/>
    <w:rsid w:val="6D341690"/>
    <w:rsid w:val="6D403CE9"/>
    <w:rsid w:val="6D451E7E"/>
    <w:rsid w:val="6D9B2F1B"/>
    <w:rsid w:val="6DAC41B8"/>
    <w:rsid w:val="6DAF34F2"/>
    <w:rsid w:val="6DB34098"/>
    <w:rsid w:val="6DB545B6"/>
    <w:rsid w:val="6DCF7C83"/>
    <w:rsid w:val="6DDE48FF"/>
    <w:rsid w:val="6DE02FB4"/>
    <w:rsid w:val="6DE6591F"/>
    <w:rsid w:val="6DF90444"/>
    <w:rsid w:val="6E0C555F"/>
    <w:rsid w:val="6E13052A"/>
    <w:rsid w:val="6E163245"/>
    <w:rsid w:val="6E1E4CFF"/>
    <w:rsid w:val="6E2F6F71"/>
    <w:rsid w:val="6E3A5F0F"/>
    <w:rsid w:val="6E405611"/>
    <w:rsid w:val="6E514CED"/>
    <w:rsid w:val="6E795D31"/>
    <w:rsid w:val="6E8201DA"/>
    <w:rsid w:val="6E873A42"/>
    <w:rsid w:val="6EA463A2"/>
    <w:rsid w:val="6EB365E5"/>
    <w:rsid w:val="6EB563D5"/>
    <w:rsid w:val="6EB72579"/>
    <w:rsid w:val="6ECE195B"/>
    <w:rsid w:val="6ED92677"/>
    <w:rsid w:val="6EE7041B"/>
    <w:rsid w:val="6EF2710D"/>
    <w:rsid w:val="6F094457"/>
    <w:rsid w:val="6F134E9D"/>
    <w:rsid w:val="6F225983"/>
    <w:rsid w:val="6F3F60CB"/>
    <w:rsid w:val="6F5C7BFD"/>
    <w:rsid w:val="6F653D83"/>
    <w:rsid w:val="6F6E34E9"/>
    <w:rsid w:val="6F800BBD"/>
    <w:rsid w:val="6F8D32DA"/>
    <w:rsid w:val="6FC93D52"/>
    <w:rsid w:val="6FD35191"/>
    <w:rsid w:val="6FFC5590"/>
    <w:rsid w:val="700E34F3"/>
    <w:rsid w:val="702D6744"/>
    <w:rsid w:val="70335C2F"/>
    <w:rsid w:val="70383246"/>
    <w:rsid w:val="7046109B"/>
    <w:rsid w:val="705E6A4B"/>
    <w:rsid w:val="706321E2"/>
    <w:rsid w:val="70696674"/>
    <w:rsid w:val="706D1DD0"/>
    <w:rsid w:val="70856B87"/>
    <w:rsid w:val="70980188"/>
    <w:rsid w:val="70A20D4F"/>
    <w:rsid w:val="70A64653"/>
    <w:rsid w:val="70AC5F78"/>
    <w:rsid w:val="70B36D70"/>
    <w:rsid w:val="70CF75E7"/>
    <w:rsid w:val="70D527EE"/>
    <w:rsid w:val="710308B1"/>
    <w:rsid w:val="710471FD"/>
    <w:rsid w:val="712B349A"/>
    <w:rsid w:val="71402523"/>
    <w:rsid w:val="71537AC1"/>
    <w:rsid w:val="7157594D"/>
    <w:rsid w:val="715B5300"/>
    <w:rsid w:val="71812492"/>
    <w:rsid w:val="71AB5C99"/>
    <w:rsid w:val="71C71FAF"/>
    <w:rsid w:val="71D27F8A"/>
    <w:rsid w:val="71E134A9"/>
    <w:rsid w:val="71F102EB"/>
    <w:rsid w:val="721B1A08"/>
    <w:rsid w:val="721F5595"/>
    <w:rsid w:val="722F0678"/>
    <w:rsid w:val="723637B5"/>
    <w:rsid w:val="7238752D"/>
    <w:rsid w:val="72553024"/>
    <w:rsid w:val="72606A84"/>
    <w:rsid w:val="72693B8A"/>
    <w:rsid w:val="727070C6"/>
    <w:rsid w:val="727554EA"/>
    <w:rsid w:val="7297237C"/>
    <w:rsid w:val="72AA5244"/>
    <w:rsid w:val="72B008FF"/>
    <w:rsid w:val="72C20C25"/>
    <w:rsid w:val="72CE60E3"/>
    <w:rsid w:val="72E17BC5"/>
    <w:rsid w:val="72E871A5"/>
    <w:rsid w:val="72EF1943"/>
    <w:rsid w:val="72F35B4A"/>
    <w:rsid w:val="72F90BA5"/>
    <w:rsid w:val="730B2E93"/>
    <w:rsid w:val="730C5C98"/>
    <w:rsid w:val="730D4D35"/>
    <w:rsid w:val="73122968"/>
    <w:rsid w:val="731F5D5E"/>
    <w:rsid w:val="733207B2"/>
    <w:rsid w:val="734B0C60"/>
    <w:rsid w:val="7369599F"/>
    <w:rsid w:val="73A0784F"/>
    <w:rsid w:val="73AE7C9B"/>
    <w:rsid w:val="73C51AD5"/>
    <w:rsid w:val="73CF5521"/>
    <w:rsid w:val="73DD6D55"/>
    <w:rsid w:val="73E43FD3"/>
    <w:rsid w:val="73E7745D"/>
    <w:rsid w:val="73F409D1"/>
    <w:rsid w:val="740B2B1A"/>
    <w:rsid w:val="741E793C"/>
    <w:rsid w:val="742F670E"/>
    <w:rsid w:val="743579D4"/>
    <w:rsid w:val="745E3944"/>
    <w:rsid w:val="749C03DA"/>
    <w:rsid w:val="74B77EF4"/>
    <w:rsid w:val="74B96A66"/>
    <w:rsid w:val="74E27C24"/>
    <w:rsid w:val="74F141CA"/>
    <w:rsid w:val="74F77871"/>
    <w:rsid w:val="74FF30A6"/>
    <w:rsid w:val="74FF4332"/>
    <w:rsid w:val="7521699E"/>
    <w:rsid w:val="75264DF3"/>
    <w:rsid w:val="754461E9"/>
    <w:rsid w:val="75454B72"/>
    <w:rsid w:val="755C3876"/>
    <w:rsid w:val="75696824"/>
    <w:rsid w:val="7576271F"/>
    <w:rsid w:val="7590003C"/>
    <w:rsid w:val="75907680"/>
    <w:rsid w:val="759B3E2D"/>
    <w:rsid w:val="759C6025"/>
    <w:rsid w:val="75BF3AC1"/>
    <w:rsid w:val="75D51537"/>
    <w:rsid w:val="75D92DD5"/>
    <w:rsid w:val="75D94B83"/>
    <w:rsid w:val="75FE0A8D"/>
    <w:rsid w:val="75FE6CDF"/>
    <w:rsid w:val="760C377A"/>
    <w:rsid w:val="76100D7A"/>
    <w:rsid w:val="7614205F"/>
    <w:rsid w:val="763224E5"/>
    <w:rsid w:val="7635099D"/>
    <w:rsid w:val="764A5A81"/>
    <w:rsid w:val="76525492"/>
    <w:rsid w:val="76872831"/>
    <w:rsid w:val="768C45E6"/>
    <w:rsid w:val="76AE24B4"/>
    <w:rsid w:val="76E67C63"/>
    <w:rsid w:val="76E71522"/>
    <w:rsid w:val="76F42B3E"/>
    <w:rsid w:val="770B16B4"/>
    <w:rsid w:val="770E3053"/>
    <w:rsid w:val="771F5415"/>
    <w:rsid w:val="77333656"/>
    <w:rsid w:val="77495D38"/>
    <w:rsid w:val="77496B16"/>
    <w:rsid w:val="7750356B"/>
    <w:rsid w:val="77641F40"/>
    <w:rsid w:val="777141A8"/>
    <w:rsid w:val="77762421"/>
    <w:rsid w:val="77985E5C"/>
    <w:rsid w:val="77B56B1F"/>
    <w:rsid w:val="77D62F36"/>
    <w:rsid w:val="77DE0B76"/>
    <w:rsid w:val="77E41E4B"/>
    <w:rsid w:val="77F2383C"/>
    <w:rsid w:val="780F09F4"/>
    <w:rsid w:val="78305FE5"/>
    <w:rsid w:val="78366D1F"/>
    <w:rsid w:val="783C3895"/>
    <w:rsid w:val="784044AB"/>
    <w:rsid w:val="78530EF5"/>
    <w:rsid w:val="785568BA"/>
    <w:rsid w:val="785740BC"/>
    <w:rsid w:val="78651280"/>
    <w:rsid w:val="7882299E"/>
    <w:rsid w:val="78872FBC"/>
    <w:rsid w:val="789811AC"/>
    <w:rsid w:val="78A7540C"/>
    <w:rsid w:val="78A90480"/>
    <w:rsid w:val="78DE5965"/>
    <w:rsid w:val="78FF0DA4"/>
    <w:rsid w:val="79316EA5"/>
    <w:rsid w:val="793B2412"/>
    <w:rsid w:val="79444A09"/>
    <w:rsid w:val="796C3F60"/>
    <w:rsid w:val="797304A8"/>
    <w:rsid w:val="79780B57"/>
    <w:rsid w:val="799346A2"/>
    <w:rsid w:val="79D4771D"/>
    <w:rsid w:val="7A003543"/>
    <w:rsid w:val="7A04370C"/>
    <w:rsid w:val="7A1940E8"/>
    <w:rsid w:val="7A2A5BD3"/>
    <w:rsid w:val="7A2D0C57"/>
    <w:rsid w:val="7A364017"/>
    <w:rsid w:val="7A546B4C"/>
    <w:rsid w:val="7A664E53"/>
    <w:rsid w:val="7A6F5AB6"/>
    <w:rsid w:val="7A7E261E"/>
    <w:rsid w:val="7A8265E1"/>
    <w:rsid w:val="7A987CF6"/>
    <w:rsid w:val="7AB636E5"/>
    <w:rsid w:val="7ABE4C8F"/>
    <w:rsid w:val="7ACD0A2E"/>
    <w:rsid w:val="7AD22C2E"/>
    <w:rsid w:val="7ADA1426"/>
    <w:rsid w:val="7ADD1706"/>
    <w:rsid w:val="7AF82017"/>
    <w:rsid w:val="7AFD4A08"/>
    <w:rsid w:val="7B2C1881"/>
    <w:rsid w:val="7B3E5E06"/>
    <w:rsid w:val="7B686D42"/>
    <w:rsid w:val="7B841746"/>
    <w:rsid w:val="7B8D6D92"/>
    <w:rsid w:val="7BB815DF"/>
    <w:rsid w:val="7C023391"/>
    <w:rsid w:val="7C036DFE"/>
    <w:rsid w:val="7C0B180E"/>
    <w:rsid w:val="7C374CF9"/>
    <w:rsid w:val="7C634791"/>
    <w:rsid w:val="7C6C5AC7"/>
    <w:rsid w:val="7C6C7A8B"/>
    <w:rsid w:val="7C7C06B3"/>
    <w:rsid w:val="7C8514E8"/>
    <w:rsid w:val="7C9527D2"/>
    <w:rsid w:val="7CB037FE"/>
    <w:rsid w:val="7CC6544B"/>
    <w:rsid w:val="7CC911BA"/>
    <w:rsid w:val="7CD51E1C"/>
    <w:rsid w:val="7CE81B50"/>
    <w:rsid w:val="7CEF1130"/>
    <w:rsid w:val="7CF16C56"/>
    <w:rsid w:val="7CF36729"/>
    <w:rsid w:val="7D0239FF"/>
    <w:rsid w:val="7D0460D8"/>
    <w:rsid w:val="7D274DE9"/>
    <w:rsid w:val="7D32101D"/>
    <w:rsid w:val="7D344D95"/>
    <w:rsid w:val="7D427DB3"/>
    <w:rsid w:val="7D4A258E"/>
    <w:rsid w:val="7D4A45B8"/>
    <w:rsid w:val="7D5E40CD"/>
    <w:rsid w:val="7D781125"/>
    <w:rsid w:val="7D863427"/>
    <w:rsid w:val="7D9F38DE"/>
    <w:rsid w:val="7DA57A41"/>
    <w:rsid w:val="7DCA74A7"/>
    <w:rsid w:val="7DCB0BDC"/>
    <w:rsid w:val="7DCD56F2"/>
    <w:rsid w:val="7DE62533"/>
    <w:rsid w:val="7DE92023"/>
    <w:rsid w:val="7E051E2B"/>
    <w:rsid w:val="7E12157A"/>
    <w:rsid w:val="7E126C39"/>
    <w:rsid w:val="7E1A0909"/>
    <w:rsid w:val="7E27388F"/>
    <w:rsid w:val="7E2E7A36"/>
    <w:rsid w:val="7E307C52"/>
    <w:rsid w:val="7E5851DC"/>
    <w:rsid w:val="7E663674"/>
    <w:rsid w:val="7E857F9E"/>
    <w:rsid w:val="7EAB72D9"/>
    <w:rsid w:val="7EC03C5E"/>
    <w:rsid w:val="7EC363D0"/>
    <w:rsid w:val="7ED5250A"/>
    <w:rsid w:val="7EDA196C"/>
    <w:rsid w:val="7EE5195B"/>
    <w:rsid w:val="7EFB312D"/>
    <w:rsid w:val="7EFC43A2"/>
    <w:rsid w:val="7F001CE7"/>
    <w:rsid w:val="7F020E35"/>
    <w:rsid w:val="7F096176"/>
    <w:rsid w:val="7F0F5AB9"/>
    <w:rsid w:val="7F116F42"/>
    <w:rsid w:val="7F1B0B42"/>
    <w:rsid w:val="7F1B7F41"/>
    <w:rsid w:val="7F213B20"/>
    <w:rsid w:val="7F2350C1"/>
    <w:rsid w:val="7F25708B"/>
    <w:rsid w:val="7F3D381E"/>
    <w:rsid w:val="7F405C73"/>
    <w:rsid w:val="7F586FB9"/>
    <w:rsid w:val="7F5F3945"/>
    <w:rsid w:val="7F750D4D"/>
    <w:rsid w:val="7F7E679B"/>
    <w:rsid w:val="7F9E3C9B"/>
    <w:rsid w:val="7FBD4966"/>
    <w:rsid w:val="7FD60385"/>
    <w:rsid w:val="7FE47E50"/>
    <w:rsid w:val="7FE65C55"/>
    <w:rsid w:val="7FEC195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99"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name="annotation text"/>
    <w:lsdException w:qFormat="1" w:unhideWhenUsed="0" w:uiPriority="99" w:semiHidden="0" w:name="header"/>
    <w:lsdException w:qFormat="1" w:unhideWhenUsed="0" w:uiPriority="99" w:semiHidden="0" w:name="footer"/>
    <w:lsdException w:qFormat="1" w:uiPriority="99"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iPriority="99"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99"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99" w:semiHidden="0" w:name="Subtitle" w:locked="1"/>
    <w:lsdException w:unhideWhenUsed="0" w:uiPriority="0" w:semiHidden="0" w:name="Salutation" w:locked="1"/>
    <w:lsdException w:qFormat="1" w:unhideWhenUsed="0" w:uiPriority="0" w:semiHidden="0" w:name="Date"/>
    <w:lsdException w:qFormat="1"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iPriority="99" w:semiHidden="0" w:name="Body Text 2" w:locked="1"/>
    <w:lsdException w:unhideWhenUsed="0" w:uiPriority="0" w:semiHidden="0" w:name="Body Text 3" w:locked="1"/>
    <w:lsdException w:qFormat="1"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99"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42"/>
    <w:qFormat/>
    <w:locked/>
    <w:uiPriority w:val="99"/>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paragraph" w:styleId="5">
    <w:name w:val="heading 3"/>
    <w:basedOn w:val="1"/>
    <w:next w:val="1"/>
    <w:link w:val="43"/>
    <w:qFormat/>
    <w:locked/>
    <w:uiPriority w:val="99"/>
    <w:pPr>
      <w:spacing w:before="100" w:beforeAutospacing="1" w:after="100" w:afterAutospacing="1"/>
      <w:jc w:val="left"/>
      <w:outlineLvl w:val="2"/>
    </w:pPr>
    <w:rPr>
      <w:rFonts w:hint="eastAsia" w:ascii="宋体" w:hAnsi="宋体" w:eastAsia="宋体" w:cs="宋体"/>
      <w:b/>
      <w:kern w:val="0"/>
      <w:sz w:val="27"/>
      <w:szCs w:val="27"/>
      <w:lang w:val="en-US" w:eastAsia="zh-CN" w:bidi="ar"/>
    </w:rPr>
  </w:style>
  <w:style w:type="paragraph" w:styleId="6">
    <w:name w:val="heading 4"/>
    <w:basedOn w:val="1"/>
    <w:next w:val="1"/>
    <w:link w:val="44"/>
    <w:qFormat/>
    <w:locked/>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33">
    <w:name w:val="Default Paragraph Font"/>
    <w:semiHidden/>
    <w:qFormat/>
    <w:uiPriority w:val="0"/>
  </w:style>
  <w:style w:type="table" w:default="1" w:styleId="3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Plain Text"/>
    <w:basedOn w:val="1"/>
    <w:next w:val="1"/>
    <w:link w:val="40"/>
    <w:qFormat/>
    <w:locked/>
    <w:uiPriority w:val="99"/>
    <w:pPr>
      <w:spacing w:line="240" w:lineRule="atLeast"/>
    </w:pPr>
    <w:rPr>
      <w:rFonts w:ascii="宋体" w:hAnsi="Courier New"/>
      <w:sz w:val="28"/>
      <w:szCs w:val="20"/>
    </w:rPr>
  </w:style>
  <w:style w:type="paragraph" w:styleId="7">
    <w:name w:val="Normal Indent"/>
    <w:basedOn w:val="1"/>
    <w:next w:val="1"/>
    <w:qFormat/>
    <w:locked/>
    <w:uiPriority w:val="99"/>
    <w:pPr>
      <w:ind w:firstLine="420"/>
    </w:pPr>
    <w:rPr>
      <w:szCs w:val="24"/>
    </w:rPr>
  </w:style>
  <w:style w:type="paragraph" w:styleId="8">
    <w:name w:val="toa heading"/>
    <w:basedOn w:val="1"/>
    <w:next w:val="1"/>
    <w:unhideWhenUsed/>
    <w:qFormat/>
    <w:locked/>
    <w:uiPriority w:val="99"/>
    <w:pPr>
      <w:spacing w:before="120"/>
    </w:pPr>
    <w:rPr>
      <w:rFonts w:ascii="Cambria" w:hAnsi="Cambria" w:eastAsia="宋体" w:cs="Times New Roman"/>
      <w:sz w:val="24"/>
    </w:rPr>
  </w:style>
  <w:style w:type="paragraph" w:styleId="9">
    <w:name w:val="annotation text"/>
    <w:basedOn w:val="1"/>
    <w:link w:val="45"/>
    <w:semiHidden/>
    <w:qFormat/>
    <w:uiPriority w:val="0"/>
    <w:pPr>
      <w:jc w:val="left"/>
    </w:pPr>
    <w:rPr>
      <w:kern w:val="0"/>
      <w:sz w:val="24"/>
      <w:szCs w:val="20"/>
    </w:rPr>
  </w:style>
  <w:style w:type="paragraph" w:styleId="10">
    <w:name w:val="Body Text"/>
    <w:basedOn w:val="1"/>
    <w:next w:val="1"/>
    <w:link w:val="46"/>
    <w:qFormat/>
    <w:uiPriority w:val="0"/>
    <w:pPr>
      <w:widowControl/>
      <w:snapToGrid w:val="0"/>
      <w:spacing w:before="60" w:after="160" w:line="259" w:lineRule="auto"/>
      <w:ind w:right="113"/>
    </w:pPr>
    <w:rPr>
      <w:kern w:val="0"/>
      <w:sz w:val="18"/>
      <w:szCs w:val="20"/>
    </w:rPr>
  </w:style>
  <w:style w:type="paragraph" w:styleId="11">
    <w:name w:val="Body Text Indent"/>
    <w:basedOn w:val="1"/>
    <w:next w:val="12"/>
    <w:link w:val="47"/>
    <w:qFormat/>
    <w:uiPriority w:val="0"/>
    <w:pPr>
      <w:spacing w:after="120"/>
      <w:ind w:left="420" w:leftChars="200"/>
    </w:pPr>
    <w:rPr>
      <w:kern w:val="0"/>
      <w:sz w:val="24"/>
      <w:szCs w:val="20"/>
    </w:rPr>
  </w:style>
  <w:style w:type="paragraph" w:customStyle="1" w:styleId="12">
    <w:name w:val="样式 正文文本缩进 + 行距: 1.5 倍行距"/>
    <w:basedOn w:val="11"/>
    <w:qFormat/>
    <w:uiPriority w:val="0"/>
    <w:pPr>
      <w:spacing w:line="360" w:lineRule="auto"/>
      <w:ind w:left="0" w:leftChars="0" w:firstLine="560" w:firstLineChars="200"/>
    </w:pPr>
    <w:rPr>
      <w:rFonts w:cs="宋体"/>
      <w:b/>
      <w:bCs/>
      <w:sz w:val="28"/>
      <w:szCs w:val="20"/>
    </w:rPr>
  </w:style>
  <w:style w:type="paragraph" w:styleId="13">
    <w:name w:val="List Bullet 5"/>
    <w:basedOn w:val="1"/>
    <w:qFormat/>
    <w:locked/>
    <w:uiPriority w:val="0"/>
    <w:pPr>
      <w:numPr>
        <w:ilvl w:val="0"/>
        <w:numId w:val="1"/>
      </w:numPr>
    </w:pPr>
  </w:style>
  <w:style w:type="paragraph" w:styleId="14">
    <w:name w:val="Date"/>
    <w:basedOn w:val="1"/>
    <w:next w:val="1"/>
    <w:link w:val="48"/>
    <w:qFormat/>
    <w:uiPriority w:val="0"/>
    <w:pPr>
      <w:ind w:left="100" w:leftChars="2500"/>
    </w:pPr>
    <w:rPr>
      <w:kern w:val="0"/>
      <w:sz w:val="24"/>
      <w:szCs w:val="20"/>
    </w:rPr>
  </w:style>
  <w:style w:type="paragraph" w:styleId="15">
    <w:name w:val="Body Text Indent 2"/>
    <w:basedOn w:val="1"/>
    <w:unhideWhenUsed/>
    <w:qFormat/>
    <w:locked/>
    <w:uiPriority w:val="0"/>
    <w:pPr>
      <w:spacing w:after="120" w:line="480" w:lineRule="auto"/>
      <w:ind w:left="420" w:leftChars="200"/>
    </w:pPr>
  </w:style>
  <w:style w:type="paragraph" w:styleId="16">
    <w:name w:val="Balloon Text"/>
    <w:basedOn w:val="1"/>
    <w:link w:val="49"/>
    <w:semiHidden/>
    <w:qFormat/>
    <w:uiPriority w:val="0"/>
    <w:rPr>
      <w:kern w:val="0"/>
      <w:sz w:val="18"/>
      <w:szCs w:val="20"/>
    </w:rPr>
  </w:style>
  <w:style w:type="paragraph" w:styleId="17">
    <w:name w:val="footer"/>
    <w:basedOn w:val="1"/>
    <w:link w:val="50"/>
    <w:qFormat/>
    <w:uiPriority w:val="99"/>
    <w:pPr>
      <w:tabs>
        <w:tab w:val="center" w:pos="4153"/>
        <w:tab w:val="right" w:pos="8306"/>
      </w:tabs>
      <w:snapToGrid w:val="0"/>
      <w:jc w:val="left"/>
    </w:pPr>
    <w:rPr>
      <w:kern w:val="0"/>
      <w:sz w:val="18"/>
      <w:szCs w:val="20"/>
    </w:rPr>
  </w:style>
  <w:style w:type="paragraph" w:styleId="18">
    <w:name w:val="header"/>
    <w:basedOn w:val="1"/>
    <w:next w:val="1"/>
    <w:link w:val="51"/>
    <w:qFormat/>
    <w:uiPriority w:val="99"/>
    <w:pPr>
      <w:pBdr>
        <w:bottom w:val="single" w:color="auto" w:sz="6" w:space="1"/>
      </w:pBdr>
      <w:tabs>
        <w:tab w:val="center" w:pos="4153"/>
        <w:tab w:val="right" w:pos="8306"/>
      </w:tabs>
      <w:snapToGrid w:val="0"/>
      <w:jc w:val="center"/>
    </w:pPr>
    <w:rPr>
      <w:kern w:val="0"/>
      <w:sz w:val="18"/>
      <w:szCs w:val="20"/>
    </w:rPr>
  </w:style>
  <w:style w:type="paragraph" w:styleId="19">
    <w:name w:val="toc 1"/>
    <w:basedOn w:val="1"/>
    <w:next w:val="1"/>
    <w:qFormat/>
    <w:locked/>
    <w:uiPriority w:val="0"/>
  </w:style>
  <w:style w:type="paragraph" w:styleId="20">
    <w:name w:val="index heading"/>
    <w:basedOn w:val="1"/>
    <w:next w:val="21"/>
    <w:unhideWhenUsed/>
    <w:qFormat/>
    <w:locked/>
    <w:uiPriority w:val="99"/>
    <w:rPr>
      <w:szCs w:val="21"/>
    </w:rPr>
  </w:style>
  <w:style w:type="paragraph" w:styleId="21">
    <w:name w:val="index 1"/>
    <w:basedOn w:val="1"/>
    <w:next w:val="1"/>
    <w:semiHidden/>
    <w:qFormat/>
    <w:locked/>
    <w:uiPriority w:val="0"/>
  </w:style>
  <w:style w:type="paragraph" w:styleId="22">
    <w:name w:val="Subtitle"/>
    <w:basedOn w:val="1"/>
    <w:next w:val="1"/>
    <w:link w:val="52"/>
    <w:qFormat/>
    <w:locked/>
    <w:uiPriority w:val="99"/>
    <w:pPr>
      <w:jc w:val="center"/>
    </w:pPr>
    <w:rPr>
      <w:bCs/>
      <w:kern w:val="28"/>
      <w:sz w:val="18"/>
      <w:szCs w:val="18"/>
    </w:rPr>
  </w:style>
  <w:style w:type="paragraph" w:styleId="23">
    <w:name w:val="Body Text Indent 3"/>
    <w:basedOn w:val="1"/>
    <w:qFormat/>
    <w:locked/>
    <w:uiPriority w:val="0"/>
    <w:pPr>
      <w:spacing w:after="120"/>
      <w:ind w:left="420" w:leftChars="200"/>
    </w:pPr>
    <w:rPr>
      <w:sz w:val="16"/>
    </w:rPr>
  </w:style>
  <w:style w:type="paragraph" w:styleId="24">
    <w:name w:val="toc 2"/>
    <w:basedOn w:val="1"/>
    <w:next w:val="1"/>
    <w:semiHidden/>
    <w:qFormat/>
    <w:locked/>
    <w:uiPriority w:val="0"/>
    <w:pPr>
      <w:ind w:left="210"/>
      <w:jc w:val="left"/>
    </w:pPr>
    <w:rPr>
      <w:smallCaps/>
      <w:sz w:val="20"/>
      <w:szCs w:val="20"/>
    </w:rPr>
  </w:style>
  <w:style w:type="paragraph" w:styleId="25">
    <w:name w:val="Body Text 2"/>
    <w:basedOn w:val="1"/>
    <w:unhideWhenUsed/>
    <w:qFormat/>
    <w:locked/>
    <w:uiPriority w:val="99"/>
    <w:pPr>
      <w:spacing w:after="120" w:line="480" w:lineRule="auto"/>
    </w:pPr>
  </w:style>
  <w:style w:type="paragraph" w:styleId="26">
    <w:name w:val="Normal (Web)"/>
    <w:basedOn w:val="1"/>
    <w:link w:val="53"/>
    <w:qFormat/>
    <w:uiPriority w:val="99"/>
    <w:pPr>
      <w:widowControl/>
      <w:spacing w:before="100" w:beforeAutospacing="1" w:after="100" w:afterAutospacing="1"/>
      <w:jc w:val="left"/>
    </w:pPr>
    <w:rPr>
      <w:rFonts w:ascii="宋体" w:hAnsi="宋体"/>
      <w:kern w:val="0"/>
      <w:sz w:val="24"/>
      <w:szCs w:val="20"/>
    </w:rPr>
  </w:style>
  <w:style w:type="paragraph" w:styleId="27">
    <w:name w:val="Title"/>
    <w:basedOn w:val="1"/>
    <w:next w:val="1"/>
    <w:link w:val="54"/>
    <w:qFormat/>
    <w:locked/>
    <w:uiPriority w:val="99"/>
    <w:pPr>
      <w:spacing w:before="100" w:beforeAutospacing="1" w:after="20"/>
      <w:outlineLvl w:val="2"/>
    </w:pPr>
    <w:rPr>
      <w:b/>
      <w:bCs/>
      <w:sz w:val="28"/>
      <w:szCs w:val="28"/>
    </w:rPr>
  </w:style>
  <w:style w:type="paragraph" w:styleId="28">
    <w:name w:val="annotation subject"/>
    <w:basedOn w:val="9"/>
    <w:next w:val="9"/>
    <w:link w:val="55"/>
    <w:semiHidden/>
    <w:qFormat/>
    <w:uiPriority w:val="0"/>
    <w:rPr>
      <w:b/>
      <w:sz w:val="24"/>
      <w:szCs w:val="20"/>
    </w:rPr>
  </w:style>
  <w:style w:type="paragraph" w:styleId="29">
    <w:name w:val="Body Text First Indent"/>
    <w:basedOn w:val="10"/>
    <w:next w:val="1"/>
    <w:link w:val="56"/>
    <w:unhideWhenUsed/>
    <w:qFormat/>
    <w:locked/>
    <w:uiPriority w:val="0"/>
    <w:pPr>
      <w:ind w:firstLine="420" w:firstLineChars="100"/>
    </w:pPr>
    <w:rPr>
      <w:sz w:val="21"/>
      <w:szCs w:val="24"/>
    </w:rPr>
  </w:style>
  <w:style w:type="paragraph" w:styleId="30">
    <w:name w:val="Body Text First Indent 2"/>
    <w:basedOn w:val="11"/>
    <w:next w:val="1"/>
    <w:link w:val="57"/>
    <w:qFormat/>
    <w:locked/>
    <w:uiPriority w:val="0"/>
    <w:pPr>
      <w:spacing w:afterLines="0" w:line="360" w:lineRule="auto"/>
      <w:ind w:left="0" w:leftChars="0" w:firstLine="0"/>
    </w:pPr>
    <w:rPr>
      <w:rFonts w:ascii="Times New Roman" w:hAnsi="Times New Roman" w:eastAsia="宋体"/>
      <w:sz w:val="24"/>
    </w:rPr>
  </w:style>
  <w:style w:type="table" w:styleId="32">
    <w:name w:val="Table Grid"/>
    <w:basedOn w:val="31"/>
    <w:qFormat/>
    <w:uiPriority w:val="9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qFormat/>
    <w:locked/>
    <w:uiPriority w:val="0"/>
    <w:rPr>
      <w:b/>
    </w:rPr>
  </w:style>
  <w:style w:type="character" w:styleId="35">
    <w:name w:val="page number"/>
    <w:qFormat/>
    <w:locked/>
    <w:uiPriority w:val="0"/>
  </w:style>
  <w:style w:type="character" w:styleId="36">
    <w:name w:val="FollowedHyperlink"/>
    <w:qFormat/>
    <w:locked/>
    <w:uiPriority w:val="0"/>
    <w:rPr>
      <w:color w:val="954F72"/>
      <w:u w:val="single"/>
    </w:rPr>
  </w:style>
  <w:style w:type="character" w:styleId="37">
    <w:name w:val="Emphasis"/>
    <w:qFormat/>
    <w:locked/>
    <w:uiPriority w:val="0"/>
    <w:rPr>
      <w:i/>
    </w:rPr>
  </w:style>
  <w:style w:type="character" w:styleId="38">
    <w:name w:val="Hyperlink"/>
    <w:basedOn w:val="33"/>
    <w:qFormat/>
    <w:locked/>
    <w:uiPriority w:val="0"/>
    <w:rPr>
      <w:color w:val="0563C1"/>
      <w:u w:val="single"/>
    </w:rPr>
  </w:style>
  <w:style w:type="character" w:styleId="39">
    <w:name w:val="annotation reference"/>
    <w:semiHidden/>
    <w:qFormat/>
    <w:uiPriority w:val="0"/>
    <w:rPr>
      <w:sz w:val="21"/>
    </w:rPr>
  </w:style>
  <w:style w:type="character" w:customStyle="1" w:styleId="40">
    <w:name w:val="纯文本 Char"/>
    <w:link w:val="2"/>
    <w:qFormat/>
    <w:uiPriority w:val="99"/>
    <w:rPr>
      <w:rFonts w:hint="eastAsia" w:ascii="宋体" w:hAnsi="Courier New" w:eastAsia="宋体" w:cs="Courier New"/>
      <w:kern w:val="2"/>
      <w:sz w:val="21"/>
      <w:szCs w:val="21"/>
    </w:rPr>
  </w:style>
  <w:style w:type="character" w:customStyle="1" w:styleId="41">
    <w:name w:val="标题 1 Char"/>
    <w:link w:val="3"/>
    <w:qFormat/>
    <w:uiPriority w:val="0"/>
    <w:rPr>
      <w:rFonts w:hint="eastAsia" w:ascii="方正楷体简体" w:hAnsi="方正楷体简体" w:eastAsia="方正楷体简体" w:cs="方正楷体简体"/>
      <w:b/>
      <w:kern w:val="44"/>
      <w:sz w:val="28"/>
    </w:rPr>
  </w:style>
  <w:style w:type="character" w:customStyle="1" w:styleId="42">
    <w:name w:val="标题 2 Char"/>
    <w:link w:val="4"/>
    <w:qFormat/>
    <w:uiPriority w:val="99"/>
    <w:rPr>
      <w:rFonts w:ascii="宋体" w:hAnsi="宋体"/>
      <w:b/>
      <w:sz w:val="36"/>
      <w:szCs w:val="36"/>
    </w:rPr>
  </w:style>
  <w:style w:type="character" w:customStyle="1" w:styleId="43">
    <w:name w:val="标题 3 Char"/>
    <w:link w:val="5"/>
    <w:qFormat/>
    <w:uiPriority w:val="99"/>
    <w:rPr>
      <w:rFonts w:ascii="宋体" w:hAnsi="宋体"/>
      <w:b/>
      <w:sz w:val="27"/>
      <w:szCs w:val="27"/>
    </w:rPr>
  </w:style>
  <w:style w:type="character" w:customStyle="1" w:styleId="44">
    <w:name w:val="标题 4 Char"/>
    <w:link w:val="6"/>
    <w:semiHidden/>
    <w:qFormat/>
    <w:uiPriority w:val="0"/>
    <w:rPr>
      <w:rFonts w:ascii="Cambria" w:hAnsi="Cambria" w:eastAsia="宋体" w:cs="Times New Roman"/>
      <w:b/>
      <w:bCs/>
      <w:kern w:val="2"/>
      <w:sz w:val="28"/>
      <w:szCs w:val="28"/>
    </w:rPr>
  </w:style>
  <w:style w:type="character" w:customStyle="1" w:styleId="45">
    <w:name w:val="批注文字 Char"/>
    <w:link w:val="9"/>
    <w:qFormat/>
    <w:locked/>
    <w:uiPriority w:val="0"/>
    <w:rPr>
      <w:rFonts w:ascii="Times New Roman" w:hAnsi="Times New Roman" w:eastAsia="宋体"/>
      <w:sz w:val="24"/>
    </w:rPr>
  </w:style>
  <w:style w:type="character" w:customStyle="1" w:styleId="46">
    <w:name w:val="正文文本 Char"/>
    <w:link w:val="10"/>
    <w:qFormat/>
    <w:locked/>
    <w:uiPriority w:val="0"/>
    <w:rPr>
      <w:sz w:val="18"/>
    </w:rPr>
  </w:style>
  <w:style w:type="character" w:customStyle="1" w:styleId="47">
    <w:name w:val="正文文本缩进 Char"/>
    <w:link w:val="11"/>
    <w:semiHidden/>
    <w:qFormat/>
    <w:locked/>
    <w:uiPriority w:val="0"/>
    <w:rPr>
      <w:rFonts w:ascii="Times New Roman" w:hAnsi="Times New Roman" w:eastAsia="宋体"/>
      <w:sz w:val="24"/>
    </w:rPr>
  </w:style>
  <w:style w:type="character" w:customStyle="1" w:styleId="48">
    <w:name w:val="日期 Char"/>
    <w:link w:val="14"/>
    <w:qFormat/>
    <w:locked/>
    <w:uiPriority w:val="0"/>
    <w:rPr>
      <w:rFonts w:ascii="Times New Roman" w:hAnsi="Times New Roman" w:eastAsia="宋体"/>
      <w:sz w:val="24"/>
    </w:rPr>
  </w:style>
  <w:style w:type="character" w:customStyle="1" w:styleId="49">
    <w:name w:val="批注框文本 Char"/>
    <w:link w:val="16"/>
    <w:semiHidden/>
    <w:qFormat/>
    <w:locked/>
    <w:uiPriority w:val="0"/>
    <w:rPr>
      <w:rFonts w:ascii="Times New Roman" w:hAnsi="Times New Roman" w:eastAsia="宋体"/>
      <w:sz w:val="18"/>
    </w:rPr>
  </w:style>
  <w:style w:type="character" w:customStyle="1" w:styleId="50">
    <w:name w:val="页脚 Char"/>
    <w:link w:val="17"/>
    <w:qFormat/>
    <w:locked/>
    <w:uiPriority w:val="99"/>
    <w:rPr>
      <w:sz w:val="18"/>
    </w:rPr>
  </w:style>
  <w:style w:type="character" w:customStyle="1" w:styleId="51">
    <w:name w:val="页眉 Char"/>
    <w:link w:val="18"/>
    <w:qFormat/>
    <w:locked/>
    <w:uiPriority w:val="99"/>
    <w:rPr>
      <w:sz w:val="18"/>
    </w:rPr>
  </w:style>
  <w:style w:type="character" w:customStyle="1" w:styleId="52">
    <w:name w:val="副标题 Char"/>
    <w:link w:val="22"/>
    <w:qFormat/>
    <w:uiPriority w:val="99"/>
    <w:rPr>
      <w:bCs/>
      <w:kern w:val="28"/>
      <w:sz w:val="18"/>
      <w:szCs w:val="18"/>
    </w:rPr>
  </w:style>
  <w:style w:type="character" w:customStyle="1" w:styleId="53">
    <w:name w:val="普通(网站) Char"/>
    <w:link w:val="26"/>
    <w:qFormat/>
    <w:locked/>
    <w:uiPriority w:val="99"/>
    <w:rPr>
      <w:rFonts w:ascii="宋体" w:hAnsi="宋体" w:eastAsia="宋体"/>
      <w:sz w:val="24"/>
    </w:rPr>
  </w:style>
  <w:style w:type="character" w:customStyle="1" w:styleId="54">
    <w:name w:val="标题 Char"/>
    <w:link w:val="27"/>
    <w:qFormat/>
    <w:uiPriority w:val="99"/>
    <w:rPr>
      <w:b/>
      <w:bCs/>
      <w:kern w:val="2"/>
      <w:sz w:val="28"/>
      <w:szCs w:val="28"/>
    </w:rPr>
  </w:style>
  <w:style w:type="character" w:customStyle="1" w:styleId="55">
    <w:name w:val="批注主题 Char"/>
    <w:link w:val="28"/>
    <w:semiHidden/>
    <w:qFormat/>
    <w:locked/>
    <w:uiPriority w:val="0"/>
    <w:rPr>
      <w:rFonts w:ascii="Times New Roman" w:hAnsi="Times New Roman" w:eastAsia="宋体"/>
      <w:b/>
      <w:kern w:val="2"/>
      <w:sz w:val="24"/>
    </w:rPr>
  </w:style>
  <w:style w:type="character" w:customStyle="1" w:styleId="56">
    <w:name w:val="正文首行缩进 Char"/>
    <w:link w:val="29"/>
    <w:qFormat/>
    <w:uiPriority w:val="0"/>
    <w:rPr>
      <w:rFonts w:hint="eastAsia" w:ascii="宋体" w:hAnsi="宋体" w:eastAsia="方正楷体简体" w:cs="宋体"/>
      <w:kern w:val="2"/>
      <w:sz w:val="24"/>
    </w:rPr>
  </w:style>
  <w:style w:type="character" w:customStyle="1" w:styleId="57">
    <w:name w:val="正文首行缩进 2 Char"/>
    <w:link w:val="30"/>
    <w:qFormat/>
    <w:uiPriority w:val="0"/>
    <w:rPr>
      <w:rFonts w:ascii="Times New Roman" w:hAnsi="Times New Roman" w:eastAsia="宋体"/>
      <w:kern w:val="2"/>
      <w:sz w:val="24"/>
      <w:szCs w:val="24"/>
    </w:rPr>
  </w:style>
  <w:style w:type="character" w:customStyle="1" w:styleId="58">
    <w:name w:val="font11"/>
    <w:qFormat/>
    <w:uiPriority w:val="0"/>
    <w:rPr>
      <w:rFonts w:hint="eastAsia" w:ascii="宋体" w:hAnsi="宋体" w:eastAsia="宋体" w:cs="宋体"/>
      <w:color w:val="FF0000"/>
      <w:sz w:val="21"/>
      <w:szCs w:val="21"/>
      <w:u w:val="none"/>
    </w:rPr>
  </w:style>
  <w:style w:type="character" w:customStyle="1" w:styleId="59">
    <w:name w:val=" Char Char3"/>
    <w:qFormat/>
    <w:locked/>
    <w:uiPriority w:val="0"/>
    <w:rPr>
      <w:rFonts w:eastAsia="宋体"/>
      <w:kern w:val="2"/>
      <w:sz w:val="28"/>
      <w:szCs w:val="24"/>
      <w:lang w:val="en-US" w:eastAsia="zh-CN" w:bidi="ar-SA"/>
    </w:rPr>
  </w:style>
  <w:style w:type="character" w:customStyle="1" w:styleId="60">
    <w:name w:val="方案正文样式 Char"/>
    <w:link w:val="61"/>
    <w:qFormat/>
    <w:uiPriority w:val="0"/>
    <w:rPr>
      <w:rFonts w:eastAsia="宋体"/>
      <w:kern w:val="0"/>
      <w:szCs w:val="24"/>
    </w:rPr>
  </w:style>
  <w:style w:type="paragraph" w:customStyle="1" w:styleId="61">
    <w:name w:val="方案正文样式"/>
    <w:basedOn w:val="1"/>
    <w:link w:val="60"/>
    <w:qFormat/>
    <w:uiPriority w:val="0"/>
    <w:pPr>
      <w:adjustRightInd w:val="0"/>
      <w:snapToGrid w:val="0"/>
      <w:spacing w:line="360" w:lineRule="auto"/>
      <w:ind w:firstLine="454" w:firstLineChars="200"/>
      <w:jc w:val="left"/>
      <w:textAlignment w:val="baseline"/>
    </w:pPr>
    <w:rPr>
      <w:rFonts w:eastAsia="宋体"/>
      <w:kern w:val="0"/>
      <w:szCs w:val="24"/>
    </w:rPr>
  </w:style>
  <w:style w:type="character" w:customStyle="1" w:styleId="62">
    <w:name w:val="日期 字符"/>
    <w:semiHidden/>
    <w:qFormat/>
    <w:uiPriority w:val="0"/>
    <w:rPr>
      <w:rFonts w:ascii="Times New Roman" w:hAnsi="Times New Roman" w:eastAsia="宋体"/>
      <w:sz w:val="24"/>
    </w:rPr>
  </w:style>
  <w:style w:type="character" w:customStyle="1" w:styleId="63">
    <w:name w:val="表格 Char"/>
    <w:link w:val="64"/>
    <w:qFormat/>
    <w:locked/>
    <w:uiPriority w:val="0"/>
    <w:rPr>
      <w:rFonts w:ascii="宋体"/>
      <w:sz w:val="21"/>
    </w:rPr>
  </w:style>
  <w:style w:type="paragraph" w:customStyle="1" w:styleId="64">
    <w:name w:val="表格"/>
    <w:basedOn w:val="1"/>
    <w:next w:val="1"/>
    <w:link w:val="63"/>
    <w:qFormat/>
    <w:uiPriority w:val="0"/>
    <w:pPr>
      <w:adjustRightInd w:val="0"/>
      <w:snapToGrid w:val="0"/>
      <w:spacing w:beforeLines="10" w:afterLines="10" w:line="259" w:lineRule="auto"/>
      <w:jc w:val="center"/>
    </w:pPr>
    <w:rPr>
      <w:rFonts w:ascii="宋体"/>
      <w:kern w:val="0"/>
      <w:szCs w:val="20"/>
    </w:rPr>
  </w:style>
  <w:style w:type="character" w:customStyle="1" w:styleId="65">
    <w:name w:val="fontstyle01"/>
    <w:qFormat/>
    <w:uiPriority w:val="0"/>
    <w:rPr>
      <w:rFonts w:hint="eastAsia" w:ascii="宋体" w:hAnsi="宋体" w:eastAsia="宋体"/>
      <w:color w:val="000000"/>
      <w:sz w:val="24"/>
      <w:szCs w:val="24"/>
    </w:rPr>
  </w:style>
  <w:style w:type="character" w:customStyle="1" w:styleId="66">
    <w:name w:val="批注文字 字符1"/>
    <w:semiHidden/>
    <w:qFormat/>
    <w:uiPriority w:val="0"/>
    <w:rPr>
      <w:rFonts w:ascii="Times New Roman" w:hAnsi="Times New Roman" w:eastAsia="宋体"/>
      <w:sz w:val="24"/>
    </w:rPr>
  </w:style>
  <w:style w:type="character" w:customStyle="1" w:styleId="67">
    <w:name w:val="正文文本 字符1"/>
    <w:semiHidden/>
    <w:qFormat/>
    <w:uiPriority w:val="0"/>
    <w:rPr>
      <w:rFonts w:ascii="Times New Roman" w:hAnsi="Times New Roman" w:eastAsia="宋体"/>
      <w:sz w:val="24"/>
    </w:rPr>
  </w:style>
  <w:style w:type="character" w:customStyle="1" w:styleId="68">
    <w:name w:val="页脚 字符"/>
    <w:qFormat/>
    <w:uiPriority w:val="99"/>
  </w:style>
  <w:style w:type="character" w:customStyle="1" w:styleId="69">
    <w:name w:val="15"/>
    <w:qFormat/>
    <w:uiPriority w:val="0"/>
    <w:rPr>
      <w:rFonts w:hint="default" w:ascii="Times New Roman" w:hAnsi="Times New Roman" w:cs="Times New Roman"/>
      <w:sz w:val="24"/>
      <w:szCs w:val="24"/>
    </w:rPr>
  </w:style>
  <w:style w:type="paragraph" w:customStyle="1" w:styleId="70">
    <w:name w:val="标题4"/>
    <w:basedOn w:val="6"/>
    <w:next w:val="6"/>
    <w:qFormat/>
    <w:uiPriority w:val="0"/>
    <w:pPr>
      <w:spacing w:before="0" w:after="0" w:line="520" w:lineRule="exact"/>
    </w:pPr>
    <w:rPr>
      <w:rFonts w:ascii="Arial" w:hAnsi="Arial" w:eastAsia="Times New Roman" w:cs="Arial"/>
      <w:bCs w:val="0"/>
      <w:sz w:val="24"/>
      <w:szCs w:val="24"/>
    </w:rPr>
  </w:style>
  <w:style w:type="paragraph" w:customStyle="1" w:styleId="71">
    <w:name w:val="0正文"/>
    <w:basedOn w:val="1"/>
    <w:qFormat/>
    <w:uiPriority w:val="0"/>
    <w:pPr>
      <w:spacing w:line="360" w:lineRule="auto"/>
      <w:ind w:firstLine="720" w:firstLineChars="200"/>
      <w:jc w:val="left"/>
    </w:pPr>
    <w:rPr>
      <w:rFonts w:ascii="Calibri" w:hAnsi="Calibri"/>
      <w:kern w:val="0"/>
      <w:sz w:val="24"/>
    </w:rPr>
  </w:style>
  <w:style w:type="paragraph" w:customStyle="1" w:styleId="72">
    <w:name w:val="正文（修）"/>
    <w:basedOn w:val="1"/>
    <w:qFormat/>
    <w:uiPriority w:val="0"/>
    <w:pPr>
      <w:snapToGrid w:val="0"/>
      <w:spacing w:line="360" w:lineRule="auto"/>
      <w:ind w:firstLine="200" w:firstLineChars="200"/>
      <w:jc w:val="left"/>
    </w:pPr>
    <w:rPr>
      <w:rFonts w:ascii="宋体" w:hAnsi="宋体"/>
      <w:sz w:val="24"/>
      <w:szCs w:val="20"/>
    </w:rPr>
  </w:style>
  <w:style w:type="paragraph" w:customStyle="1" w:styleId="73">
    <w:name w:val="Default"/>
    <w:unhideWhenUsed/>
    <w:qFormat/>
    <w:uiPriority w:val="99"/>
    <w:pPr>
      <w:widowControl w:val="0"/>
      <w:autoSpaceDE w:val="0"/>
      <w:autoSpaceDN w:val="0"/>
      <w:adjustRightInd w:val="0"/>
    </w:pPr>
    <w:rPr>
      <w:rFonts w:hint="eastAsia" w:ascii="仿宋" w:hAnsi="仿宋" w:eastAsia="仿宋" w:cs="Times New Roman"/>
      <w:color w:val="000000"/>
      <w:sz w:val="24"/>
      <w:szCs w:val="24"/>
      <w:lang w:val="en-US" w:eastAsia="zh-CN" w:bidi="ar-SA"/>
    </w:rPr>
  </w:style>
  <w:style w:type="paragraph" w:customStyle="1" w:styleId="74">
    <w:name w:val="正文缩进 Char"/>
    <w:basedOn w:val="1"/>
    <w:next w:val="2"/>
    <w:qFormat/>
    <w:uiPriority w:val="0"/>
    <w:pPr>
      <w:widowControl/>
      <w:adjustRightInd w:val="0"/>
      <w:snapToGrid w:val="0"/>
      <w:spacing w:line="360" w:lineRule="auto"/>
      <w:ind w:firstLine="200" w:firstLineChars="200"/>
      <w:jc w:val="left"/>
    </w:pPr>
    <w:rPr>
      <w:rFonts w:ascii="宋体" w:hAnsi="Courier New"/>
      <w:kern w:val="0"/>
      <w:sz w:val="24"/>
    </w:rPr>
  </w:style>
  <w:style w:type="paragraph" w:customStyle="1" w:styleId="75">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76">
    <w:name w:val="表头"/>
    <w:basedOn w:val="77"/>
    <w:next w:val="1"/>
    <w:qFormat/>
    <w:uiPriority w:val="0"/>
    <w:pPr>
      <w:spacing w:before="0" w:beforeLines="0" w:after="0" w:afterLines="0" w:line="240" w:lineRule="auto"/>
      <w:jc w:val="center"/>
      <w:outlineLvl w:val="9"/>
    </w:pPr>
    <w:rPr>
      <w:rFonts w:ascii="黑体"/>
      <w:spacing w:val="4"/>
      <w:sz w:val="24"/>
      <w:szCs w:val="24"/>
    </w:rPr>
  </w:style>
  <w:style w:type="paragraph" w:customStyle="1" w:styleId="77">
    <w:name w:val="表格文字"/>
    <w:basedOn w:val="7"/>
    <w:next w:val="1"/>
    <w:qFormat/>
    <w:uiPriority w:val="0"/>
    <w:pPr>
      <w:adjustRightInd w:val="0"/>
      <w:snapToGrid w:val="0"/>
      <w:spacing w:line="240" w:lineRule="auto"/>
      <w:ind w:firstLine="0" w:firstLineChars="0"/>
      <w:jc w:val="center"/>
    </w:pPr>
    <w:rPr>
      <w:snapToGrid w:val="0"/>
      <w:kern w:val="21"/>
      <w:sz w:val="21"/>
      <w:szCs w:val="20"/>
    </w:rPr>
  </w:style>
  <w:style w:type="paragraph" w:customStyle="1" w:styleId="78">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79">
    <w:name w:val="表格格式"/>
    <w:basedOn w:val="1"/>
    <w:next w:val="1"/>
    <w:qFormat/>
    <w:uiPriority w:val="0"/>
    <w:pPr>
      <w:adjustRightInd w:val="0"/>
      <w:snapToGrid w:val="0"/>
      <w:spacing w:line="300" w:lineRule="auto"/>
      <w:jc w:val="center"/>
    </w:pPr>
    <w:rPr>
      <w:rFonts w:ascii="宋体" w:hAnsi="宋体" w:cs="宋体"/>
      <w:szCs w:val="21"/>
    </w:rPr>
  </w:style>
  <w:style w:type="paragraph" w:customStyle="1" w:styleId="80">
    <w:name w:val="TableButton"/>
    <w:basedOn w:val="1"/>
    <w:qFormat/>
    <w:uiPriority w:val="0"/>
    <w:pPr>
      <w:tabs>
        <w:tab w:val="left" w:pos="357"/>
      </w:tabs>
      <w:kinsoku w:val="0"/>
      <w:overflowPunct w:val="0"/>
      <w:autoSpaceDE w:val="0"/>
      <w:autoSpaceDN w:val="0"/>
      <w:snapToGrid w:val="0"/>
      <w:spacing w:line="600" w:lineRule="exact"/>
      <w:jc w:val="center"/>
      <w:textAlignment w:val="center"/>
      <w:outlineLvl w:val="0"/>
    </w:pPr>
    <w:rPr>
      <w:rFonts w:eastAsia="宋体"/>
      <w:kern w:val="0"/>
    </w:rPr>
  </w:style>
  <w:style w:type="paragraph" w:customStyle="1" w:styleId="81">
    <w:name w:val="标准正文"/>
    <w:basedOn w:val="1"/>
    <w:qFormat/>
    <w:uiPriority w:val="0"/>
    <w:pPr>
      <w:spacing w:line="360" w:lineRule="auto"/>
      <w:ind w:firstLine="480" w:firstLineChars="200"/>
    </w:pPr>
    <w:rPr>
      <w:rFonts w:ascii="Times New Roman" w:cs="Times New Roman"/>
      <w:szCs w:val="20"/>
    </w:rPr>
  </w:style>
  <w:style w:type="paragraph" w:customStyle="1" w:styleId="82">
    <w:name w:val="1正文段落"/>
    <w:basedOn w:val="1"/>
    <w:unhideWhenUsed/>
    <w:qFormat/>
    <w:uiPriority w:val="0"/>
    <w:pPr>
      <w:widowControl w:val="0"/>
      <w:adjustRightInd w:val="0"/>
      <w:snapToGrid w:val="0"/>
      <w:spacing w:line="360" w:lineRule="auto"/>
      <w:ind w:firstLine="200" w:firstLineChars="200"/>
      <w:jc w:val="both"/>
    </w:pPr>
    <w:rPr>
      <w:rFonts w:ascii="Times New Roman" w:hAnsi="Times New Roman" w:cs="Times New Roman"/>
      <w:snapToGrid w:val="0"/>
      <w:lang w:bidi="ar-SA"/>
    </w:rPr>
  </w:style>
  <w:style w:type="paragraph" w:customStyle="1" w:styleId="83">
    <w:name w:val="表格式"/>
    <w:basedOn w:val="1"/>
    <w:qFormat/>
    <w:uiPriority w:val="0"/>
    <w:pPr>
      <w:autoSpaceDE w:val="0"/>
      <w:autoSpaceDN w:val="0"/>
      <w:jc w:val="center"/>
      <w:textAlignment w:val="bottom"/>
    </w:pPr>
    <w:rPr>
      <w:sz w:val="18"/>
      <w:szCs w:val="18"/>
    </w:rPr>
  </w:style>
  <w:style w:type="paragraph" w:customStyle="1" w:styleId="84">
    <w:name w:val="正文1"/>
    <w:basedOn w:val="15"/>
    <w:qFormat/>
    <w:uiPriority w:val="0"/>
    <w:pPr>
      <w:adjustRightInd w:val="0"/>
      <w:snapToGrid w:val="0"/>
      <w:spacing w:after="0" w:line="360" w:lineRule="auto"/>
      <w:ind w:left="0" w:leftChars="0" w:firstLine="200" w:firstLineChars="200"/>
    </w:pPr>
    <w:rPr>
      <w:rFonts w:eastAsia="宋体"/>
    </w:rPr>
  </w:style>
  <w:style w:type="paragraph" w:customStyle="1" w:styleId="8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6">
    <w:name w:val="表"/>
    <w:basedOn w:val="1"/>
    <w:qFormat/>
    <w:uiPriority w:val="0"/>
    <w:pPr>
      <w:spacing w:line="340" w:lineRule="exact"/>
      <w:jc w:val="center"/>
    </w:pPr>
    <w:rPr>
      <w:rFonts w:ascii="宋体" w:hAnsi="宋体" w:eastAsia="宋体"/>
    </w:rPr>
  </w:style>
  <w:style w:type="paragraph" w:customStyle="1" w:styleId="8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8">
    <w:name w:val="表文字"/>
    <w:basedOn w:val="1"/>
    <w:qFormat/>
    <w:uiPriority w:val="0"/>
    <w:pPr>
      <w:adjustRightInd w:val="0"/>
      <w:snapToGrid w:val="0"/>
      <w:jc w:val="center"/>
    </w:pPr>
    <w:rPr>
      <w:szCs w:val="21"/>
    </w:rPr>
  </w:style>
  <w:style w:type="paragraph" w:customStyle="1" w:styleId="89">
    <w:name w:val="Table Paragraph"/>
    <w:basedOn w:val="1"/>
    <w:qFormat/>
    <w:uiPriority w:val="1"/>
    <w:pPr>
      <w:adjustRightInd/>
      <w:ind w:firstLine="0" w:firstLineChars="0"/>
      <w:jc w:val="left"/>
    </w:pPr>
    <w:rPr>
      <w:rFonts w:ascii="Calibri" w:hAnsi="Calibri" w:eastAsia="宋体" w:cs="Times New Roman"/>
      <w:kern w:val="0"/>
      <w:sz w:val="22"/>
      <w:szCs w:val="22"/>
      <w:lang w:eastAsia="en-US"/>
    </w:rPr>
  </w:style>
  <w:style w:type="paragraph" w:customStyle="1" w:styleId="90">
    <w:name w:val="表头文字"/>
    <w:basedOn w:val="77"/>
    <w:qFormat/>
    <w:uiPriority w:val="0"/>
    <w:rPr>
      <w:rFonts w:ascii="Calibri" w:hAnsi="Calibri" w:eastAsia="宋体" w:cs="Times New Roman"/>
      <w:b/>
      <w:szCs w:val="22"/>
    </w:rPr>
  </w:style>
  <w:style w:type="paragraph" w:customStyle="1" w:styleId="91">
    <w:name w:val="报告正文"/>
    <w:basedOn w:val="1"/>
    <w:qFormat/>
    <w:uiPriority w:val="0"/>
    <w:pPr>
      <w:adjustRightInd w:val="0"/>
      <w:spacing w:line="288" w:lineRule="auto"/>
      <w:ind w:firstLine="472"/>
    </w:pPr>
    <w:rPr>
      <w:rFonts w:ascii="仿宋_GB2312" w:hAnsi="仿宋_GB2312" w:cs="宋体"/>
      <w:kern w:val="144"/>
      <w:szCs w:val="21"/>
    </w:rPr>
  </w:style>
  <w:style w:type="paragraph" w:customStyle="1" w:styleId="92">
    <w:name w:val="表中正文"/>
    <w:basedOn w:val="1"/>
    <w:qFormat/>
    <w:uiPriority w:val="0"/>
    <w:pPr>
      <w:tabs>
        <w:tab w:val="left" w:pos="958"/>
        <w:tab w:val="left" w:pos="7320"/>
        <w:tab w:val="left" w:pos="8160"/>
      </w:tabs>
      <w:adjustRightInd w:val="0"/>
      <w:spacing w:line="360" w:lineRule="atLeast"/>
      <w:ind w:right="113"/>
      <w:jc w:val="center"/>
    </w:pPr>
    <w:rPr>
      <w:rFonts w:ascii="宋体" w:hAnsi="宋体" w:eastAsia="宋体"/>
      <w:spacing w:val="6"/>
      <w:kern w:val="20"/>
      <w:szCs w:val="24"/>
    </w:rPr>
  </w:style>
  <w:style w:type="paragraph" w:customStyle="1" w:styleId="93">
    <w:name w:val="Normal Indent1"/>
    <w:basedOn w:val="1"/>
    <w:qFormat/>
    <w:uiPriority w:val="0"/>
    <w:pPr>
      <w:ind w:firstLine="420" w:firstLineChars="200"/>
    </w:pPr>
  </w:style>
  <w:style w:type="paragraph" w:customStyle="1" w:styleId="94">
    <w:name w:val="标题一"/>
    <w:basedOn w:val="3"/>
    <w:next w:val="1"/>
    <w:qFormat/>
    <w:uiPriority w:val="0"/>
    <w:pPr>
      <w:keepLines/>
      <w:spacing w:before="624" w:beforeLines="200" w:after="312" w:afterLines="100" w:line="440" w:lineRule="exact"/>
      <w:jc w:val="center"/>
    </w:pPr>
    <w:rPr>
      <w:rFonts w:ascii="黑体" w:hAnsi="Arial Unicode MS" w:eastAsia="黑体"/>
      <w:kern w:val="44"/>
      <w:sz w:val="32"/>
    </w:rPr>
  </w:style>
  <w:style w:type="paragraph" w:customStyle="1" w:styleId="95">
    <w:name w:val="1正文"/>
    <w:basedOn w:val="1"/>
    <w:qFormat/>
    <w:uiPriority w:val="0"/>
    <w:pPr>
      <w:spacing w:line="500" w:lineRule="exact"/>
      <w:ind w:firstLine="588" w:firstLineChars="196"/>
    </w:pPr>
    <w:rPr>
      <w:rFonts w:eastAsia="楷体_GB2312"/>
      <w:sz w:val="30"/>
      <w:szCs w:val="30"/>
    </w:rPr>
  </w:style>
  <w:style w:type="paragraph" w:customStyle="1" w:styleId="96">
    <w:name w:val="无悬挂正文5号"/>
    <w:basedOn w:val="1"/>
    <w:qFormat/>
    <w:uiPriority w:val="0"/>
    <w:pPr>
      <w:jc w:val="center"/>
    </w:pPr>
    <w:rPr>
      <w:rFonts w:eastAsia="宋体"/>
      <w:sz w:val="21"/>
      <w:szCs w:val="24"/>
    </w:rPr>
  </w:style>
  <w:style w:type="paragraph" w:styleId="97">
    <w:name w:val="List Paragraph"/>
    <w:basedOn w:val="1"/>
    <w:qFormat/>
    <w:uiPriority w:val="34"/>
    <w:pPr>
      <w:ind w:firstLine="420" w:firstLineChars="200"/>
    </w:pPr>
  </w:style>
  <w:style w:type="paragraph" w:customStyle="1" w:styleId="98">
    <w:name w:val="样式 标题 1 + 四号 段前: 0 磅 段后: 0 磅 行距: 1.5 倍行距"/>
    <w:basedOn w:val="95"/>
    <w:next w:val="1"/>
    <w:qFormat/>
    <w:uiPriority w:val="0"/>
    <w:pPr>
      <w:spacing w:line="360" w:lineRule="auto"/>
      <w:jc w:val="center"/>
    </w:pPr>
    <w:rPr>
      <w:rFonts w:eastAsia="宋体"/>
      <w:sz w:val="24"/>
    </w:rPr>
  </w:style>
  <w:style w:type="paragraph" w:customStyle="1" w:styleId="99">
    <w:name w:val="样式1"/>
    <w:basedOn w:val="1"/>
    <w:qFormat/>
    <w:uiPriority w:val="0"/>
    <w:pPr>
      <w:spacing w:line="360" w:lineRule="auto"/>
      <w:ind w:firstLine="510"/>
    </w:pPr>
    <w:rPr>
      <w:rFonts w:eastAsia="宋体" w:cs="新宋体"/>
      <w:color w:val="000000"/>
      <w:kern w:val="0"/>
    </w:rPr>
  </w:style>
  <w:style w:type="paragraph" w:customStyle="1" w:styleId="100">
    <w:name w:val="报告"/>
    <w:basedOn w:val="1"/>
    <w:qFormat/>
    <w:uiPriority w:val="0"/>
    <w:pPr>
      <w:adjustRightInd w:val="0"/>
      <w:ind w:firstLine="505"/>
      <w:textAlignment w:val="baseline"/>
    </w:pPr>
    <w:rPr>
      <w:rFonts w:ascii="Calibri" w:hAnsi="Calibri" w:cs="Calibri"/>
      <w:kern w:val="0"/>
      <w:szCs w:val="21"/>
    </w:rPr>
  </w:style>
  <w:style w:type="paragraph" w:customStyle="1" w:styleId="101">
    <w:name w:val="标题3"/>
    <w:basedOn w:val="5"/>
    <w:next w:val="5"/>
    <w:qFormat/>
    <w:uiPriority w:val="0"/>
    <w:pPr>
      <w:keepNext/>
      <w:keepLines/>
      <w:spacing w:before="0" w:beforeAutospacing="0" w:after="0" w:afterAutospacing="0" w:line="360" w:lineRule="auto"/>
      <w:jc w:val="both"/>
    </w:pPr>
    <w:rPr>
      <w:rFonts w:hint="default" w:ascii="Calibri" w:hAnsi="Calibri" w:eastAsia="Times New Roman" w:cs="Calibri"/>
      <w:kern w:val="2"/>
      <w:sz w:val="24"/>
      <w:szCs w:val="24"/>
    </w:rPr>
  </w:style>
  <w:style w:type="paragraph" w:customStyle="1" w:styleId="102">
    <w:name w:val="表格文字-hao-居中"/>
    <w:basedOn w:val="1"/>
    <w:qFormat/>
    <w:uiPriority w:val="0"/>
    <w:pPr>
      <w:widowControl/>
      <w:adjustRightInd w:val="0"/>
      <w:snapToGrid w:val="0"/>
      <w:jc w:val="center"/>
    </w:pPr>
    <w:rPr>
      <w:kern w:val="0"/>
      <w:szCs w:val="21"/>
    </w:rPr>
  </w:style>
  <w:style w:type="paragraph" w:customStyle="1" w:styleId="103">
    <w:name w:val="魏秀珍   正文"/>
    <w:basedOn w:val="7"/>
    <w:qFormat/>
    <w:uiPriority w:val="0"/>
    <w:pPr>
      <w:tabs>
        <w:tab w:val="left" w:pos="574"/>
      </w:tabs>
      <w:spacing w:line="360" w:lineRule="auto"/>
      <w:ind w:firstLine="480"/>
    </w:pPr>
    <w:rPr>
      <w:rFonts w:hAnsi="宋体"/>
      <w:snapToGrid w:val="0"/>
      <w:color w:val="800080"/>
      <w:kern w:val="0"/>
      <w:lang w:val="en-GB" w:bidi="he-IL"/>
    </w:rPr>
  </w:style>
  <w:style w:type="paragraph" w:customStyle="1" w:styleId="104">
    <w:name w:val="魏秀珍 表格"/>
    <w:basedOn w:val="1"/>
    <w:qFormat/>
    <w:uiPriority w:val="0"/>
    <w:pPr>
      <w:spacing w:line="360" w:lineRule="auto"/>
      <w:jc w:val="center"/>
    </w:pPr>
    <w:rPr>
      <w:rFonts w:ascii="宋体" w:hAnsi="宋体"/>
      <w:b/>
      <w:bCs/>
      <w:kern w:val="0"/>
      <w:sz w:val="24"/>
      <w:szCs w:val="20"/>
    </w:rPr>
  </w:style>
  <w:style w:type="paragraph" w:customStyle="1" w:styleId="105">
    <w:name w:val="表格内容"/>
    <w:basedOn w:val="1"/>
    <w:qFormat/>
    <w:uiPriority w:val="0"/>
    <w:pPr>
      <w:jc w:val="center"/>
    </w:pPr>
    <w:rPr>
      <w:szCs w:val="22"/>
    </w:rPr>
  </w:style>
  <w:style w:type="character" w:customStyle="1" w:styleId="106">
    <w:name w:val="swy11"/>
    <w:qFormat/>
    <w:uiPriority w:val="0"/>
    <w:rPr>
      <w:rFonts w:hint="eastAsia" w:ascii="宋体" w:hAnsi="宋体" w:eastAsia="宋体"/>
      <w:sz w:val="24"/>
      <w:szCs w:val="24"/>
    </w:rPr>
  </w:style>
  <w:style w:type="paragraph" w:customStyle="1" w:styleId="107">
    <w:name w:val="正文文本 2112"/>
    <w:basedOn w:val="1"/>
    <w:qFormat/>
    <w:uiPriority w:val="0"/>
    <w:pPr>
      <w:adjustRightInd w:val="0"/>
      <w:snapToGrid w:val="0"/>
      <w:jc w:val="left"/>
    </w:pPr>
  </w:style>
  <w:style w:type="paragraph" w:customStyle="1" w:styleId="108">
    <w:name w:val="表标题1"/>
    <w:basedOn w:val="1"/>
    <w:qFormat/>
    <w:uiPriority w:val="0"/>
    <w:pPr>
      <w:adjustRightInd w:val="0"/>
      <w:snapToGrid w:val="0"/>
      <w:spacing w:before="156" w:beforeLines="50" w:line="240" w:lineRule="auto"/>
      <w:jc w:val="center"/>
    </w:pPr>
    <w:rPr>
      <w:b/>
      <w:kern w:val="0"/>
      <w:lang w:val="en-TT"/>
    </w:rPr>
  </w:style>
  <w:style w:type="paragraph" w:customStyle="1" w:styleId="109">
    <w:name w:val="报告表格"/>
    <w:basedOn w:val="1"/>
    <w:next w:val="1"/>
    <w:qFormat/>
    <w:uiPriority w:val="0"/>
    <w:pPr>
      <w:autoSpaceDE w:val="0"/>
      <w:autoSpaceDN w:val="0"/>
      <w:adjustRightInd w:val="0"/>
      <w:spacing w:line="318" w:lineRule="atLeast"/>
      <w:jc w:val="center"/>
      <w:textAlignment w:val="bottom"/>
    </w:pPr>
    <w:rPr>
      <w:kern w:val="0"/>
      <w:szCs w:val="20"/>
    </w:rPr>
  </w:style>
  <w:style w:type="paragraph" w:customStyle="1" w:styleId="110">
    <w:name w:val="简单回函地址"/>
    <w:basedOn w:val="1"/>
    <w:qFormat/>
    <w:uiPriority w:val="0"/>
    <w:rPr>
      <w:sz w:val="24"/>
      <w:szCs w:val="20"/>
    </w:rPr>
  </w:style>
  <w:style w:type="paragraph" w:customStyle="1" w:styleId="111">
    <w:name w:val="正文2"/>
    <w:basedOn w:val="1"/>
    <w:qFormat/>
    <w:uiPriority w:val="3"/>
    <w:pPr>
      <w:spacing w:line="360" w:lineRule="auto"/>
      <w:ind w:firstLine="200"/>
    </w:pPr>
    <w:rPr>
      <w:rFonts w:cs="宋体"/>
      <w:color w:val="6600CC"/>
      <w:kern w:val="1"/>
      <w:sz w:val="24"/>
    </w:rPr>
  </w:style>
  <w:style w:type="paragraph" w:customStyle="1" w:styleId="112">
    <w:name w:val="p0"/>
    <w:basedOn w:val="1"/>
    <w:qFormat/>
    <w:uiPriority w:val="0"/>
    <w:pPr>
      <w:widowControl/>
    </w:pPr>
    <w:rPr>
      <w:kern w:val="0"/>
      <w:szCs w:val="20"/>
    </w:rPr>
  </w:style>
  <w:style w:type="paragraph" w:customStyle="1" w:styleId="113">
    <w:name w:val="CM5"/>
    <w:basedOn w:val="1"/>
    <w:next w:val="1"/>
    <w:qFormat/>
    <w:uiPriority w:val="99"/>
    <w:pPr>
      <w:autoSpaceDE w:val="0"/>
      <w:autoSpaceDN w:val="0"/>
      <w:adjustRightInd w:val="0"/>
      <w:spacing w:line="546" w:lineRule="atLeast"/>
      <w:jc w:val="left"/>
    </w:pPr>
    <w:rPr>
      <w:rFonts w:ascii="黑体" w:hAnsi="Calibri" w:eastAsia="黑体" w:cs="Times New Roman"/>
      <w:kern w:val="0"/>
      <w:sz w:val="24"/>
    </w:rPr>
  </w:style>
  <w:style w:type="paragraph" w:customStyle="1" w:styleId="114">
    <w:name w:val="CM13"/>
    <w:basedOn w:val="1"/>
    <w:next w:val="1"/>
    <w:qFormat/>
    <w:uiPriority w:val="99"/>
    <w:pPr>
      <w:autoSpaceDE w:val="0"/>
      <w:autoSpaceDN w:val="0"/>
      <w:adjustRightInd w:val="0"/>
      <w:spacing w:line="546" w:lineRule="atLeast"/>
      <w:jc w:val="left"/>
    </w:pPr>
    <w:rPr>
      <w:rFonts w:ascii="黑体" w:hAnsi="Calibri" w:eastAsia="黑体" w:cs="Times New Roman"/>
      <w:kern w:val="0"/>
      <w:sz w:val="24"/>
    </w:rPr>
  </w:style>
  <w:style w:type="paragraph" w:customStyle="1" w:styleId="115">
    <w:name w:val="CM4"/>
    <w:basedOn w:val="73"/>
    <w:next w:val="73"/>
    <w:qFormat/>
    <w:uiPriority w:val="99"/>
    <w:pPr>
      <w:spacing w:line="546" w:lineRule="atLeast"/>
    </w:pPr>
    <w:rPr>
      <w:rFonts w:cs="Times New Roman"/>
      <w:color w:val="auto"/>
    </w:rPr>
  </w:style>
  <w:style w:type="paragraph" w:customStyle="1" w:styleId="116">
    <w:name w:val="CM9"/>
    <w:basedOn w:val="1"/>
    <w:next w:val="1"/>
    <w:qFormat/>
    <w:uiPriority w:val="99"/>
    <w:pPr>
      <w:autoSpaceDE w:val="0"/>
      <w:autoSpaceDN w:val="0"/>
      <w:adjustRightInd w:val="0"/>
      <w:spacing w:line="546" w:lineRule="atLeast"/>
      <w:jc w:val="left"/>
    </w:pPr>
    <w:rPr>
      <w:rFonts w:ascii="黑体" w:hAnsi="Calibri" w:eastAsia="黑体" w:cs="Times New Roman"/>
      <w:kern w:val="0"/>
      <w:sz w:val="24"/>
    </w:rPr>
  </w:style>
  <w:style w:type="paragraph" w:customStyle="1" w:styleId="117">
    <w:name w:val="CM86"/>
    <w:basedOn w:val="73"/>
    <w:next w:val="73"/>
    <w:qFormat/>
    <w:uiPriority w:val="99"/>
    <w:rPr>
      <w:rFonts w:cs="Times New Roman"/>
      <w:color w:val="auto"/>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microsoft.com/office/2011/relationships/people" Target="people.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79</Pages>
  <Words>376</Words>
  <Characters>404</Characters>
  <Lines>213</Lines>
  <Paragraphs>60</Paragraphs>
  <TotalTime>2</TotalTime>
  <ScaleCrop>false</ScaleCrop>
  <LinksUpToDate>false</LinksUpToDate>
  <CharactersWithSpaces>414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2021-08-12T13:03:00Z</dcterms:created>
  <dc:creator>lhj</dc:creator>
  <cp:lastModifiedBy>刘变香</cp:lastModifiedBy>
  <cp:lastPrinted>2020-12-29T02:43:00Z</cp:lastPrinted>
  <dcterms:modified xsi:type="dcterms:W3CDTF">2025-04-15T09:30:22Z</dcterms:modified>
  <dc:title>附件2</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4A604D3B409C478294B2C72E0E18E094</vt:lpwstr>
  </property>
  <property fmtid="{D5CDD505-2E9C-101B-9397-08002B2CF9AE}" pid="4" name="KSOSaveFontToCloudKey">
    <vt:lpwstr>213803453_btnclosed</vt:lpwstr>
  </property>
</Properties>
</file>